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17B0" w14:textId="56FAC050" w:rsidR="00771B32" w:rsidRPr="00CB1C44" w:rsidRDefault="00771B32" w:rsidP="008D232C">
      <w:pPr>
        <w:spacing w:line="360" w:lineRule="auto"/>
        <w:outlineLvl w:val="0"/>
        <w:rPr>
          <w:rFonts w:ascii="Arial" w:hAnsi="Arial" w:cs="Arial"/>
          <w:lang w:val="en-GB"/>
        </w:rPr>
      </w:pPr>
      <w:r w:rsidRPr="00CB1C44">
        <w:rPr>
          <w:rFonts w:ascii="Arial" w:hAnsi="Arial" w:cs="Arial"/>
          <w:lang w:val="en-GB"/>
        </w:rPr>
        <w:t>Review Article</w:t>
      </w:r>
    </w:p>
    <w:p w14:paraId="74348A49" w14:textId="77777777" w:rsidR="00771B32" w:rsidRPr="00CB1C44" w:rsidRDefault="00771B32" w:rsidP="00771B32">
      <w:pPr>
        <w:spacing w:line="360" w:lineRule="auto"/>
        <w:jc w:val="both"/>
        <w:outlineLvl w:val="0"/>
        <w:rPr>
          <w:rFonts w:ascii="Arial" w:hAnsi="Arial" w:cs="Arial"/>
          <w:b/>
          <w:lang w:val="en-GB"/>
        </w:rPr>
      </w:pPr>
      <w:r w:rsidRPr="00CB1C44">
        <w:rPr>
          <w:rFonts w:ascii="Arial" w:hAnsi="Arial" w:cs="Arial"/>
          <w:b/>
          <w:lang w:val="en-GB"/>
        </w:rPr>
        <w:t>Title:</w:t>
      </w:r>
    </w:p>
    <w:p w14:paraId="2E95642F" w14:textId="5AE2EB5C" w:rsidR="002B3947" w:rsidRPr="00CB1C44" w:rsidRDefault="002B3947">
      <w:pPr>
        <w:spacing w:line="360" w:lineRule="auto"/>
        <w:jc w:val="both"/>
        <w:outlineLvl w:val="0"/>
        <w:rPr>
          <w:rFonts w:ascii="Arial" w:hAnsi="Arial" w:cs="Arial"/>
          <w:lang w:val="en-GB"/>
        </w:rPr>
      </w:pPr>
      <w:r w:rsidRPr="00CB1C44">
        <w:rPr>
          <w:rFonts w:ascii="Arial" w:hAnsi="Arial" w:cs="Arial"/>
          <w:lang w:val="en-GB"/>
        </w:rPr>
        <w:t xml:space="preserve">Shaping the Nrf2-ARE-related pathways in </w:t>
      </w:r>
      <w:r w:rsidR="00F13B4C" w:rsidRPr="00CB1C44">
        <w:rPr>
          <w:rFonts w:ascii="Arial" w:hAnsi="Arial" w:cs="Arial"/>
          <w:lang w:val="en-GB"/>
        </w:rPr>
        <w:t xml:space="preserve">Alzheimer’s and Parkinson’s diseases </w:t>
      </w:r>
    </w:p>
    <w:p w14:paraId="549443EE" w14:textId="77777777" w:rsidR="008D232C" w:rsidRPr="00CB1C44" w:rsidRDefault="008D232C" w:rsidP="00771B32">
      <w:pPr>
        <w:spacing w:line="360" w:lineRule="auto"/>
        <w:jc w:val="both"/>
        <w:outlineLvl w:val="0"/>
        <w:rPr>
          <w:rFonts w:ascii="Arial" w:hAnsi="Arial" w:cs="Arial"/>
          <w:lang w:val="en-US"/>
        </w:rPr>
      </w:pPr>
    </w:p>
    <w:p w14:paraId="55BE7ED7" w14:textId="77777777" w:rsidR="00771B32" w:rsidRPr="00CB1C44" w:rsidRDefault="00771B32" w:rsidP="00771B32">
      <w:pPr>
        <w:spacing w:line="360" w:lineRule="auto"/>
        <w:jc w:val="both"/>
        <w:outlineLvl w:val="0"/>
        <w:rPr>
          <w:rFonts w:ascii="Arial" w:hAnsi="Arial" w:cs="Arial"/>
          <w:b/>
        </w:rPr>
      </w:pPr>
      <w:proofErr w:type="spellStart"/>
      <w:r w:rsidRPr="00CB1C44">
        <w:rPr>
          <w:rFonts w:ascii="Arial" w:hAnsi="Arial" w:cs="Arial"/>
          <w:b/>
        </w:rPr>
        <w:t>Authors</w:t>
      </w:r>
      <w:proofErr w:type="spellEnd"/>
      <w:r w:rsidRPr="00CB1C44">
        <w:rPr>
          <w:rFonts w:ascii="Arial" w:hAnsi="Arial" w:cs="Arial"/>
          <w:b/>
        </w:rPr>
        <w:t>:</w:t>
      </w:r>
    </w:p>
    <w:p w14:paraId="0814E270" w14:textId="0E33B954" w:rsidR="00771B32" w:rsidRPr="00CB1C44" w:rsidRDefault="00771B32" w:rsidP="00771B32">
      <w:pPr>
        <w:spacing w:line="360" w:lineRule="auto"/>
        <w:outlineLvl w:val="0"/>
        <w:rPr>
          <w:rFonts w:ascii="Arial" w:hAnsi="Arial" w:cs="Arial"/>
        </w:rPr>
      </w:pPr>
      <w:r w:rsidRPr="00CB1C44">
        <w:rPr>
          <w:rFonts w:ascii="Arial" w:hAnsi="Arial" w:cs="Arial"/>
        </w:rPr>
        <w:t xml:space="preserve">Lígia </w:t>
      </w:r>
      <w:proofErr w:type="gramStart"/>
      <w:r w:rsidRPr="00CB1C44">
        <w:rPr>
          <w:rFonts w:ascii="Arial" w:hAnsi="Arial" w:cs="Arial"/>
        </w:rPr>
        <w:t>Fão</w:t>
      </w:r>
      <w:r w:rsidRPr="00CB1C44">
        <w:rPr>
          <w:rFonts w:ascii="Arial" w:hAnsi="Arial" w:cs="Arial"/>
          <w:vertAlign w:val="superscript"/>
        </w:rPr>
        <w:t>a,c</w:t>
      </w:r>
      <w:proofErr w:type="gramEnd"/>
      <w:r w:rsidRPr="00CB1C44">
        <w:rPr>
          <w:rFonts w:ascii="Arial" w:hAnsi="Arial" w:cs="Arial"/>
          <w:vertAlign w:val="superscript"/>
        </w:rPr>
        <w:t>,1</w:t>
      </w:r>
      <w:r w:rsidRPr="00CB1C44">
        <w:rPr>
          <w:rFonts w:ascii="Arial" w:hAnsi="Arial" w:cs="Arial"/>
        </w:rPr>
        <w:t>, Sandra I. Mota</w:t>
      </w:r>
      <w:r w:rsidRPr="00CB1C44">
        <w:rPr>
          <w:rFonts w:ascii="Arial" w:hAnsi="Arial" w:cs="Arial"/>
          <w:vertAlign w:val="superscript"/>
        </w:rPr>
        <w:t>a,b,1</w:t>
      </w:r>
      <w:r w:rsidRPr="00CB1C44">
        <w:rPr>
          <w:rFonts w:ascii="Arial" w:hAnsi="Arial" w:cs="Arial"/>
        </w:rPr>
        <w:t xml:space="preserve">, A. Cristina </w:t>
      </w:r>
      <w:proofErr w:type="spellStart"/>
      <w:r w:rsidRPr="00CB1C44">
        <w:rPr>
          <w:rFonts w:ascii="Arial" w:hAnsi="Arial" w:cs="Arial"/>
        </w:rPr>
        <w:t>Rego</w:t>
      </w:r>
      <w:r w:rsidRPr="00CB1C44">
        <w:rPr>
          <w:rFonts w:ascii="Arial" w:hAnsi="Arial" w:cs="Arial"/>
          <w:vertAlign w:val="superscript"/>
        </w:rPr>
        <w:t>a,c</w:t>
      </w:r>
      <w:proofErr w:type="spellEnd"/>
      <w:r w:rsidRPr="00CB1C44">
        <w:rPr>
          <w:rFonts w:ascii="Arial" w:hAnsi="Arial" w:cs="Arial"/>
          <w:vertAlign w:val="superscript"/>
        </w:rPr>
        <w:t>,</w:t>
      </w:r>
      <w:r w:rsidRPr="00CB1C44">
        <w:rPr>
          <w:rFonts w:ascii="Arial" w:hAnsi="Arial" w:cs="Arial"/>
          <w:sz w:val="28"/>
        </w:rPr>
        <w:t>*</w:t>
      </w:r>
    </w:p>
    <w:p w14:paraId="243F9E7B" w14:textId="77777777" w:rsidR="00771B32" w:rsidRPr="00CB1C44" w:rsidRDefault="00771B32" w:rsidP="00771B32">
      <w:pPr>
        <w:spacing w:line="360" w:lineRule="auto"/>
        <w:jc w:val="both"/>
        <w:rPr>
          <w:rFonts w:ascii="Arial" w:hAnsi="Arial" w:cs="Arial"/>
          <w:b/>
        </w:rPr>
      </w:pPr>
    </w:p>
    <w:p w14:paraId="37AFAC93" w14:textId="77777777" w:rsidR="00771B32" w:rsidRPr="00CB1C44" w:rsidRDefault="00771B32" w:rsidP="00771B32">
      <w:pPr>
        <w:spacing w:line="360" w:lineRule="auto"/>
        <w:jc w:val="both"/>
        <w:rPr>
          <w:rFonts w:ascii="Arial" w:hAnsi="Arial" w:cs="Arial"/>
        </w:rPr>
      </w:pPr>
      <w:r w:rsidRPr="00CB1C44">
        <w:rPr>
          <w:rFonts w:ascii="Arial" w:hAnsi="Arial" w:cs="Arial"/>
          <w:vertAlign w:val="superscript"/>
        </w:rPr>
        <w:t xml:space="preserve">a </w:t>
      </w:r>
      <w:proofErr w:type="spellStart"/>
      <w:r w:rsidRPr="00CB1C44">
        <w:rPr>
          <w:rFonts w:ascii="Arial" w:hAnsi="Arial" w:cs="Arial"/>
        </w:rPr>
        <w:t>Center</w:t>
      </w:r>
      <w:proofErr w:type="spellEnd"/>
      <w:r w:rsidRPr="00CB1C44">
        <w:rPr>
          <w:rFonts w:ascii="Arial" w:hAnsi="Arial" w:cs="Arial"/>
        </w:rPr>
        <w:t xml:space="preserve"> for </w:t>
      </w:r>
      <w:proofErr w:type="spellStart"/>
      <w:r w:rsidRPr="00CB1C44">
        <w:rPr>
          <w:rFonts w:ascii="Arial" w:hAnsi="Arial" w:cs="Arial"/>
        </w:rPr>
        <w:t>Neuroscience</w:t>
      </w:r>
      <w:proofErr w:type="spellEnd"/>
      <w:r w:rsidRPr="00CB1C44">
        <w:rPr>
          <w:rFonts w:ascii="Arial" w:hAnsi="Arial" w:cs="Arial"/>
        </w:rPr>
        <w:t xml:space="preserve"> </w:t>
      </w:r>
      <w:proofErr w:type="spellStart"/>
      <w:r w:rsidRPr="00CB1C44">
        <w:rPr>
          <w:rFonts w:ascii="Arial" w:hAnsi="Arial" w:cs="Arial"/>
        </w:rPr>
        <w:t>and</w:t>
      </w:r>
      <w:proofErr w:type="spellEnd"/>
      <w:r w:rsidRPr="00CB1C44">
        <w:rPr>
          <w:rFonts w:ascii="Arial" w:hAnsi="Arial" w:cs="Arial"/>
        </w:rPr>
        <w:t xml:space="preserve"> </w:t>
      </w:r>
      <w:proofErr w:type="spellStart"/>
      <w:r w:rsidRPr="00CB1C44">
        <w:rPr>
          <w:rFonts w:ascii="Arial" w:hAnsi="Arial" w:cs="Arial"/>
        </w:rPr>
        <w:t>Cell</w:t>
      </w:r>
      <w:proofErr w:type="spellEnd"/>
      <w:r w:rsidRPr="00CB1C44">
        <w:rPr>
          <w:rFonts w:ascii="Arial" w:hAnsi="Arial" w:cs="Arial"/>
        </w:rPr>
        <w:t xml:space="preserve"> </w:t>
      </w:r>
      <w:proofErr w:type="spellStart"/>
      <w:r w:rsidRPr="00CB1C44">
        <w:rPr>
          <w:rFonts w:ascii="Arial" w:hAnsi="Arial" w:cs="Arial"/>
        </w:rPr>
        <w:t>Biology</w:t>
      </w:r>
      <w:proofErr w:type="spellEnd"/>
      <w:r w:rsidRPr="00CB1C44">
        <w:rPr>
          <w:rFonts w:ascii="Arial" w:hAnsi="Arial" w:cs="Arial"/>
        </w:rPr>
        <w:t xml:space="preserve"> (CNC), </w:t>
      </w:r>
      <w:proofErr w:type="spellStart"/>
      <w:r w:rsidRPr="00CB1C44">
        <w:rPr>
          <w:rFonts w:ascii="Arial" w:hAnsi="Arial" w:cs="Arial"/>
        </w:rPr>
        <w:t>University</w:t>
      </w:r>
      <w:proofErr w:type="spellEnd"/>
      <w:r w:rsidRPr="00CB1C44">
        <w:rPr>
          <w:rFonts w:ascii="Arial" w:hAnsi="Arial" w:cs="Arial"/>
        </w:rPr>
        <w:t xml:space="preserve"> </w:t>
      </w:r>
      <w:proofErr w:type="spellStart"/>
      <w:r w:rsidRPr="00CB1C44">
        <w:rPr>
          <w:rFonts w:ascii="Arial" w:hAnsi="Arial" w:cs="Arial"/>
        </w:rPr>
        <w:t>of</w:t>
      </w:r>
      <w:proofErr w:type="spellEnd"/>
      <w:r w:rsidRPr="00CB1C44">
        <w:rPr>
          <w:rFonts w:ascii="Arial" w:hAnsi="Arial" w:cs="Arial"/>
        </w:rPr>
        <w:t xml:space="preserve"> Coimbra, Coimbra, Portugal</w:t>
      </w:r>
    </w:p>
    <w:p w14:paraId="697C5FB6" w14:textId="2893AF48" w:rsidR="00771B32" w:rsidRPr="00CB1C44" w:rsidRDefault="00771B32" w:rsidP="00771B32">
      <w:pPr>
        <w:spacing w:line="360" w:lineRule="auto"/>
        <w:jc w:val="both"/>
        <w:rPr>
          <w:rFonts w:ascii="Arial" w:hAnsi="Arial" w:cs="Arial"/>
        </w:rPr>
      </w:pPr>
      <w:r w:rsidRPr="00CB1C44">
        <w:rPr>
          <w:rFonts w:ascii="Arial" w:hAnsi="Arial" w:cs="Arial"/>
          <w:vertAlign w:val="superscript"/>
        </w:rPr>
        <w:t xml:space="preserve">b </w:t>
      </w:r>
      <w:proofErr w:type="spellStart"/>
      <w:r w:rsidRPr="00CB1C44">
        <w:rPr>
          <w:rFonts w:ascii="Arial" w:hAnsi="Arial" w:cs="Arial"/>
        </w:rPr>
        <w:t>Institute</w:t>
      </w:r>
      <w:proofErr w:type="spellEnd"/>
      <w:r w:rsidRPr="00CB1C44">
        <w:rPr>
          <w:rFonts w:ascii="Arial" w:hAnsi="Arial" w:cs="Arial"/>
        </w:rPr>
        <w:t xml:space="preserve"> for </w:t>
      </w:r>
      <w:proofErr w:type="spellStart"/>
      <w:r w:rsidRPr="00CB1C44">
        <w:rPr>
          <w:rFonts w:ascii="Arial" w:hAnsi="Arial" w:cs="Arial"/>
        </w:rPr>
        <w:t>Interdisciplinary</w:t>
      </w:r>
      <w:proofErr w:type="spellEnd"/>
      <w:r w:rsidRPr="00CB1C44">
        <w:rPr>
          <w:rFonts w:ascii="Arial" w:hAnsi="Arial" w:cs="Arial"/>
        </w:rPr>
        <w:t xml:space="preserve"> Research</w:t>
      </w:r>
      <w:r w:rsidR="004A23F1" w:rsidRPr="00CB1C44">
        <w:rPr>
          <w:rFonts w:ascii="Arial" w:hAnsi="Arial" w:cs="Arial"/>
        </w:rPr>
        <w:t>,</w:t>
      </w:r>
      <w:r w:rsidRPr="00CB1C44">
        <w:rPr>
          <w:rFonts w:ascii="Arial" w:hAnsi="Arial" w:cs="Arial"/>
        </w:rPr>
        <w:t xml:space="preserve"> </w:t>
      </w:r>
      <w:proofErr w:type="spellStart"/>
      <w:r w:rsidRPr="00CB1C44">
        <w:rPr>
          <w:rFonts w:ascii="Arial" w:hAnsi="Arial" w:cs="Arial"/>
        </w:rPr>
        <w:t>University</w:t>
      </w:r>
      <w:proofErr w:type="spellEnd"/>
      <w:r w:rsidRPr="00CB1C44">
        <w:rPr>
          <w:rFonts w:ascii="Arial" w:hAnsi="Arial" w:cs="Arial"/>
        </w:rPr>
        <w:t xml:space="preserve"> </w:t>
      </w:r>
      <w:proofErr w:type="spellStart"/>
      <w:r w:rsidRPr="00CB1C44">
        <w:rPr>
          <w:rFonts w:ascii="Arial" w:hAnsi="Arial" w:cs="Arial"/>
        </w:rPr>
        <w:t>of</w:t>
      </w:r>
      <w:proofErr w:type="spellEnd"/>
      <w:r w:rsidRPr="00CB1C44">
        <w:rPr>
          <w:rFonts w:ascii="Arial" w:hAnsi="Arial" w:cs="Arial"/>
        </w:rPr>
        <w:t xml:space="preserve"> Coimbra</w:t>
      </w:r>
      <w:r w:rsidR="004A23F1" w:rsidRPr="00CB1C44">
        <w:rPr>
          <w:rFonts w:ascii="Arial" w:hAnsi="Arial" w:cs="Arial"/>
        </w:rPr>
        <w:t xml:space="preserve"> (IIIUC),</w:t>
      </w:r>
      <w:r w:rsidRPr="00CB1C44">
        <w:rPr>
          <w:rFonts w:ascii="Arial" w:hAnsi="Arial" w:cs="Arial"/>
        </w:rPr>
        <w:t xml:space="preserve"> Coimbra, Portugal</w:t>
      </w:r>
    </w:p>
    <w:p w14:paraId="6370C0ED" w14:textId="77777777" w:rsidR="00771B32" w:rsidRPr="00CB1C44" w:rsidRDefault="00771B32" w:rsidP="00771B32">
      <w:pPr>
        <w:spacing w:line="360" w:lineRule="auto"/>
        <w:jc w:val="both"/>
        <w:rPr>
          <w:rFonts w:ascii="Arial" w:hAnsi="Arial" w:cs="Arial"/>
          <w:b/>
          <w:lang w:val="en-GB"/>
        </w:rPr>
      </w:pPr>
      <w:r w:rsidRPr="00CB1C44">
        <w:rPr>
          <w:rFonts w:ascii="Arial" w:hAnsi="Arial" w:cs="Arial"/>
          <w:vertAlign w:val="superscript"/>
          <w:lang w:val="en-GB"/>
        </w:rPr>
        <w:t xml:space="preserve">c </w:t>
      </w:r>
      <w:r w:rsidRPr="00CB1C44">
        <w:rPr>
          <w:rFonts w:ascii="Arial" w:hAnsi="Arial" w:cs="Arial"/>
          <w:lang w:val="en-GB"/>
        </w:rPr>
        <w:t>Faculty of Medicine, University of Coimbra, Coimbra, Portugal</w:t>
      </w:r>
    </w:p>
    <w:p w14:paraId="77A62EF1" w14:textId="77777777" w:rsidR="00771B32" w:rsidRPr="00CB1C44" w:rsidRDefault="00771B32" w:rsidP="00771B32">
      <w:pPr>
        <w:spacing w:line="360" w:lineRule="auto"/>
        <w:jc w:val="both"/>
        <w:rPr>
          <w:rFonts w:ascii="Arial" w:hAnsi="Arial" w:cs="Arial"/>
          <w:i/>
          <w:iCs/>
          <w:lang w:val="en-GB"/>
        </w:rPr>
      </w:pPr>
      <w:r w:rsidRPr="00CB1C44">
        <w:rPr>
          <w:rFonts w:ascii="Arial" w:hAnsi="Arial" w:cs="Arial"/>
          <w:i/>
          <w:iCs/>
          <w:vertAlign w:val="superscript"/>
          <w:lang w:val="en-GB"/>
        </w:rPr>
        <w:t>1</w:t>
      </w:r>
      <w:r w:rsidRPr="00CB1C44">
        <w:rPr>
          <w:rFonts w:ascii="Arial" w:hAnsi="Arial" w:cs="Arial"/>
          <w:i/>
          <w:iCs/>
          <w:lang w:val="en-GB"/>
        </w:rPr>
        <w:t>These authors contributed equally to this work.</w:t>
      </w:r>
    </w:p>
    <w:p w14:paraId="3D63D481" w14:textId="77777777" w:rsidR="00771B32" w:rsidRPr="00CB1C44" w:rsidRDefault="00771B32" w:rsidP="00771B32">
      <w:pPr>
        <w:spacing w:line="360" w:lineRule="auto"/>
        <w:jc w:val="both"/>
        <w:rPr>
          <w:rFonts w:ascii="Arial" w:hAnsi="Arial" w:cs="Arial"/>
          <w:lang w:val="en-GB"/>
        </w:rPr>
      </w:pPr>
    </w:p>
    <w:p w14:paraId="39DC2391" w14:textId="77777777" w:rsidR="00771B32" w:rsidRPr="00CB1C44" w:rsidRDefault="00771B32" w:rsidP="00771B32">
      <w:pPr>
        <w:spacing w:line="360" w:lineRule="auto"/>
        <w:jc w:val="both"/>
        <w:rPr>
          <w:rFonts w:ascii="Arial" w:hAnsi="Arial" w:cs="Arial"/>
          <w:lang w:val="en-GB"/>
        </w:rPr>
      </w:pPr>
    </w:p>
    <w:p w14:paraId="5F8849F6" w14:textId="7070A7A1" w:rsidR="00C3261F" w:rsidRPr="00CB1C44" w:rsidRDefault="00771B32" w:rsidP="00771B32">
      <w:pPr>
        <w:spacing w:line="360" w:lineRule="auto"/>
        <w:jc w:val="both"/>
        <w:rPr>
          <w:rFonts w:ascii="Arial" w:hAnsi="Arial" w:cs="Arial"/>
          <w:lang w:val="en-GB"/>
        </w:rPr>
      </w:pPr>
      <w:r w:rsidRPr="00CB1C44">
        <w:rPr>
          <w:rFonts w:ascii="Arial" w:hAnsi="Arial" w:cs="Arial"/>
          <w:b/>
          <w:lang w:val="en-GB"/>
        </w:rPr>
        <w:t>*</w:t>
      </w:r>
      <w:r w:rsidR="00C3261F" w:rsidRPr="00CB1C44">
        <w:rPr>
          <w:rFonts w:ascii="Arial" w:hAnsi="Arial" w:cs="Arial"/>
          <w:b/>
          <w:lang w:val="en-GB"/>
        </w:rPr>
        <w:t xml:space="preserve"> Corresponding author</w:t>
      </w:r>
      <w:r w:rsidRPr="00CB1C44">
        <w:rPr>
          <w:rFonts w:ascii="Arial" w:hAnsi="Arial" w:cs="Arial"/>
          <w:b/>
          <w:lang w:val="en-GB"/>
        </w:rPr>
        <w:t>:</w:t>
      </w:r>
      <w:r w:rsidRPr="00CB1C44">
        <w:rPr>
          <w:rFonts w:ascii="Arial" w:hAnsi="Arial" w:cs="Arial"/>
          <w:lang w:val="en-GB"/>
        </w:rPr>
        <w:t xml:space="preserve"> </w:t>
      </w:r>
    </w:p>
    <w:p w14:paraId="4D4D4F30" w14:textId="7D8E84C4" w:rsidR="00771B32" w:rsidRPr="00CB1C44" w:rsidRDefault="00771B32" w:rsidP="00771B32">
      <w:pPr>
        <w:spacing w:line="360" w:lineRule="auto"/>
        <w:jc w:val="both"/>
        <w:rPr>
          <w:rFonts w:ascii="Arial" w:hAnsi="Arial" w:cs="Arial"/>
        </w:rPr>
      </w:pPr>
      <w:r w:rsidRPr="00CB1C44">
        <w:rPr>
          <w:rFonts w:ascii="Arial" w:hAnsi="Arial" w:cs="Arial"/>
          <w:lang w:val="en-GB"/>
        </w:rPr>
        <w:t>Prof. A</w:t>
      </w:r>
      <w:r w:rsidR="00C3261F" w:rsidRPr="00CB1C44">
        <w:rPr>
          <w:rFonts w:ascii="Arial" w:hAnsi="Arial" w:cs="Arial"/>
          <w:lang w:val="en-GB"/>
        </w:rPr>
        <w:t>na</w:t>
      </w:r>
      <w:r w:rsidRPr="00CB1C44">
        <w:rPr>
          <w:rFonts w:ascii="Arial" w:hAnsi="Arial" w:cs="Arial"/>
          <w:lang w:val="en-GB"/>
        </w:rPr>
        <w:t xml:space="preserve">. Cristina Rego, </w:t>
      </w:r>
      <w:proofErr w:type="spellStart"/>
      <w:r w:rsidRPr="00CB1C44">
        <w:rPr>
          <w:rFonts w:ascii="Arial" w:hAnsi="Arial" w:cs="Arial"/>
          <w:lang w:val="en-GB"/>
        </w:rPr>
        <w:t>Center</w:t>
      </w:r>
      <w:proofErr w:type="spellEnd"/>
      <w:r w:rsidRPr="00CB1C44">
        <w:rPr>
          <w:rFonts w:ascii="Arial" w:hAnsi="Arial" w:cs="Arial"/>
          <w:lang w:val="en-GB"/>
        </w:rPr>
        <w:t xml:space="preserve"> for Neuroscience and Cell Biology, and Faculty of Medicine, University of Coimbra (</w:t>
      </w:r>
      <w:r w:rsidR="004A23F1" w:rsidRPr="00CB1C44">
        <w:rPr>
          <w:rFonts w:ascii="Arial" w:hAnsi="Arial" w:cs="Arial"/>
          <w:lang w:val="en-GB"/>
        </w:rPr>
        <w:t>po</w:t>
      </w:r>
      <w:r w:rsidRPr="00CB1C44">
        <w:rPr>
          <w:rFonts w:ascii="Arial" w:hAnsi="Arial" w:cs="Arial"/>
          <w:lang w:val="en-GB"/>
        </w:rPr>
        <w:t>lo I)</w:t>
      </w:r>
      <w:r w:rsidR="004A23F1" w:rsidRPr="00CB1C44">
        <w:rPr>
          <w:rFonts w:ascii="Arial" w:hAnsi="Arial" w:cs="Arial"/>
          <w:lang w:val="en-GB"/>
        </w:rPr>
        <w:t>,</w:t>
      </w:r>
      <w:r w:rsidRPr="00CB1C44">
        <w:rPr>
          <w:rFonts w:ascii="Arial" w:hAnsi="Arial" w:cs="Arial"/>
          <w:lang w:val="en-GB"/>
        </w:rPr>
        <w:t xml:space="preserve"> </w:t>
      </w:r>
      <w:proofErr w:type="spellStart"/>
      <w:r w:rsidRPr="00CB1C44">
        <w:rPr>
          <w:rFonts w:ascii="Arial" w:hAnsi="Arial" w:cs="Arial"/>
          <w:lang w:val="en-GB"/>
        </w:rPr>
        <w:t>Rua</w:t>
      </w:r>
      <w:proofErr w:type="spellEnd"/>
      <w:r w:rsidRPr="00CB1C44">
        <w:rPr>
          <w:rFonts w:ascii="Arial" w:hAnsi="Arial" w:cs="Arial"/>
          <w:lang w:val="en-GB"/>
        </w:rPr>
        <w:t xml:space="preserve"> </w:t>
      </w:r>
      <w:proofErr w:type="spellStart"/>
      <w:r w:rsidRPr="00CB1C44">
        <w:rPr>
          <w:rFonts w:ascii="Arial" w:hAnsi="Arial" w:cs="Arial"/>
          <w:lang w:val="en-GB"/>
        </w:rPr>
        <w:t>Larga</w:t>
      </w:r>
      <w:proofErr w:type="spellEnd"/>
      <w:r w:rsidRPr="00CB1C44">
        <w:rPr>
          <w:rFonts w:ascii="Arial" w:hAnsi="Arial" w:cs="Arial"/>
          <w:lang w:val="en-GB"/>
        </w:rPr>
        <w:t xml:space="preserve">, 3004-504 Coimbra, Portugal. </w:t>
      </w:r>
      <w:r w:rsidRPr="00CB1C44">
        <w:rPr>
          <w:rFonts w:ascii="Arial" w:hAnsi="Arial" w:cs="Arial"/>
        </w:rPr>
        <w:t xml:space="preserve">Tel.: +351 239 820190; fax: +351 239 822776. </w:t>
      </w:r>
    </w:p>
    <w:p w14:paraId="29E3B24A" w14:textId="77777777" w:rsidR="00771B32" w:rsidRPr="00CB1C44" w:rsidRDefault="00771B32" w:rsidP="00771B32">
      <w:pPr>
        <w:spacing w:line="360" w:lineRule="auto"/>
        <w:jc w:val="both"/>
        <w:rPr>
          <w:rFonts w:ascii="Arial" w:hAnsi="Arial" w:cs="Arial"/>
        </w:rPr>
      </w:pPr>
    </w:p>
    <w:p w14:paraId="1F3B9029" w14:textId="77777777" w:rsidR="00771B32" w:rsidRPr="00CB1C44" w:rsidRDefault="00771B32" w:rsidP="00771B32">
      <w:pPr>
        <w:spacing w:line="360" w:lineRule="auto"/>
        <w:jc w:val="both"/>
        <w:rPr>
          <w:rFonts w:ascii="Arial" w:hAnsi="Arial" w:cs="Arial"/>
        </w:rPr>
      </w:pPr>
    </w:p>
    <w:p w14:paraId="4B162F1D" w14:textId="346ADD12" w:rsidR="00771B32" w:rsidRPr="00CB1C44" w:rsidRDefault="00771B32" w:rsidP="00771B32">
      <w:pPr>
        <w:spacing w:line="360" w:lineRule="auto"/>
        <w:jc w:val="both"/>
        <w:rPr>
          <w:rFonts w:ascii="Arial" w:hAnsi="Arial" w:cs="Arial"/>
        </w:rPr>
      </w:pPr>
      <w:r w:rsidRPr="00CB1C44">
        <w:rPr>
          <w:rFonts w:ascii="Arial" w:hAnsi="Arial" w:cs="Arial"/>
        </w:rPr>
        <w:t xml:space="preserve">E-mail </w:t>
      </w:r>
      <w:proofErr w:type="spellStart"/>
      <w:r w:rsidRPr="00CB1C44">
        <w:rPr>
          <w:rFonts w:ascii="Arial" w:hAnsi="Arial" w:cs="Arial"/>
        </w:rPr>
        <w:t>ad</w:t>
      </w:r>
      <w:r w:rsidR="000B2E99" w:rsidRPr="00CB1C44">
        <w:rPr>
          <w:rFonts w:ascii="Arial" w:hAnsi="Arial" w:cs="Arial"/>
        </w:rPr>
        <w:t>d</w:t>
      </w:r>
      <w:r w:rsidRPr="00CB1C44">
        <w:rPr>
          <w:rFonts w:ascii="Arial" w:hAnsi="Arial" w:cs="Arial"/>
        </w:rPr>
        <w:t>resses</w:t>
      </w:r>
      <w:proofErr w:type="spellEnd"/>
      <w:r w:rsidRPr="00CB1C44">
        <w:rPr>
          <w:rFonts w:ascii="Arial" w:hAnsi="Arial" w:cs="Arial"/>
        </w:rPr>
        <w:t xml:space="preserve">: ligia.fao@outlook.com (L. Fão), sandraisab.mota@gmail.com (S.I. Mota), acrego@cnc.uc.pt, </w:t>
      </w:r>
      <w:r w:rsidR="00C3261F" w:rsidRPr="00CB1C44">
        <w:rPr>
          <w:rFonts w:ascii="Arial" w:hAnsi="Arial" w:cs="Arial"/>
        </w:rPr>
        <w:t>arego@fmed.uc.pt</w:t>
      </w:r>
      <w:r w:rsidRPr="00CB1C44">
        <w:rPr>
          <w:rFonts w:ascii="Arial" w:hAnsi="Arial" w:cs="Arial"/>
        </w:rPr>
        <w:t>, a.cristina.rego@gmail.com (A.C. Rego)</w:t>
      </w:r>
    </w:p>
    <w:p w14:paraId="2D1A4A8C" w14:textId="77777777" w:rsidR="00771B32" w:rsidRPr="00CB1C44" w:rsidRDefault="00771B32" w:rsidP="00771B32">
      <w:pPr>
        <w:spacing w:line="360" w:lineRule="auto"/>
        <w:jc w:val="both"/>
        <w:rPr>
          <w:rFonts w:ascii="Arial" w:hAnsi="Arial" w:cs="Arial"/>
          <w:b/>
        </w:rPr>
      </w:pPr>
    </w:p>
    <w:p w14:paraId="0259B0F5" w14:textId="77777777" w:rsidR="00D13985" w:rsidRPr="00CB1C44" w:rsidRDefault="00D13985" w:rsidP="00771B32">
      <w:pPr>
        <w:spacing w:line="360" w:lineRule="auto"/>
        <w:jc w:val="both"/>
        <w:rPr>
          <w:rFonts w:ascii="Arial" w:hAnsi="Arial" w:cs="Arial"/>
          <w:b/>
        </w:rPr>
      </w:pPr>
    </w:p>
    <w:p w14:paraId="45E65D54" w14:textId="77777777" w:rsidR="00D13985" w:rsidRPr="00CB1C44" w:rsidRDefault="00D13985" w:rsidP="00771B32">
      <w:pPr>
        <w:spacing w:line="360" w:lineRule="auto"/>
        <w:jc w:val="both"/>
        <w:rPr>
          <w:rFonts w:ascii="Arial" w:hAnsi="Arial" w:cs="Arial"/>
          <w:b/>
        </w:rPr>
      </w:pPr>
    </w:p>
    <w:p w14:paraId="25618073" w14:textId="77777777" w:rsidR="00771B32" w:rsidRPr="00CB1C44" w:rsidRDefault="00771B32" w:rsidP="00771B32">
      <w:pPr>
        <w:spacing w:line="360" w:lineRule="auto"/>
        <w:jc w:val="both"/>
        <w:rPr>
          <w:rFonts w:ascii="Arial" w:hAnsi="Arial" w:cs="Arial"/>
          <w:b/>
          <w:lang w:val="en-US"/>
        </w:rPr>
      </w:pPr>
      <w:r w:rsidRPr="00CB1C44">
        <w:rPr>
          <w:rFonts w:ascii="Arial" w:hAnsi="Arial" w:cs="Arial"/>
          <w:b/>
          <w:lang w:val="en-US"/>
        </w:rPr>
        <w:lastRenderedPageBreak/>
        <w:t xml:space="preserve">ABSTRACT </w:t>
      </w:r>
    </w:p>
    <w:p w14:paraId="778C8E5A" w14:textId="2DC2259C" w:rsidR="006F76CD" w:rsidRPr="00CB1C44" w:rsidRDefault="00F000DA" w:rsidP="00771B32">
      <w:pPr>
        <w:spacing w:after="0" w:line="360" w:lineRule="auto"/>
        <w:jc w:val="both"/>
        <w:rPr>
          <w:rFonts w:ascii="Arial" w:hAnsi="Arial" w:cs="Arial"/>
          <w:lang w:val="en-US"/>
        </w:rPr>
      </w:pPr>
      <w:r w:rsidRPr="00CB1C44">
        <w:rPr>
          <w:rFonts w:ascii="Arial" w:hAnsi="Arial" w:cs="Arial"/>
          <w:lang w:val="en-US"/>
        </w:rPr>
        <w:t xml:space="preserve">A failure in redox homeostasis is a common hallmark </w:t>
      </w:r>
      <w:r w:rsidR="00350305" w:rsidRPr="00CB1C44">
        <w:rPr>
          <w:rFonts w:ascii="Arial" w:hAnsi="Arial" w:cs="Arial"/>
          <w:lang w:val="en-US"/>
        </w:rPr>
        <w:t>of</w:t>
      </w:r>
      <w:r w:rsidRPr="00CB1C44">
        <w:rPr>
          <w:rFonts w:ascii="Arial" w:hAnsi="Arial" w:cs="Arial"/>
          <w:lang w:val="en-US"/>
        </w:rPr>
        <w:t xml:space="preserve"> </w:t>
      </w:r>
      <w:r w:rsidR="00771B32" w:rsidRPr="00CB1C44">
        <w:rPr>
          <w:rFonts w:ascii="Arial" w:hAnsi="Arial" w:cs="Arial"/>
          <w:lang w:val="en-US"/>
        </w:rPr>
        <w:t xml:space="preserve">Alzheimer’s Disease (AD) and Parkinson’s Disease (PD), </w:t>
      </w:r>
      <w:r w:rsidR="00350305" w:rsidRPr="00CB1C44">
        <w:rPr>
          <w:rFonts w:ascii="Arial" w:hAnsi="Arial" w:cs="Arial"/>
          <w:lang w:val="en-US"/>
        </w:rPr>
        <w:t>two age-dependent neurodegenerative disorders (NDD), causing</w:t>
      </w:r>
      <w:r w:rsidR="00771B32" w:rsidRPr="00CB1C44">
        <w:rPr>
          <w:rFonts w:ascii="Arial" w:hAnsi="Arial" w:cs="Arial"/>
          <w:lang w:val="en-US"/>
        </w:rPr>
        <w:t xml:space="preserve"> increased oxidative stress, </w:t>
      </w:r>
      <w:r w:rsidR="00A06E0A" w:rsidRPr="00CB1C44">
        <w:rPr>
          <w:rFonts w:ascii="Arial" w:hAnsi="Arial" w:cs="Arial"/>
          <w:lang w:val="en-US"/>
        </w:rPr>
        <w:t>oxidized/</w:t>
      </w:r>
      <w:r w:rsidR="00771B32" w:rsidRPr="00CB1C44">
        <w:rPr>
          <w:rFonts w:ascii="Arial" w:hAnsi="Arial" w:cs="Arial"/>
          <w:lang w:val="en-US"/>
        </w:rPr>
        <w:t xml:space="preserve">damaged biomolecules, altered neuronal function and consequent cell death. </w:t>
      </w:r>
      <w:r w:rsidR="004A23F1" w:rsidRPr="00CB1C44">
        <w:rPr>
          <w:rFonts w:ascii="Arial" w:hAnsi="Arial" w:cs="Arial"/>
          <w:lang w:val="en-US"/>
        </w:rPr>
        <w:t>Activation of n</w:t>
      </w:r>
      <w:r w:rsidR="00836DB4" w:rsidRPr="00CB1C44">
        <w:rPr>
          <w:rFonts w:ascii="Arial" w:hAnsi="Arial" w:cs="Arial"/>
          <w:lang w:val="en-US"/>
        </w:rPr>
        <w:t xml:space="preserve">uclear factor erythroid 2-related factor 2 </w:t>
      </w:r>
      <w:r w:rsidR="00771B32" w:rsidRPr="00CB1C44">
        <w:rPr>
          <w:rFonts w:ascii="Arial" w:hAnsi="Arial" w:cs="Arial"/>
          <w:lang w:val="en-US"/>
        </w:rPr>
        <w:t>(Nrf2)</w:t>
      </w:r>
      <w:r w:rsidR="004A23F1" w:rsidRPr="00CB1C44">
        <w:rPr>
          <w:rFonts w:ascii="Arial" w:hAnsi="Arial" w:cs="Arial"/>
          <w:lang w:val="en-US"/>
        </w:rPr>
        <w:t xml:space="preserve">, a redox-regulated transcription factor, </w:t>
      </w:r>
      <w:r w:rsidR="00771B32" w:rsidRPr="00CB1C44">
        <w:rPr>
          <w:rFonts w:ascii="Arial" w:hAnsi="Arial" w:cs="Arial"/>
          <w:lang w:val="en-US"/>
        </w:rPr>
        <w:t>results in upregulation of cytoprotective and antioxidant enzymes/proteins, protecti</w:t>
      </w:r>
      <w:r w:rsidR="004A23F1" w:rsidRPr="00CB1C44">
        <w:rPr>
          <w:rFonts w:ascii="Arial" w:hAnsi="Arial" w:cs="Arial"/>
          <w:lang w:val="en-US"/>
        </w:rPr>
        <w:t>ng</w:t>
      </w:r>
      <w:r w:rsidR="00771B32" w:rsidRPr="00CB1C44">
        <w:rPr>
          <w:rFonts w:ascii="Arial" w:hAnsi="Arial" w:cs="Arial"/>
          <w:lang w:val="en-US"/>
        </w:rPr>
        <w:t xml:space="preserve"> against oxidative stress. </w:t>
      </w:r>
      <w:r w:rsidR="002D44BC" w:rsidRPr="00CB1C44">
        <w:rPr>
          <w:rFonts w:ascii="Arial" w:hAnsi="Arial" w:cs="Arial"/>
          <w:lang w:val="en-US"/>
        </w:rPr>
        <w:t xml:space="preserve">Nrf2 regulation is achieved by </w:t>
      </w:r>
      <w:r w:rsidR="00350305" w:rsidRPr="00CB1C44">
        <w:rPr>
          <w:rFonts w:ascii="Arial" w:hAnsi="Arial" w:cs="Arial"/>
          <w:lang w:val="en-US"/>
        </w:rPr>
        <w:t xml:space="preserve">various </w:t>
      </w:r>
      <w:r w:rsidR="002D44BC" w:rsidRPr="00CB1C44">
        <w:rPr>
          <w:rFonts w:ascii="Arial" w:hAnsi="Arial" w:cs="Arial"/>
          <w:lang w:val="en-US"/>
        </w:rPr>
        <w:t xml:space="preserve">proteins and pathways, at both cytoplasmatic and nuclear level; however, the elaborate network of mechanisms involved in Nrf2 regulation may </w:t>
      </w:r>
      <w:r w:rsidR="004A23F1" w:rsidRPr="00CB1C44">
        <w:rPr>
          <w:rFonts w:ascii="Arial" w:hAnsi="Arial" w:cs="Arial"/>
          <w:lang w:val="en-US"/>
        </w:rPr>
        <w:t xml:space="preserve">restrain </w:t>
      </w:r>
      <w:r w:rsidR="00350305" w:rsidRPr="00CB1C44">
        <w:rPr>
          <w:rFonts w:ascii="Arial" w:hAnsi="Arial" w:cs="Arial"/>
          <w:lang w:val="en-US"/>
        </w:rPr>
        <w:t xml:space="preserve">Nrf2 pathway </w:t>
      </w:r>
      <w:r w:rsidR="002C1490" w:rsidRPr="00CB1C44">
        <w:rPr>
          <w:rFonts w:ascii="Arial" w:hAnsi="Arial" w:cs="Arial"/>
          <w:lang w:val="en-US"/>
        </w:rPr>
        <w:t>normal activity</w:t>
      </w:r>
      <w:r w:rsidR="002D44BC" w:rsidRPr="00CB1C44">
        <w:rPr>
          <w:rFonts w:ascii="Arial" w:hAnsi="Arial" w:cs="Arial"/>
          <w:lang w:val="en-US"/>
        </w:rPr>
        <w:t xml:space="preserve">. </w:t>
      </w:r>
      <w:r w:rsidR="00350305" w:rsidRPr="00CB1C44">
        <w:rPr>
          <w:rFonts w:ascii="Arial" w:hAnsi="Arial" w:cs="Arial"/>
          <w:lang w:val="en-US"/>
        </w:rPr>
        <w:t>Indeed, a</w:t>
      </w:r>
      <w:r w:rsidR="00771B32" w:rsidRPr="00CB1C44">
        <w:rPr>
          <w:rFonts w:ascii="Arial" w:hAnsi="Arial" w:cs="Arial"/>
          <w:lang w:val="en-US"/>
        </w:rPr>
        <w:t>ltered Nrf2 activity is involved in aging and NDD, such as AD and PD</w:t>
      </w:r>
      <w:r w:rsidR="002C1490" w:rsidRPr="00CB1C44">
        <w:rPr>
          <w:rFonts w:ascii="Arial" w:hAnsi="Arial" w:cs="Arial"/>
          <w:lang w:val="en-US"/>
        </w:rPr>
        <w:t>. Therefore,</w:t>
      </w:r>
      <w:r w:rsidR="002D44BC" w:rsidRPr="00CB1C44">
        <w:rPr>
          <w:rFonts w:ascii="Arial" w:hAnsi="Arial" w:cs="Arial"/>
          <w:lang w:val="en-US"/>
        </w:rPr>
        <w:t xml:space="preserve"> </w:t>
      </w:r>
      <w:r w:rsidR="00771B32" w:rsidRPr="00CB1C44">
        <w:rPr>
          <w:rFonts w:ascii="Arial" w:hAnsi="Arial" w:cs="Arial"/>
          <w:lang w:val="en-US"/>
        </w:rPr>
        <w:t xml:space="preserve">understanding the diversity of </w:t>
      </w:r>
      <w:r w:rsidR="00AD2411" w:rsidRPr="00CB1C44">
        <w:rPr>
          <w:rFonts w:ascii="Arial" w:hAnsi="Arial" w:cs="Arial"/>
          <w:lang w:val="en-US"/>
        </w:rPr>
        <w:t xml:space="preserve">Nrf2 control </w:t>
      </w:r>
      <w:r w:rsidR="00771B32" w:rsidRPr="00CB1C44">
        <w:rPr>
          <w:rFonts w:ascii="Arial" w:hAnsi="Arial" w:cs="Arial"/>
          <w:lang w:val="en-US"/>
        </w:rPr>
        <w:t>mechanisms and regulatory proteins is of high interest, since more effective NDD therapeutics can be identified.</w:t>
      </w:r>
      <w:r w:rsidR="006F76CD" w:rsidRPr="00CB1C44">
        <w:rPr>
          <w:rFonts w:ascii="Arial" w:hAnsi="Arial" w:cs="Arial"/>
          <w:lang w:val="en-US"/>
        </w:rPr>
        <w:t xml:space="preserve"> </w:t>
      </w:r>
      <w:r w:rsidR="00F76854" w:rsidRPr="00CB1C44">
        <w:rPr>
          <w:rFonts w:ascii="Arial" w:hAnsi="Arial" w:cs="Arial"/>
          <w:lang w:val="en-US"/>
        </w:rPr>
        <w:t xml:space="preserve">In this review, </w:t>
      </w:r>
      <w:r w:rsidR="006776E1" w:rsidRPr="00CB1C44">
        <w:rPr>
          <w:rFonts w:ascii="Arial" w:hAnsi="Arial" w:cs="Arial"/>
          <w:lang w:val="en-US"/>
        </w:rPr>
        <w:t xml:space="preserve">we first introduce Keap1-Nrf2-ARE structure, function and regulation, with a special focus on </w:t>
      </w:r>
      <w:r w:rsidR="00C3244E" w:rsidRPr="00CB1C44">
        <w:rPr>
          <w:rFonts w:ascii="Arial" w:hAnsi="Arial" w:cs="Arial"/>
          <w:lang w:val="en-US"/>
        </w:rPr>
        <w:t>the several pathways involved in Nrf2 positive and negative modulation</w:t>
      </w:r>
      <w:r w:rsidR="002C1490" w:rsidRPr="00CB1C44">
        <w:rPr>
          <w:rFonts w:ascii="Arial" w:hAnsi="Arial" w:cs="Arial"/>
          <w:lang w:val="en-US"/>
        </w:rPr>
        <w:t>, namely p62, PKC, PI3K/</w:t>
      </w:r>
      <w:proofErr w:type="spellStart"/>
      <w:r w:rsidR="002C1490" w:rsidRPr="00CB1C44">
        <w:rPr>
          <w:rFonts w:ascii="Arial" w:hAnsi="Arial" w:cs="Arial"/>
          <w:lang w:val="en-US"/>
        </w:rPr>
        <w:t>Akt</w:t>
      </w:r>
      <w:proofErr w:type="spellEnd"/>
      <w:r w:rsidR="002C1490" w:rsidRPr="00CB1C44">
        <w:rPr>
          <w:rFonts w:ascii="Arial" w:hAnsi="Arial" w:cs="Arial"/>
          <w:lang w:val="en-US"/>
        </w:rPr>
        <w:t>/GSK-3</w:t>
      </w:r>
      <w:r w:rsidR="002C1490" w:rsidRPr="00CB1C44">
        <w:rPr>
          <w:rFonts w:ascii="Arial" w:hAnsi="Arial" w:cs="Arial"/>
          <w:lang w:val="en-US"/>
        </w:rPr>
        <w:sym w:font="Symbol" w:char="F062"/>
      </w:r>
      <w:r w:rsidR="002C1490" w:rsidRPr="00CB1C44">
        <w:rPr>
          <w:rFonts w:ascii="Arial" w:hAnsi="Arial" w:cs="Arial"/>
          <w:lang w:val="en-US"/>
        </w:rPr>
        <w:t>, NF-kB and p38 MAPK</w:t>
      </w:r>
      <w:r w:rsidR="00C3244E" w:rsidRPr="00CB1C44">
        <w:rPr>
          <w:rFonts w:ascii="Arial" w:hAnsi="Arial" w:cs="Arial"/>
          <w:lang w:val="en-US"/>
        </w:rPr>
        <w:t xml:space="preserve">. We then briefly describe the evidences for oxidative stress and Nrf2 pathway deregulation in different stages of NDDs. Finally, we discuss the potential of Nrf2-related pathways as potential therapeutic targets </w:t>
      </w:r>
      <w:r w:rsidR="00F02B5E" w:rsidRPr="00CB1C44">
        <w:rPr>
          <w:rFonts w:ascii="Arial" w:hAnsi="Arial" w:cs="Arial"/>
          <w:lang w:val="en-US"/>
        </w:rPr>
        <w:t>to possibl</w:t>
      </w:r>
      <w:r w:rsidR="00D307C0" w:rsidRPr="00CB1C44">
        <w:rPr>
          <w:rFonts w:ascii="Arial" w:hAnsi="Arial" w:cs="Arial"/>
          <w:lang w:val="en-US"/>
        </w:rPr>
        <w:t>y</w:t>
      </w:r>
      <w:r w:rsidR="00F02B5E" w:rsidRPr="00CB1C44">
        <w:rPr>
          <w:rFonts w:ascii="Arial" w:hAnsi="Arial" w:cs="Arial"/>
          <w:lang w:val="en-US"/>
        </w:rPr>
        <w:t xml:space="preserve"> prevent or slowdown </w:t>
      </w:r>
      <w:r w:rsidR="00350305" w:rsidRPr="00CB1C44">
        <w:rPr>
          <w:rFonts w:ascii="Arial" w:hAnsi="Arial" w:cs="Arial"/>
          <w:lang w:val="en-US"/>
        </w:rPr>
        <w:t xml:space="preserve">NDD </w:t>
      </w:r>
      <w:r w:rsidR="00F02B5E" w:rsidRPr="00CB1C44">
        <w:rPr>
          <w:rFonts w:ascii="Arial" w:hAnsi="Arial" w:cs="Arial"/>
          <w:lang w:val="en-US"/>
        </w:rPr>
        <w:t>progression.</w:t>
      </w:r>
    </w:p>
    <w:p w14:paraId="05A3724C" w14:textId="77777777" w:rsidR="007E6A97" w:rsidRPr="00CB1C44" w:rsidRDefault="007E6A97" w:rsidP="00771B32">
      <w:pPr>
        <w:spacing w:line="360" w:lineRule="auto"/>
        <w:jc w:val="both"/>
        <w:rPr>
          <w:rFonts w:ascii="Arial" w:hAnsi="Arial" w:cs="Arial"/>
          <w:lang w:val="en-US"/>
        </w:rPr>
      </w:pPr>
    </w:p>
    <w:p w14:paraId="5F582623" w14:textId="77777777" w:rsidR="00771B32" w:rsidRPr="00CB1C44" w:rsidRDefault="00771B32" w:rsidP="00771B32">
      <w:pPr>
        <w:spacing w:line="360" w:lineRule="auto"/>
        <w:jc w:val="both"/>
        <w:outlineLvl w:val="0"/>
        <w:rPr>
          <w:rFonts w:ascii="Arial" w:hAnsi="Arial" w:cs="Arial"/>
          <w:lang w:val="en-US"/>
        </w:rPr>
      </w:pPr>
      <w:r w:rsidRPr="00CB1C44">
        <w:rPr>
          <w:rFonts w:ascii="Arial" w:hAnsi="Arial" w:cs="Arial"/>
          <w:b/>
          <w:lang w:val="en-US"/>
        </w:rPr>
        <w:t>Keywords:</w:t>
      </w:r>
      <w:r w:rsidRPr="00CB1C44">
        <w:rPr>
          <w:rFonts w:ascii="Arial" w:hAnsi="Arial" w:cs="Arial"/>
          <w:lang w:val="en-US"/>
        </w:rPr>
        <w:t xml:space="preserve"> </w:t>
      </w:r>
    </w:p>
    <w:p w14:paraId="1250B62F" w14:textId="7D7BEFF9" w:rsidR="00771B32" w:rsidRPr="00CB1C44" w:rsidRDefault="00771B32" w:rsidP="00771B32">
      <w:pPr>
        <w:spacing w:line="360" w:lineRule="auto"/>
        <w:jc w:val="both"/>
        <w:outlineLvl w:val="0"/>
        <w:rPr>
          <w:rFonts w:ascii="Arial" w:hAnsi="Arial" w:cs="Arial"/>
          <w:lang w:val="en-US"/>
        </w:rPr>
      </w:pPr>
      <w:r w:rsidRPr="00CB1C44">
        <w:rPr>
          <w:rFonts w:ascii="Arial" w:hAnsi="Arial" w:cs="Arial"/>
          <w:lang w:val="en-US"/>
        </w:rPr>
        <w:t xml:space="preserve">Nrf2, </w:t>
      </w:r>
      <w:r w:rsidR="008D232C" w:rsidRPr="00CB1C44">
        <w:rPr>
          <w:rFonts w:ascii="Arial" w:hAnsi="Arial" w:cs="Arial"/>
          <w:lang w:val="en-US"/>
        </w:rPr>
        <w:t>Keap1, Oxidative Stress, Alzheimer’s Disease, Parkinson’s disease</w:t>
      </w:r>
    </w:p>
    <w:p w14:paraId="16B23053" w14:textId="77777777" w:rsidR="00436025" w:rsidRPr="00CB1C44" w:rsidRDefault="00436025" w:rsidP="00771B32">
      <w:pPr>
        <w:spacing w:line="360" w:lineRule="auto"/>
        <w:jc w:val="both"/>
        <w:outlineLvl w:val="0"/>
        <w:rPr>
          <w:rFonts w:ascii="Arial" w:hAnsi="Arial" w:cs="Arial"/>
          <w:lang w:val="en-US"/>
        </w:rPr>
      </w:pPr>
    </w:p>
    <w:p w14:paraId="3D69EC36" w14:textId="77777777" w:rsidR="00771B32" w:rsidRPr="00CB1C44" w:rsidRDefault="00771B32" w:rsidP="007B1698">
      <w:pPr>
        <w:widowControl w:val="0"/>
        <w:autoSpaceDE w:val="0"/>
        <w:autoSpaceDN w:val="0"/>
        <w:adjustRightInd w:val="0"/>
        <w:spacing w:line="360" w:lineRule="auto"/>
        <w:ind w:left="640" w:hanging="640"/>
        <w:jc w:val="both"/>
        <w:rPr>
          <w:rFonts w:ascii="Arial" w:hAnsi="Arial" w:cs="Arial"/>
          <w:b/>
          <w:lang w:val="en-US"/>
        </w:rPr>
      </w:pPr>
      <w:r w:rsidRPr="00CB1C44">
        <w:rPr>
          <w:rFonts w:ascii="Arial" w:hAnsi="Arial" w:cs="Arial"/>
          <w:b/>
          <w:lang w:val="en-US"/>
        </w:rPr>
        <w:t>Abbreviations:</w:t>
      </w:r>
    </w:p>
    <w:p w14:paraId="6A64717F" w14:textId="4CF31971" w:rsidR="00014BD8" w:rsidRPr="00CB1C44" w:rsidRDefault="0024646D" w:rsidP="007B1698">
      <w:pPr>
        <w:jc w:val="both"/>
        <w:rPr>
          <w:rFonts w:ascii="Arial" w:hAnsi="Arial" w:cs="Arial"/>
          <w:lang w:val="en-US"/>
        </w:rPr>
      </w:pPr>
      <w:r w:rsidRPr="00CB1C44">
        <w:rPr>
          <w:rFonts w:ascii="Arial" w:hAnsi="Arial" w:cs="Arial"/>
          <w:lang w:val="en-US"/>
        </w:rPr>
        <w:t>α-Syn, α-</w:t>
      </w:r>
      <w:r w:rsidR="004F446B" w:rsidRPr="00CB1C44">
        <w:rPr>
          <w:rFonts w:ascii="Arial" w:hAnsi="Arial" w:cs="Arial"/>
          <w:lang w:val="en-US"/>
        </w:rPr>
        <w:t>S</w:t>
      </w:r>
      <w:r w:rsidRPr="00CB1C44">
        <w:rPr>
          <w:rFonts w:ascii="Arial" w:hAnsi="Arial" w:cs="Arial"/>
          <w:lang w:val="en-US"/>
        </w:rPr>
        <w:t xml:space="preserve">ynuclein; </w:t>
      </w:r>
      <w:r w:rsidR="007B1698" w:rsidRPr="00CB1C44">
        <w:rPr>
          <w:rFonts w:ascii="Arial" w:hAnsi="Arial" w:cs="Arial"/>
          <w:lang w:val="en-US"/>
        </w:rPr>
        <w:t>β-</w:t>
      </w:r>
      <w:proofErr w:type="spellStart"/>
      <w:r w:rsidR="007B1698" w:rsidRPr="00CB1C44">
        <w:rPr>
          <w:rFonts w:ascii="Arial" w:hAnsi="Arial" w:cs="Arial"/>
          <w:lang w:val="en-US"/>
        </w:rPr>
        <w:t>TrCP</w:t>
      </w:r>
      <w:proofErr w:type="spellEnd"/>
      <w:r w:rsidR="007B1698" w:rsidRPr="00CB1C44">
        <w:rPr>
          <w:rFonts w:ascii="Arial" w:hAnsi="Arial" w:cs="Arial"/>
          <w:lang w:val="en-US"/>
        </w:rPr>
        <w:t>, β-</w:t>
      </w:r>
      <w:proofErr w:type="spellStart"/>
      <w:r w:rsidR="002C1490" w:rsidRPr="00CB1C44">
        <w:rPr>
          <w:rFonts w:ascii="Arial" w:hAnsi="Arial" w:cs="Arial"/>
          <w:lang w:val="en-US"/>
        </w:rPr>
        <w:t>T</w:t>
      </w:r>
      <w:r w:rsidR="007B1698" w:rsidRPr="00CB1C44">
        <w:rPr>
          <w:rFonts w:ascii="Arial" w:hAnsi="Arial" w:cs="Arial"/>
          <w:lang w:val="en-US"/>
        </w:rPr>
        <w:t>ransducin</w:t>
      </w:r>
      <w:proofErr w:type="spellEnd"/>
      <w:r w:rsidR="007B1698" w:rsidRPr="00CB1C44">
        <w:rPr>
          <w:rFonts w:ascii="Arial" w:hAnsi="Arial" w:cs="Arial"/>
          <w:lang w:val="en-US"/>
        </w:rPr>
        <w:t xml:space="preserve"> repeat-containing protein; </w:t>
      </w:r>
      <w:r w:rsidR="007051E6" w:rsidRPr="00CB1C44">
        <w:rPr>
          <w:rFonts w:ascii="Arial" w:hAnsi="Arial" w:cs="Arial"/>
          <w:lang w:val="en-US"/>
        </w:rPr>
        <w:t xml:space="preserve">Aβ, </w:t>
      </w:r>
      <w:r w:rsidR="004F446B" w:rsidRPr="00CB1C44">
        <w:rPr>
          <w:rFonts w:ascii="Arial" w:hAnsi="Arial" w:cs="Arial"/>
          <w:lang w:val="en-US"/>
        </w:rPr>
        <w:t>A</w:t>
      </w:r>
      <w:r w:rsidR="007051E6" w:rsidRPr="00CB1C44">
        <w:rPr>
          <w:rFonts w:ascii="Arial" w:hAnsi="Arial" w:cs="Arial"/>
          <w:lang w:val="en-US"/>
        </w:rPr>
        <w:t>myloid</w:t>
      </w:r>
      <w:r w:rsidR="004F446B" w:rsidRPr="00CB1C44">
        <w:rPr>
          <w:rFonts w:ascii="Arial" w:hAnsi="Arial" w:cs="Arial"/>
          <w:lang w:val="en-US"/>
        </w:rPr>
        <w:t>-</w:t>
      </w:r>
      <w:r w:rsidR="007051E6" w:rsidRPr="00CB1C44">
        <w:rPr>
          <w:rFonts w:ascii="Arial" w:hAnsi="Arial" w:cs="Arial"/>
          <w:lang w:val="en-US"/>
        </w:rPr>
        <w:t xml:space="preserve">beta peptide; </w:t>
      </w:r>
      <w:r w:rsidR="007E6A97" w:rsidRPr="00CB1C44">
        <w:rPr>
          <w:rFonts w:ascii="Arial" w:hAnsi="Arial" w:cs="Arial"/>
          <w:lang w:val="en-US"/>
        </w:rPr>
        <w:t>6-OHDA, 6-</w:t>
      </w:r>
      <w:r w:rsidR="004F446B" w:rsidRPr="00CB1C44">
        <w:rPr>
          <w:rFonts w:ascii="Arial" w:hAnsi="Arial" w:cs="Arial"/>
          <w:lang w:val="en-US"/>
        </w:rPr>
        <w:t>H</w:t>
      </w:r>
      <w:r w:rsidR="007E6A97" w:rsidRPr="00CB1C44">
        <w:rPr>
          <w:rFonts w:ascii="Arial" w:hAnsi="Arial" w:cs="Arial"/>
          <w:lang w:val="en-US"/>
        </w:rPr>
        <w:t>ydroxydopamine; 8-OHdG, 8-</w:t>
      </w:r>
      <w:r w:rsidR="004F446B" w:rsidRPr="00CB1C44">
        <w:rPr>
          <w:rFonts w:ascii="Arial" w:hAnsi="Arial" w:cs="Arial"/>
          <w:lang w:val="en-US"/>
        </w:rPr>
        <w:t>H</w:t>
      </w:r>
      <w:r w:rsidR="007E6A97" w:rsidRPr="00CB1C44">
        <w:rPr>
          <w:rFonts w:ascii="Arial" w:hAnsi="Arial" w:cs="Arial"/>
          <w:lang w:val="en-US"/>
        </w:rPr>
        <w:t xml:space="preserve">ydroxy-2'-deoxyguanosine; </w:t>
      </w:r>
      <w:r w:rsidR="00F814F1" w:rsidRPr="00CB1C44">
        <w:rPr>
          <w:rFonts w:ascii="Arial" w:hAnsi="Arial" w:cs="Arial"/>
          <w:lang w:val="en-US"/>
        </w:rPr>
        <w:t xml:space="preserve">AD, Alzheimer’s disease; </w:t>
      </w:r>
      <w:r w:rsidR="007051E6" w:rsidRPr="00CB1C44">
        <w:rPr>
          <w:rFonts w:ascii="Arial" w:hAnsi="Arial" w:cs="Arial"/>
          <w:lang w:val="en-US"/>
        </w:rPr>
        <w:t xml:space="preserve">APP, </w:t>
      </w:r>
      <w:r w:rsidR="004F446B" w:rsidRPr="00CB1C44">
        <w:rPr>
          <w:rFonts w:ascii="Arial" w:hAnsi="Arial" w:cs="Arial"/>
          <w:lang w:val="en-US"/>
        </w:rPr>
        <w:t>A</w:t>
      </w:r>
      <w:r w:rsidR="007051E6" w:rsidRPr="00CB1C44">
        <w:rPr>
          <w:rFonts w:ascii="Arial" w:hAnsi="Arial" w:cs="Arial"/>
          <w:lang w:val="en-US"/>
        </w:rPr>
        <w:t xml:space="preserve">myloid precursor protein; </w:t>
      </w:r>
      <w:r w:rsidR="00771B32" w:rsidRPr="00CB1C44">
        <w:rPr>
          <w:rFonts w:ascii="Arial" w:hAnsi="Arial" w:cs="Arial"/>
          <w:lang w:val="en-US"/>
        </w:rPr>
        <w:t xml:space="preserve">ARE, Antioxidant Response Element; </w:t>
      </w:r>
      <w:proofErr w:type="spellStart"/>
      <w:r w:rsidR="00F814F1" w:rsidRPr="00CB1C44">
        <w:rPr>
          <w:rFonts w:ascii="Arial" w:hAnsi="Arial" w:cs="Arial"/>
          <w:lang w:val="en-US"/>
        </w:rPr>
        <w:t>bZIP</w:t>
      </w:r>
      <w:proofErr w:type="spellEnd"/>
      <w:r w:rsidR="00F814F1" w:rsidRPr="00CB1C44">
        <w:rPr>
          <w:rFonts w:ascii="Arial" w:hAnsi="Arial" w:cs="Arial"/>
          <w:lang w:val="en-US"/>
        </w:rPr>
        <w:t xml:space="preserve">, basic leucine zipper; </w:t>
      </w:r>
      <w:r w:rsidR="007B1698" w:rsidRPr="00CB1C44">
        <w:rPr>
          <w:rFonts w:ascii="Arial" w:hAnsi="Arial" w:cs="Arial"/>
          <w:lang w:val="en-US"/>
        </w:rPr>
        <w:t xml:space="preserve">CHD6, </w:t>
      </w:r>
      <w:r w:rsidR="002C1490" w:rsidRPr="00CB1C44">
        <w:rPr>
          <w:rFonts w:ascii="Arial" w:hAnsi="Arial" w:cs="Arial"/>
          <w:lang w:val="en-US"/>
        </w:rPr>
        <w:t>C</w:t>
      </w:r>
      <w:r w:rsidR="007B1698" w:rsidRPr="00CB1C44">
        <w:rPr>
          <w:rFonts w:ascii="Arial" w:hAnsi="Arial" w:cs="Arial"/>
          <w:lang w:val="en-US"/>
        </w:rPr>
        <w:t xml:space="preserve">hromo-ATPase/helicase DNA-binding protein; </w:t>
      </w:r>
      <w:r w:rsidR="00F814F1" w:rsidRPr="00CB1C44">
        <w:rPr>
          <w:rFonts w:ascii="Arial" w:hAnsi="Arial" w:cs="Arial"/>
          <w:lang w:val="en-US"/>
        </w:rPr>
        <w:t>CNC, cap-n-collar;</w:t>
      </w:r>
      <w:r w:rsidR="007051E6" w:rsidRPr="00CB1C44">
        <w:rPr>
          <w:rFonts w:ascii="Arial" w:hAnsi="Arial" w:cs="Arial"/>
          <w:lang w:val="en-US"/>
        </w:rPr>
        <w:t xml:space="preserve"> CK2, </w:t>
      </w:r>
      <w:r w:rsidR="002C1490" w:rsidRPr="00CB1C44">
        <w:rPr>
          <w:rFonts w:ascii="Arial" w:hAnsi="Arial" w:cs="Arial"/>
          <w:lang w:val="en-US"/>
        </w:rPr>
        <w:t>C</w:t>
      </w:r>
      <w:r w:rsidR="007051E6" w:rsidRPr="00CB1C44">
        <w:rPr>
          <w:rFonts w:ascii="Arial" w:hAnsi="Arial" w:cs="Arial"/>
          <w:lang w:val="en-US"/>
        </w:rPr>
        <w:t>asein kinase II;</w:t>
      </w:r>
      <w:r w:rsidR="00F814F1" w:rsidRPr="00CB1C44">
        <w:rPr>
          <w:rFonts w:ascii="Arial" w:hAnsi="Arial" w:cs="Arial"/>
          <w:lang w:val="en-US"/>
        </w:rPr>
        <w:t xml:space="preserve"> CREB, cAMP response element-binding protein; CBP, CREB-binding protein; CTR, C-terminal region;</w:t>
      </w:r>
      <w:r w:rsidR="007051E6" w:rsidRPr="00CB1C44">
        <w:rPr>
          <w:rFonts w:ascii="Arial" w:hAnsi="Arial" w:cs="Arial"/>
          <w:lang w:val="en-US"/>
        </w:rPr>
        <w:t xml:space="preserve"> Cul3, Cullin3;</w:t>
      </w:r>
      <w:r w:rsidR="00F814F1" w:rsidRPr="00CB1C44">
        <w:rPr>
          <w:rFonts w:ascii="Arial" w:hAnsi="Arial" w:cs="Arial"/>
          <w:lang w:val="en-US"/>
        </w:rPr>
        <w:t xml:space="preserve"> </w:t>
      </w:r>
      <w:r w:rsidRPr="00CB1C44">
        <w:rPr>
          <w:rFonts w:ascii="Arial" w:hAnsi="Arial" w:cs="Arial"/>
          <w:lang w:val="en-US"/>
        </w:rPr>
        <w:t xml:space="preserve">DA, </w:t>
      </w:r>
      <w:r w:rsidR="002C1490" w:rsidRPr="00CB1C44">
        <w:rPr>
          <w:rFonts w:ascii="Arial" w:hAnsi="Arial" w:cs="Arial"/>
          <w:lang w:val="en-US"/>
        </w:rPr>
        <w:t>D</w:t>
      </w:r>
      <w:r w:rsidRPr="00CB1C44">
        <w:rPr>
          <w:rFonts w:ascii="Arial" w:hAnsi="Arial" w:cs="Arial"/>
          <w:lang w:val="en-US"/>
        </w:rPr>
        <w:t>opamine;</w:t>
      </w:r>
      <w:r w:rsidR="007B1698" w:rsidRPr="00CB1C44">
        <w:rPr>
          <w:rFonts w:ascii="Arial" w:hAnsi="Arial" w:cs="Arial"/>
          <w:lang w:val="en-US"/>
        </w:rPr>
        <w:t xml:space="preserve"> ECH, Erythroid cell-derived protein with CNC homology with chicken Nrf2;</w:t>
      </w:r>
      <w:r w:rsidRPr="00CB1C44">
        <w:rPr>
          <w:rFonts w:ascii="Arial" w:hAnsi="Arial" w:cs="Arial"/>
          <w:lang w:val="en-US"/>
        </w:rPr>
        <w:t xml:space="preserve"> </w:t>
      </w:r>
      <w:r w:rsidR="007051E6" w:rsidRPr="00CB1C44">
        <w:rPr>
          <w:rFonts w:ascii="Arial" w:hAnsi="Arial" w:cs="Arial"/>
          <w:lang w:val="en-US"/>
        </w:rPr>
        <w:t xml:space="preserve">G6PD, Glucose-6-phosphate dehydrogenase; </w:t>
      </w:r>
      <w:r w:rsidRPr="00CB1C44">
        <w:rPr>
          <w:rFonts w:ascii="Arial" w:hAnsi="Arial" w:cs="Arial"/>
          <w:lang w:val="en-US"/>
        </w:rPr>
        <w:t xml:space="preserve">GSH, Reduced glutathione; GSSG, Oxidized glutathione; </w:t>
      </w:r>
      <w:r w:rsidR="0090473F" w:rsidRPr="00CB1C44">
        <w:rPr>
          <w:rFonts w:ascii="Arial" w:hAnsi="Arial" w:cs="Arial"/>
          <w:lang w:val="en-US"/>
        </w:rPr>
        <w:t xml:space="preserve">GSH-Px, </w:t>
      </w:r>
      <w:r w:rsidR="00E71B5F" w:rsidRPr="00CB1C44">
        <w:rPr>
          <w:rFonts w:ascii="Arial" w:hAnsi="Arial" w:cs="Arial"/>
          <w:lang w:val="en-US"/>
        </w:rPr>
        <w:t>G</w:t>
      </w:r>
      <w:r w:rsidR="007051E6" w:rsidRPr="00CB1C44">
        <w:rPr>
          <w:rFonts w:ascii="Arial" w:hAnsi="Arial" w:cs="Arial"/>
          <w:lang w:val="en-US"/>
        </w:rPr>
        <w:t xml:space="preserve">lutathione peroxidase; GSH-R, </w:t>
      </w:r>
      <w:r w:rsidR="00E71B5F" w:rsidRPr="00CB1C44">
        <w:rPr>
          <w:rFonts w:ascii="Arial" w:hAnsi="Arial" w:cs="Arial"/>
          <w:lang w:val="en-US"/>
        </w:rPr>
        <w:t>G</w:t>
      </w:r>
      <w:r w:rsidR="007051E6" w:rsidRPr="00CB1C44">
        <w:rPr>
          <w:rFonts w:ascii="Arial" w:hAnsi="Arial" w:cs="Arial"/>
          <w:lang w:val="en-US"/>
        </w:rPr>
        <w:t>lutathione reductase; GSH-Ts, Glutathione S-tran</w:t>
      </w:r>
      <w:r w:rsidR="00E71B5F" w:rsidRPr="00CB1C44">
        <w:rPr>
          <w:rFonts w:ascii="Arial" w:hAnsi="Arial" w:cs="Arial"/>
          <w:lang w:val="en-US"/>
        </w:rPr>
        <w:t>s</w:t>
      </w:r>
      <w:r w:rsidR="007051E6" w:rsidRPr="00CB1C44">
        <w:rPr>
          <w:rFonts w:ascii="Arial" w:hAnsi="Arial" w:cs="Arial"/>
          <w:lang w:val="en-US"/>
        </w:rPr>
        <w:t xml:space="preserve">ferase; </w:t>
      </w:r>
      <w:proofErr w:type="spellStart"/>
      <w:r w:rsidR="007051E6" w:rsidRPr="00CB1C44">
        <w:rPr>
          <w:rFonts w:ascii="Arial" w:hAnsi="Arial" w:cs="Arial"/>
          <w:lang w:val="en-US"/>
        </w:rPr>
        <w:t>GCLc</w:t>
      </w:r>
      <w:proofErr w:type="spellEnd"/>
      <w:r w:rsidR="007051E6" w:rsidRPr="00CB1C44">
        <w:rPr>
          <w:rFonts w:ascii="Arial" w:hAnsi="Arial" w:cs="Arial"/>
          <w:lang w:val="en-US"/>
        </w:rPr>
        <w:t xml:space="preserve">, </w:t>
      </w:r>
      <w:r w:rsidR="004F446B" w:rsidRPr="00CB1C44">
        <w:rPr>
          <w:rFonts w:ascii="Arial" w:hAnsi="Arial" w:cs="Arial"/>
          <w:lang w:val="en-US"/>
        </w:rPr>
        <w:t>G</w:t>
      </w:r>
      <w:r w:rsidR="007051E6" w:rsidRPr="00CB1C44">
        <w:rPr>
          <w:rFonts w:ascii="Arial" w:hAnsi="Arial" w:cs="Arial"/>
          <w:lang w:val="en-US"/>
        </w:rPr>
        <w:t xml:space="preserve">lutamate-cysteine ligase catalytic subunit; GCLM, </w:t>
      </w:r>
      <w:r w:rsidR="004F446B" w:rsidRPr="00CB1C44">
        <w:rPr>
          <w:rFonts w:ascii="Arial" w:hAnsi="Arial" w:cs="Arial"/>
          <w:lang w:val="en-US"/>
        </w:rPr>
        <w:t>G</w:t>
      </w:r>
      <w:r w:rsidR="007051E6" w:rsidRPr="00CB1C44">
        <w:rPr>
          <w:rFonts w:ascii="Arial" w:hAnsi="Arial" w:cs="Arial"/>
          <w:lang w:val="en-US"/>
        </w:rPr>
        <w:t xml:space="preserve">lutamate-cysteine ligase modifier subunit; </w:t>
      </w:r>
      <w:r w:rsidR="00771B32" w:rsidRPr="00CB1C44">
        <w:rPr>
          <w:rFonts w:ascii="Arial" w:hAnsi="Arial" w:cs="Arial"/>
          <w:lang w:val="en-US"/>
        </w:rPr>
        <w:t>GSK-3</w:t>
      </w:r>
      <w:r w:rsidR="00771B32" w:rsidRPr="00CB1C44">
        <w:rPr>
          <w:rFonts w:ascii="Arial" w:hAnsi="Arial" w:cs="Arial"/>
          <w:lang w:val="en-US"/>
        </w:rPr>
        <w:sym w:font="Symbol" w:char="F062"/>
      </w:r>
      <w:r w:rsidR="00771B32" w:rsidRPr="00CB1C44">
        <w:rPr>
          <w:rFonts w:ascii="Arial" w:hAnsi="Arial" w:cs="Arial"/>
          <w:lang w:val="en-US"/>
        </w:rPr>
        <w:t xml:space="preserve">, Glycogen </w:t>
      </w:r>
      <w:r w:rsidR="00E71B5F" w:rsidRPr="00CB1C44">
        <w:rPr>
          <w:rFonts w:ascii="Arial" w:hAnsi="Arial" w:cs="Arial"/>
          <w:lang w:val="en-US"/>
        </w:rPr>
        <w:t>s</w:t>
      </w:r>
      <w:r w:rsidR="00771B32" w:rsidRPr="00CB1C44">
        <w:rPr>
          <w:rFonts w:ascii="Arial" w:hAnsi="Arial" w:cs="Arial"/>
          <w:lang w:val="en-US"/>
        </w:rPr>
        <w:t>ynthase kinase-3</w:t>
      </w:r>
      <w:r w:rsidR="00771B32" w:rsidRPr="00CB1C44">
        <w:rPr>
          <w:rFonts w:ascii="Arial" w:hAnsi="Arial" w:cs="Arial"/>
          <w:lang w:val="en-US"/>
        </w:rPr>
        <w:sym w:font="Symbol" w:char="F062"/>
      </w:r>
      <w:r w:rsidR="00771B32" w:rsidRPr="00CB1C44">
        <w:rPr>
          <w:rFonts w:ascii="Arial" w:hAnsi="Arial" w:cs="Arial"/>
          <w:lang w:val="en-US"/>
        </w:rPr>
        <w:t xml:space="preserve">; HO-1, Heme </w:t>
      </w:r>
      <w:r w:rsidR="00E71B5F" w:rsidRPr="00CB1C44">
        <w:rPr>
          <w:rFonts w:ascii="Arial" w:hAnsi="Arial" w:cs="Arial"/>
          <w:lang w:val="en-US"/>
        </w:rPr>
        <w:t>o</w:t>
      </w:r>
      <w:r w:rsidR="00771B32" w:rsidRPr="00CB1C44">
        <w:rPr>
          <w:rFonts w:ascii="Arial" w:hAnsi="Arial" w:cs="Arial"/>
          <w:lang w:val="en-US"/>
        </w:rPr>
        <w:t xml:space="preserve">xygenase-1; Keap1, </w:t>
      </w:r>
      <w:proofErr w:type="spellStart"/>
      <w:r w:rsidR="00771B32" w:rsidRPr="00CB1C44">
        <w:rPr>
          <w:rFonts w:ascii="Arial" w:hAnsi="Arial" w:cs="Arial"/>
          <w:lang w:val="en-US"/>
        </w:rPr>
        <w:t>Kelch</w:t>
      </w:r>
      <w:proofErr w:type="spellEnd"/>
      <w:r w:rsidR="00771B32" w:rsidRPr="00CB1C44">
        <w:rPr>
          <w:rFonts w:ascii="Arial" w:hAnsi="Arial" w:cs="Arial"/>
          <w:lang w:val="en-US"/>
        </w:rPr>
        <w:t xml:space="preserve">-like ECH-associated protein 1; </w:t>
      </w:r>
      <w:r w:rsidR="007051E6" w:rsidRPr="00CB1C44">
        <w:rPr>
          <w:rFonts w:ascii="Arial" w:hAnsi="Arial" w:cs="Arial"/>
          <w:lang w:val="en-US"/>
        </w:rPr>
        <w:t xml:space="preserve">LC3, microtubule-associated protein 1A/1B-light chain 3; </w:t>
      </w:r>
      <w:proofErr w:type="spellStart"/>
      <w:r w:rsidR="00F814F1" w:rsidRPr="00CB1C44">
        <w:rPr>
          <w:rFonts w:ascii="Arial" w:hAnsi="Arial" w:cs="Arial"/>
          <w:lang w:val="en-US"/>
        </w:rPr>
        <w:t>Maf</w:t>
      </w:r>
      <w:proofErr w:type="spellEnd"/>
      <w:r w:rsidR="00F814F1" w:rsidRPr="00CB1C44">
        <w:rPr>
          <w:rFonts w:ascii="Arial" w:hAnsi="Arial" w:cs="Arial"/>
          <w:lang w:val="en-US"/>
        </w:rPr>
        <w:t xml:space="preserve">, musculoaponeurotic </w:t>
      </w:r>
      <w:r w:rsidR="00F814F1" w:rsidRPr="00CB1C44">
        <w:rPr>
          <w:rFonts w:ascii="Arial" w:hAnsi="Arial" w:cs="Arial"/>
          <w:lang w:val="en-US"/>
        </w:rPr>
        <w:lastRenderedPageBreak/>
        <w:t xml:space="preserve">fibrosarcoma; </w:t>
      </w:r>
      <w:r w:rsidR="00771B32" w:rsidRPr="00CB1C44">
        <w:rPr>
          <w:rFonts w:ascii="Arial" w:hAnsi="Arial" w:cs="Arial"/>
          <w:lang w:val="en-US"/>
        </w:rPr>
        <w:t>MAPK, Mitogen-</w:t>
      </w:r>
      <w:r w:rsidR="00E71B5F" w:rsidRPr="00CB1C44">
        <w:rPr>
          <w:rFonts w:ascii="Arial" w:hAnsi="Arial" w:cs="Arial"/>
          <w:lang w:val="en-US"/>
        </w:rPr>
        <w:t>a</w:t>
      </w:r>
      <w:r w:rsidR="00771B32" w:rsidRPr="00CB1C44">
        <w:rPr>
          <w:rFonts w:ascii="Arial" w:hAnsi="Arial" w:cs="Arial"/>
          <w:lang w:val="en-US"/>
        </w:rPr>
        <w:t xml:space="preserve">ctivated </w:t>
      </w:r>
      <w:r w:rsidR="00E71B5F" w:rsidRPr="00CB1C44">
        <w:rPr>
          <w:rFonts w:ascii="Arial" w:hAnsi="Arial" w:cs="Arial"/>
          <w:lang w:val="en-US"/>
        </w:rPr>
        <w:t>p</w:t>
      </w:r>
      <w:r w:rsidR="00771B32" w:rsidRPr="00CB1C44">
        <w:rPr>
          <w:rFonts w:ascii="Arial" w:hAnsi="Arial" w:cs="Arial"/>
          <w:lang w:val="en-US"/>
        </w:rPr>
        <w:t xml:space="preserve">rotein </w:t>
      </w:r>
      <w:r w:rsidR="00E71B5F" w:rsidRPr="00CB1C44">
        <w:rPr>
          <w:rFonts w:ascii="Arial" w:hAnsi="Arial" w:cs="Arial"/>
          <w:lang w:val="en-US"/>
        </w:rPr>
        <w:t>k</w:t>
      </w:r>
      <w:r w:rsidR="00771B32" w:rsidRPr="00CB1C44">
        <w:rPr>
          <w:rFonts w:ascii="Arial" w:hAnsi="Arial" w:cs="Arial"/>
          <w:lang w:val="en-US"/>
        </w:rPr>
        <w:t xml:space="preserve">inase; </w:t>
      </w:r>
      <w:r w:rsidRPr="00CB1C44">
        <w:rPr>
          <w:rFonts w:ascii="Arial" w:hAnsi="Arial" w:cs="Arial"/>
          <w:lang w:val="en-US"/>
        </w:rPr>
        <w:t xml:space="preserve">MCI, Mild Cognitive </w:t>
      </w:r>
      <w:r w:rsidR="00E71B5F" w:rsidRPr="00CB1C44">
        <w:rPr>
          <w:rFonts w:ascii="Arial" w:hAnsi="Arial" w:cs="Arial"/>
          <w:lang w:val="en-US"/>
        </w:rPr>
        <w:t>I</w:t>
      </w:r>
      <w:r w:rsidRPr="00CB1C44">
        <w:rPr>
          <w:rFonts w:ascii="Arial" w:hAnsi="Arial" w:cs="Arial"/>
          <w:lang w:val="en-US"/>
        </w:rPr>
        <w:t xml:space="preserve">mpairment; </w:t>
      </w:r>
      <w:r w:rsidR="00F814F1" w:rsidRPr="00CB1C44">
        <w:rPr>
          <w:rFonts w:ascii="Arial" w:hAnsi="Arial" w:cs="Arial"/>
          <w:lang w:val="en-US"/>
        </w:rPr>
        <w:t xml:space="preserve">NDD, Neurodegenerative </w:t>
      </w:r>
      <w:r w:rsidR="00E71B5F" w:rsidRPr="00CB1C44">
        <w:rPr>
          <w:rFonts w:ascii="Arial" w:hAnsi="Arial" w:cs="Arial"/>
          <w:lang w:val="en-US"/>
        </w:rPr>
        <w:t>d</w:t>
      </w:r>
      <w:r w:rsidR="00F814F1" w:rsidRPr="00CB1C44">
        <w:rPr>
          <w:rFonts w:ascii="Arial" w:hAnsi="Arial" w:cs="Arial"/>
          <w:lang w:val="en-US"/>
        </w:rPr>
        <w:t xml:space="preserve">isorders; </w:t>
      </w:r>
      <w:r w:rsidR="007E6A97" w:rsidRPr="00CB1C44">
        <w:rPr>
          <w:rFonts w:ascii="Arial" w:hAnsi="Arial" w:cs="Arial"/>
          <w:lang w:val="en-US"/>
        </w:rPr>
        <w:t>MPTP, 1-</w:t>
      </w:r>
      <w:r w:rsidR="00E71B5F" w:rsidRPr="00CB1C44">
        <w:rPr>
          <w:rFonts w:ascii="Arial" w:hAnsi="Arial" w:cs="Arial"/>
          <w:lang w:val="en-US"/>
        </w:rPr>
        <w:t>M</w:t>
      </w:r>
      <w:r w:rsidR="007E6A97" w:rsidRPr="00CB1C44">
        <w:rPr>
          <w:rFonts w:ascii="Arial" w:hAnsi="Arial" w:cs="Arial"/>
          <w:lang w:val="en-US"/>
        </w:rPr>
        <w:t xml:space="preserve">ethyl-4-phenyl-1,2,3,6-tetrahydropyridine; </w:t>
      </w:r>
      <w:proofErr w:type="spellStart"/>
      <w:r w:rsidR="00F814F1" w:rsidRPr="00CB1C44">
        <w:rPr>
          <w:rFonts w:ascii="Arial" w:hAnsi="Arial" w:cs="Arial"/>
          <w:lang w:val="en-US"/>
        </w:rPr>
        <w:t>Neh</w:t>
      </w:r>
      <w:proofErr w:type="spellEnd"/>
      <w:r w:rsidR="00F814F1" w:rsidRPr="00CB1C44">
        <w:rPr>
          <w:rFonts w:ascii="Arial" w:hAnsi="Arial" w:cs="Arial"/>
          <w:lang w:val="en-US"/>
        </w:rPr>
        <w:t xml:space="preserve">, </w:t>
      </w:r>
      <w:bookmarkStart w:id="0" w:name="_Hlk11601547"/>
      <w:r w:rsidR="004F446B" w:rsidRPr="00CB1C44">
        <w:rPr>
          <w:rFonts w:ascii="Arial" w:hAnsi="Arial" w:cs="Arial"/>
          <w:lang w:val="en-US"/>
        </w:rPr>
        <w:t>Nrf2-ECH homology</w:t>
      </w:r>
      <w:bookmarkEnd w:id="0"/>
      <w:r w:rsidR="004F446B" w:rsidRPr="00CB1C44">
        <w:rPr>
          <w:rFonts w:ascii="Arial" w:hAnsi="Arial" w:cs="Arial"/>
          <w:lang w:val="en-US"/>
        </w:rPr>
        <w:t xml:space="preserve">; </w:t>
      </w:r>
      <w:r w:rsidRPr="00CB1C44">
        <w:rPr>
          <w:rFonts w:ascii="Arial" w:hAnsi="Arial" w:cs="Arial"/>
          <w:lang w:val="en-US"/>
        </w:rPr>
        <w:t xml:space="preserve">NFT, neurofibrillary tangles; </w:t>
      </w:r>
      <w:r w:rsidR="00771B32" w:rsidRPr="00CB1C44">
        <w:rPr>
          <w:rFonts w:ascii="Arial" w:hAnsi="Arial" w:cs="Arial"/>
          <w:lang w:val="en-US"/>
        </w:rPr>
        <w:t xml:space="preserve">Nrf2, </w:t>
      </w:r>
      <w:r w:rsidR="00A36675" w:rsidRPr="00CB1C44">
        <w:rPr>
          <w:rFonts w:ascii="Arial" w:hAnsi="Arial" w:cs="Arial"/>
          <w:lang w:val="en-US"/>
        </w:rPr>
        <w:t>Nuclear factor erythroid 2-</w:t>
      </w:r>
      <w:r w:rsidR="00771B32" w:rsidRPr="00CB1C44">
        <w:rPr>
          <w:rFonts w:ascii="Arial" w:hAnsi="Arial" w:cs="Arial"/>
          <w:lang w:val="en-US"/>
        </w:rPr>
        <w:t xml:space="preserve">related factor 2; </w:t>
      </w:r>
      <w:r w:rsidR="007051E6" w:rsidRPr="00CB1C44">
        <w:rPr>
          <w:rFonts w:ascii="Arial" w:hAnsi="Arial" w:cs="Arial"/>
          <w:lang w:val="en-US"/>
        </w:rPr>
        <w:t>NQO1, NAD(P)</w:t>
      </w:r>
      <w:proofErr w:type="spellStart"/>
      <w:r w:rsidR="007051E6" w:rsidRPr="00CB1C44">
        <w:rPr>
          <w:rFonts w:ascii="Arial" w:hAnsi="Arial" w:cs="Arial"/>
          <w:lang w:val="en-US"/>
        </w:rPr>
        <w:t>H:quinone</w:t>
      </w:r>
      <w:proofErr w:type="spellEnd"/>
      <w:r w:rsidR="007051E6" w:rsidRPr="00CB1C44">
        <w:rPr>
          <w:rFonts w:ascii="Arial" w:hAnsi="Arial" w:cs="Arial"/>
          <w:lang w:val="en-US"/>
        </w:rPr>
        <w:t xml:space="preserve"> dehydrogenase 1</w:t>
      </w:r>
      <w:r w:rsidRPr="00CB1C44">
        <w:rPr>
          <w:rFonts w:ascii="Arial" w:hAnsi="Arial" w:cs="Arial"/>
          <w:lang w:val="en-US"/>
        </w:rPr>
        <w:t xml:space="preserve">; </w:t>
      </w:r>
      <w:r w:rsidR="00F814F1" w:rsidRPr="00CB1C44">
        <w:rPr>
          <w:rFonts w:ascii="Arial" w:hAnsi="Arial" w:cs="Arial"/>
          <w:lang w:val="en-US"/>
        </w:rPr>
        <w:t xml:space="preserve">PD, Parkinson’s disease; </w:t>
      </w:r>
      <w:r w:rsidR="007051E6" w:rsidRPr="00CB1C44">
        <w:rPr>
          <w:rFonts w:ascii="Arial" w:hAnsi="Arial" w:cs="Arial"/>
          <w:lang w:val="en-US"/>
        </w:rPr>
        <w:t xml:space="preserve">PERK, </w:t>
      </w:r>
      <w:r w:rsidR="004F446B" w:rsidRPr="00CB1C44">
        <w:rPr>
          <w:rFonts w:ascii="Arial" w:hAnsi="Arial" w:cs="Arial"/>
          <w:lang w:val="en-US"/>
        </w:rPr>
        <w:t>P</w:t>
      </w:r>
      <w:r w:rsidR="007051E6" w:rsidRPr="00CB1C44">
        <w:rPr>
          <w:rFonts w:ascii="Arial" w:hAnsi="Arial" w:cs="Arial"/>
          <w:lang w:val="en-US"/>
        </w:rPr>
        <w:t xml:space="preserve">rotein kinase RNA-like endoplasmic reticulum kinase; </w:t>
      </w:r>
      <w:r w:rsidR="00771B32" w:rsidRPr="00CB1C44">
        <w:rPr>
          <w:rFonts w:ascii="Arial" w:hAnsi="Arial" w:cs="Arial"/>
          <w:lang w:val="en-US"/>
        </w:rPr>
        <w:t xml:space="preserve">PI3K, Phosphoinositide 3 kinase; PKC, Protein </w:t>
      </w:r>
      <w:r w:rsidR="00E71B5F" w:rsidRPr="00CB1C44">
        <w:rPr>
          <w:rFonts w:ascii="Arial" w:hAnsi="Arial" w:cs="Arial"/>
          <w:lang w:val="en-US"/>
        </w:rPr>
        <w:t>k</w:t>
      </w:r>
      <w:r w:rsidR="00771B32" w:rsidRPr="00CB1C44">
        <w:rPr>
          <w:rFonts w:ascii="Arial" w:hAnsi="Arial" w:cs="Arial"/>
          <w:lang w:val="en-US"/>
        </w:rPr>
        <w:t xml:space="preserve">inase C; Prdx1, Peroxiredoxin 1; </w:t>
      </w:r>
      <w:r w:rsidR="007B1698" w:rsidRPr="00CB1C44">
        <w:rPr>
          <w:rFonts w:ascii="Arial" w:hAnsi="Arial" w:cs="Arial"/>
          <w:lang w:val="en-US"/>
        </w:rPr>
        <w:t xml:space="preserve">RARα, Retinoic acid receptor α; </w:t>
      </w:r>
      <w:r w:rsidR="00771B32" w:rsidRPr="00CB1C44">
        <w:rPr>
          <w:rFonts w:ascii="Arial" w:hAnsi="Arial" w:cs="Arial"/>
          <w:lang w:val="en-US"/>
        </w:rPr>
        <w:t xml:space="preserve">ROS, Reactive Oxygen Species; </w:t>
      </w:r>
      <w:proofErr w:type="spellStart"/>
      <w:r w:rsidRPr="00CB1C44">
        <w:rPr>
          <w:rFonts w:ascii="Arial" w:hAnsi="Arial" w:cs="Arial"/>
          <w:lang w:val="en-US"/>
        </w:rPr>
        <w:t>SN</w:t>
      </w:r>
      <w:r w:rsidR="00836DB4" w:rsidRPr="00CB1C44">
        <w:rPr>
          <w:rFonts w:ascii="Arial" w:hAnsi="Arial" w:cs="Arial"/>
          <w:lang w:val="en-US"/>
        </w:rPr>
        <w:t>p</w:t>
      </w:r>
      <w:r w:rsidRPr="00CB1C44">
        <w:rPr>
          <w:rFonts w:ascii="Arial" w:hAnsi="Arial" w:cs="Arial"/>
          <w:lang w:val="en-US"/>
        </w:rPr>
        <w:t>c</w:t>
      </w:r>
      <w:proofErr w:type="spellEnd"/>
      <w:r w:rsidRPr="00CB1C44">
        <w:rPr>
          <w:rFonts w:ascii="Arial" w:hAnsi="Arial" w:cs="Arial"/>
          <w:lang w:val="en-US"/>
        </w:rPr>
        <w:t>,</w:t>
      </w:r>
      <w:r w:rsidRPr="00CB1C44">
        <w:rPr>
          <w:rFonts w:ascii="Arial" w:hAnsi="Arial" w:cs="Arial"/>
          <w:i/>
          <w:lang w:val="en-US"/>
        </w:rPr>
        <w:t xml:space="preserve"> </w:t>
      </w:r>
      <w:r w:rsidR="002C1490" w:rsidRPr="00CB1C44">
        <w:rPr>
          <w:rFonts w:ascii="Arial" w:hAnsi="Arial" w:cs="Arial"/>
          <w:i/>
          <w:lang w:val="en-US"/>
        </w:rPr>
        <w:t>S</w:t>
      </w:r>
      <w:r w:rsidRPr="00CB1C44">
        <w:rPr>
          <w:rFonts w:ascii="Arial" w:hAnsi="Arial" w:cs="Arial"/>
          <w:i/>
          <w:lang w:val="en-US"/>
        </w:rPr>
        <w:t xml:space="preserve">ubstantia </w:t>
      </w:r>
      <w:proofErr w:type="spellStart"/>
      <w:r w:rsidRPr="00CB1C44">
        <w:rPr>
          <w:rFonts w:ascii="Arial" w:hAnsi="Arial" w:cs="Arial"/>
          <w:i/>
          <w:lang w:val="en-US"/>
        </w:rPr>
        <w:t>nigra</w:t>
      </w:r>
      <w:proofErr w:type="spellEnd"/>
      <w:r w:rsidRPr="00CB1C44">
        <w:rPr>
          <w:rFonts w:ascii="Arial" w:hAnsi="Arial" w:cs="Arial"/>
          <w:lang w:val="en-US"/>
        </w:rPr>
        <w:t xml:space="preserve"> </w:t>
      </w:r>
      <w:r w:rsidRPr="00CB1C44">
        <w:rPr>
          <w:rFonts w:ascii="Arial" w:hAnsi="Arial" w:cs="Arial"/>
          <w:i/>
          <w:lang w:val="en-US"/>
        </w:rPr>
        <w:t>pars compacta;</w:t>
      </w:r>
      <w:r w:rsidRPr="00CB1C44">
        <w:rPr>
          <w:rFonts w:ascii="Arial" w:hAnsi="Arial" w:cs="Arial"/>
          <w:lang w:val="en-US"/>
        </w:rPr>
        <w:t xml:space="preserve"> </w:t>
      </w:r>
      <w:r w:rsidR="007051E6" w:rsidRPr="00CB1C44">
        <w:rPr>
          <w:rFonts w:ascii="Arial" w:hAnsi="Arial" w:cs="Arial"/>
          <w:lang w:val="en-US"/>
        </w:rPr>
        <w:t xml:space="preserve">SOD, Superoxide </w:t>
      </w:r>
      <w:r w:rsidR="00E71B5F" w:rsidRPr="00CB1C44">
        <w:rPr>
          <w:rFonts w:ascii="Arial" w:hAnsi="Arial" w:cs="Arial"/>
          <w:lang w:val="en-US"/>
        </w:rPr>
        <w:t>d</w:t>
      </w:r>
      <w:r w:rsidR="007051E6" w:rsidRPr="00CB1C44">
        <w:rPr>
          <w:rFonts w:ascii="Arial" w:hAnsi="Arial" w:cs="Arial"/>
          <w:lang w:val="en-US"/>
        </w:rPr>
        <w:t>ismutase, SULFs, Sulfotransferases; TR, Thioredoxin reductase; UGDH, UDP-glucose dehydrogenase.</w:t>
      </w:r>
      <w:r w:rsidR="00014BD8" w:rsidRPr="00CB1C44">
        <w:rPr>
          <w:rFonts w:ascii="Arial" w:hAnsi="Arial" w:cs="Arial"/>
          <w:lang w:val="en-US"/>
        </w:rPr>
        <w:br w:type="page"/>
      </w:r>
    </w:p>
    <w:p w14:paraId="03920CDA" w14:textId="07F89C8D" w:rsidR="00771B32" w:rsidRPr="00CB1C44" w:rsidRDefault="00771B32" w:rsidP="00771B32">
      <w:pPr>
        <w:spacing w:line="360" w:lineRule="auto"/>
        <w:jc w:val="both"/>
        <w:outlineLvl w:val="0"/>
        <w:rPr>
          <w:rFonts w:ascii="Arial" w:hAnsi="Arial" w:cs="Arial"/>
          <w:b/>
          <w:lang w:val="en-US"/>
        </w:rPr>
      </w:pPr>
      <w:r w:rsidRPr="00CB1C44">
        <w:rPr>
          <w:rFonts w:ascii="Arial" w:hAnsi="Arial" w:cs="Arial"/>
          <w:b/>
          <w:lang w:val="en-US"/>
        </w:rPr>
        <w:lastRenderedPageBreak/>
        <w:t xml:space="preserve">1. INTRODUCTION </w:t>
      </w:r>
    </w:p>
    <w:p w14:paraId="5E0A98A5" w14:textId="6751AC02" w:rsidR="00A17720" w:rsidRPr="00CB1C44" w:rsidRDefault="008E387F" w:rsidP="004038B5">
      <w:pPr>
        <w:spacing w:after="0" w:line="360" w:lineRule="auto"/>
        <w:jc w:val="both"/>
        <w:rPr>
          <w:rFonts w:ascii="Arial" w:hAnsi="Arial" w:cs="Arial"/>
          <w:lang w:val="en-US"/>
        </w:rPr>
      </w:pPr>
      <w:r w:rsidRPr="00CB1C44">
        <w:rPr>
          <w:rFonts w:ascii="Arial" w:hAnsi="Arial" w:cs="Arial"/>
          <w:lang w:val="en-US"/>
        </w:rPr>
        <w:t>Reactive oxygen species (ROS) and reactive nitrogen species (</w:t>
      </w:r>
      <w:r w:rsidR="003E41D7" w:rsidRPr="00CB1C44">
        <w:rPr>
          <w:rFonts w:ascii="Arial" w:hAnsi="Arial" w:cs="Arial"/>
          <w:lang w:val="en-US"/>
        </w:rPr>
        <w:t>R</w:t>
      </w:r>
      <w:r w:rsidRPr="00CB1C44">
        <w:rPr>
          <w:rFonts w:ascii="Arial" w:hAnsi="Arial" w:cs="Arial"/>
          <w:lang w:val="en-US"/>
        </w:rPr>
        <w:t>NS)</w:t>
      </w:r>
      <w:r w:rsidR="00524705" w:rsidRPr="00CB1C44">
        <w:rPr>
          <w:rFonts w:ascii="Arial" w:hAnsi="Arial" w:cs="Arial"/>
          <w:lang w:val="en-US"/>
        </w:rPr>
        <w:t xml:space="preserve"> are </w:t>
      </w:r>
      <w:r w:rsidR="00B66984" w:rsidRPr="00CB1C44">
        <w:rPr>
          <w:rFonts w:ascii="Arial" w:hAnsi="Arial" w:cs="Arial"/>
          <w:lang w:val="en-US"/>
        </w:rPr>
        <w:t>physiologically formed as byproduct</w:t>
      </w:r>
      <w:r w:rsidR="003E41D7" w:rsidRPr="00CB1C44">
        <w:rPr>
          <w:rFonts w:ascii="Arial" w:hAnsi="Arial" w:cs="Arial"/>
          <w:lang w:val="en-US"/>
        </w:rPr>
        <w:t>s</w:t>
      </w:r>
      <w:r w:rsidR="00B66984" w:rsidRPr="00CB1C44">
        <w:rPr>
          <w:rFonts w:ascii="Arial" w:hAnsi="Arial" w:cs="Arial"/>
          <w:lang w:val="en-US"/>
        </w:rPr>
        <w:t xml:space="preserve"> of normal metabolism and have important roles in cell signaling</w:t>
      </w:r>
      <w:r w:rsidR="00FB05DF" w:rsidRPr="00CB1C44">
        <w:rPr>
          <w:rFonts w:ascii="Arial" w:hAnsi="Arial" w:cs="Arial"/>
          <w:lang w:val="en-US"/>
        </w:rPr>
        <w:t>,</w:t>
      </w:r>
      <w:r w:rsidR="00B66984" w:rsidRPr="00CB1C44">
        <w:rPr>
          <w:rFonts w:ascii="Arial" w:hAnsi="Arial" w:cs="Arial"/>
          <w:lang w:val="en-US"/>
        </w:rPr>
        <w:t xml:space="preserve"> homeostasis</w:t>
      </w:r>
      <w:r w:rsidR="00FB05DF" w:rsidRPr="00CB1C44">
        <w:rPr>
          <w:rFonts w:ascii="Arial" w:hAnsi="Arial" w:cs="Arial"/>
          <w:lang w:val="en-US"/>
        </w:rPr>
        <w:t xml:space="preserve">, autophagy and cell division </w:t>
      </w:r>
      <w:r w:rsidR="00FB05DF"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10.1080/14756366.2016.1205047","ISSN":"1475-6366","author":[{"dropping-particle":"","family":"Obuobi","given":"Sybil","non-dropping-particle":"","parse-names":false,"suffix":""},{"dropping-particle":"","family":"Karatayev","given":"Sanzhar","non-dropping-particle":"","parse-names":false,"suffix":""},{"dropping-particle":"","family":"Chai","given":"Christina Li Lin","non-dropping-particle":"","parse-names":false,"suffix":""},{"dropping-particle":"","family":"Ee","given":"Pui Lai Rachel","non-dropping-particle":"","parse-names":false,"suffix":""},{"dropping-particle":"","family":"Mátyus","given":"Peter","non-dropping-particle":"","parse-names":false,"suffix":""}],"container-title":"Journal of Enzyme Inhibition and Medicinal Chemistry","id":"ITEM-1","issue":"July","issued":{"date-parts":[["2016"]]},"page":"1-11","title":"The role of modulation of antioxidant enzyme systems in the treatment of neurodegenerative diseases","type":"article-journal","volume":"6366"},"uris":["http://www.mendeley.com/documents/?uuid=5e289c9e-f308-4747-9bcd-ea4c78f693ec"]}],"mendeley":{"formattedCitation":"(Obuobi et al., 2016)","plainTextFormattedCitation":"(Obuobi et al., 2016)","previouslyFormattedCitation":"(Obuobi et al., 2016)"},"properties":{"noteIndex":0},"schema":"https://github.com/citation-style-language/schema/raw/master/csl-citation.json"}</w:instrText>
      </w:r>
      <w:r w:rsidR="00FB05DF" w:rsidRPr="00CB1C44">
        <w:rPr>
          <w:rFonts w:ascii="Arial" w:hAnsi="Arial" w:cs="Arial"/>
          <w:lang w:val="en-US"/>
        </w:rPr>
        <w:fldChar w:fldCharType="separate"/>
      </w:r>
      <w:r w:rsidR="00DD645C" w:rsidRPr="00CB1C44">
        <w:rPr>
          <w:rFonts w:ascii="Arial" w:hAnsi="Arial" w:cs="Arial"/>
          <w:noProof/>
          <w:lang w:val="en-US"/>
        </w:rPr>
        <w:t>(Obuobi et al., 2016)</w:t>
      </w:r>
      <w:r w:rsidR="00FB05DF" w:rsidRPr="00CB1C44">
        <w:rPr>
          <w:rFonts w:ascii="Arial" w:hAnsi="Arial" w:cs="Arial"/>
          <w:lang w:val="en-US"/>
        </w:rPr>
        <w:fldChar w:fldCharType="end"/>
      </w:r>
      <w:r w:rsidR="00B66984" w:rsidRPr="00CB1C44">
        <w:rPr>
          <w:rFonts w:ascii="Arial" w:hAnsi="Arial" w:cs="Arial"/>
          <w:lang w:val="en-US"/>
        </w:rPr>
        <w:t xml:space="preserve">. </w:t>
      </w:r>
      <w:r w:rsidR="00C20407" w:rsidRPr="00CB1C44">
        <w:rPr>
          <w:rFonts w:ascii="Arial" w:hAnsi="Arial" w:cs="Arial"/>
          <w:lang w:val="en-US"/>
        </w:rPr>
        <w:t xml:space="preserve">Under physiological conditions, low levels of ROS are </w:t>
      </w:r>
      <w:proofErr w:type="spellStart"/>
      <w:r w:rsidR="00C20407" w:rsidRPr="00CB1C44">
        <w:rPr>
          <w:rFonts w:ascii="Arial" w:hAnsi="Arial" w:cs="Arial"/>
          <w:lang w:val="en-US"/>
        </w:rPr>
        <w:t>fast</w:t>
      </w:r>
      <w:r w:rsidR="00E85018" w:rsidRPr="00CB1C44">
        <w:rPr>
          <w:rFonts w:ascii="Arial" w:hAnsi="Arial" w:cs="Arial"/>
          <w:lang w:val="en-US"/>
        </w:rPr>
        <w:t>ly</w:t>
      </w:r>
      <w:proofErr w:type="spellEnd"/>
      <w:r w:rsidR="00C20407" w:rsidRPr="00CB1C44">
        <w:rPr>
          <w:rFonts w:ascii="Arial" w:hAnsi="Arial" w:cs="Arial"/>
          <w:lang w:val="en-US"/>
        </w:rPr>
        <w:t xml:space="preserve"> produc</w:t>
      </w:r>
      <w:r w:rsidR="001A0C0A" w:rsidRPr="00CB1C44">
        <w:rPr>
          <w:rFonts w:ascii="Arial" w:hAnsi="Arial" w:cs="Arial"/>
          <w:lang w:val="en-US"/>
        </w:rPr>
        <w:t>ed</w:t>
      </w:r>
      <w:r w:rsidR="00C20407" w:rsidRPr="00CB1C44">
        <w:rPr>
          <w:rFonts w:ascii="Arial" w:hAnsi="Arial" w:cs="Arial"/>
          <w:lang w:val="en-US"/>
        </w:rPr>
        <w:t xml:space="preserve"> and eliminat</w:t>
      </w:r>
      <w:r w:rsidR="001A0C0A" w:rsidRPr="00CB1C44">
        <w:rPr>
          <w:rFonts w:ascii="Arial" w:hAnsi="Arial" w:cs="Arial"/>
          <w:lang w:val="en-US"/>
        </w:rPr>
        <w:t>ed</w:t>
      </w:r>
      <w:r w:rsidR="00A17720" w:rsidRPr="00CB1C44">
        <w:rPr>
          <w:rFonts w:ascii="Arial" w:hAnsi="Arial" w:cs="Arial"/>
          <w:lang w:val="en-US"/>
        </w:rPr>
        <w:t>, and</w:t>
      </w:r>
      <w:r w:rsidR="00C20407" w:rsidRPr="00CB1C44">
        <w:rPr>
          <w:rFonts w:ascii="Arial" w:hAnsi="Arial" w:cs="Arial"/>
          <w:lang w:val="en-US"/>
        </w:rPr>
        <w:t xml:space="preserve"> tight</w:t>
      </w:r>
      <w:r w:rsidR="00304478" w:rsidRPr="00CB1C44">
        <w:rPr>
          <w:rFonts w:ascii="Arial" w:hAnsi="Arial" w:cs="Arial"/>
          <w:lang w:val="en-US"/>
        </w:rPr>
        <w:t>ly</w:t>
      </w:r>
      <w:r w:rsidR="00C20407" w:rsidRPr="00CB1C44">
        <w:rPr>
          <w:rFonts w:ascii="Arial" w:hAnsi="Arial" w:cs="Arial"/>
          <w:lang w:val="en-US"/>
        </w:rPr>
        <w:t xml:space="preserve"> regulat</w:t>
      </w:r>
      <w:r w:rsidR="00A17720" w:rsidRPr="00CB1C44">
        <w:rPr>
          <w:rFonts w:ascii="Arial" w:hAnsi="Arial" w:cs="Arial"/>
          <w:lang w:val="en-US"/>
        </w:rPr>
        <w:t>ed through a process</w:t>
      </w:r>
      <w:r w:rsidR="00C20407" w:rsidRPr="00CB1C44">
        <w:rPr>
          <w:rFonts w:ascii="Arial" w:hAnsi="Arial" w:cs="Arial"/>
          <w:lang w:val="en-US"/>
        </w:rPr>
        <w:t xml:space="preserve"> </w:t>
      </w:r>
      <w:r w:rsidR="006366BF" w:rsidRPr="00CB1C44">
        <w:rPr>
          <w:rFonts w:ascii="Arial" w:hAnsi="Arial" w:cs="Arial"/>
          <w:lang w:val="en-US"/>
        </w:rPr>
        <w:t>designated</w:t>
      </w:r>
      <w:r w:rsidR="00C20407" w:rsidRPr="00CB1C44">
        <w:rPr>
          <w:rFonts w:ascii="Arial" w:hAnsi="Arial" w:cs="Arial"/>
          <w:lang w:val="en-US"/>
        </w:rPr>
        <w:t xml:space="preserve"> </w:t>
      </w:r>
      <w:r w:rsidR="00A17720" w:rsidRPr="00CB1C44">
        <w:rPr>
          <w:rFonts w:ascii="Arial" w:hAnsi="Arial" w:cs="Arial"/>
          <w:lang w:val="en-US"/>
        </w:rPr>
        <w:t>as</w:t>
      </w:r>
      <w:r w:rsidR="003E41D7" w:rsidRPr="00CB1C44">
        <w:rPr>
          <w:rFonts w:ascii="Arial" w:hAnsi="Arial" w:cs="Arial"/>
          <w:lang w:val="en-US"/>
        </w:rPr>
        <w:t xml:space="preserve"> </w:t>
      </w:r>
      <w:r w:rsidR="00C20407" w:rsidRPr="00CB1C44">
        <w:rPr>
          <w:rFonts w:ascii="Arial" w:hAnsi="Arial" w:cs="Arial"/>
          <w:lang w:val="en-US"/>
        </w:rPr>
        <w:t xml:space="preserve">“redox homeostasis” </w:t>
      </w:r>
      <w:r w:rsidR="00C2040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{"citationItems":[{"id":"ITEM-1","itemData":{"ISBN":"0031-9333","abstract":"Droge, Wulf Free Radicals in the Physiological Control of Cell Function. Physiol. Rev. 82: 47-95, 2002.[IMG]At high concentrations, free radicals and radical-derived, nonradical reactive species are hazardous for living organisms and damage all major cellular constituents. At moderate concentrations, however, nitric oxide (NO), superoxide anion, and related reactive oxygen species (ROS) play an important role as regulatory mediators in signaling processes. Many of the ROS-mediated responses actually protect the cells against oxidative stress and reestablish \"redox homeostasis.\" Higher organisms, however, have evolved the use of NO and ROS also as signaling molecules for other physiological functions. These include regulation of vascular tone, monitoring of oxygen tension in the control of ventilation and erythropoietin production, and signal transduction from membrane receptors in various physiological processes. NO and ROS are typically generated in these cases by tightly regulated enzymes such as NO synthase (NOS) and NAD(P)H oxidase isoforms, respectively. In a given signaling protein, oxidative attack induces either a loss of function, a gain of function, or a switch to a different function. Excessive amounts of ROS may arise either from excessive stimulation of NAD(P)H oxidases or from less well-regulated sources such as the mitochondrial electron-transport chain. In mitochondria, ROS are generated as undesirable side products of the oxidative energy metabolism. An excessive and/or sustained increase in ROS production has been implicated in the pathogenesis of cancer, diabetes mellitus, atherosclerosis, neurodegenerative diseases, rheumatoid arthritis, ischemia/reperfusion injury, obstructive sleep apnea, and other diseases. In addition, free radicals have been implicated in the mechanism of senescence. That the process of aging may result, at least in part, from radical-mediated oxidative damage was proposed more than 40 years ago by Harman (J Gerontol 11: 298-300, 1956). There is growing evidence that aging involves, in addition, progressive changes in free radical-mediated regulatory processes that result in altered gene expression.","author":[{"dropping-particle":"","family":"Droge","given":"Wulf","non-dropping-particle":"","parse-names":false,"suffix":""}],"container-title":"Physiol Rev","id":"ITEM-1","issue":"1","issued":{"date-parts":[["2002"]]},"page":"47-95","title":"Free Radicals in the Physiological Control of Cell Function","type":"article-journal","volume":"82"},"uris":["http://www.mendeley.com/documents/?uuid=1f86c9dc-5832-4fc7-afac-a422f5079bde"]}],"mendeley":{"formattedCitation":"(Droge, 2002)","plainTextFormattedCitation":"(Droge, 2002)","previouslyFormattedCitation":"(Droge, 2002)"},"properties":{"noteIndex":0},"schema":"https://github.com/citation-style-language/schema/raw/master/csl-citation.json"}</w:instrText>
      </w:r>
      <w:r w:rsidR="00C20407" w:rsidRPr="00CB1C44">
        <w:rPr>
          <w:rFonts w:ascii="Arial" w:hAnsi="Arial" w:cs="Arial"/>
          <w:lang w:val="en-US"/>
        </w:rPr>
        <w:fldChar w:fldCharType="separate"/>
      </w:r>
      <w:r w:rsidR="00DD645C" w:rsidRPr="00CB1C44">
        <w:rPr>
          <w:rFonts w:ascii="Arial" w:hAnsi="Arial" w:cs="Arial"/>
          <w:noProof/>
          <w:lang w:val="en-US"/>
        </w:rPr>
        <w:t>(Droge, 2002)</w:t>
      </w:r>
      <w:r w:rsidR="00C20407" w:rsidRPr="00CB1C44">
        <w:rPr>
          <w:rFonts w:ascii="Arial" w:hAnsi="Arial" w:cs="Arial"/>
          <w:lang w:val="en-US"/>
        </w:rPr>
        <w:fldChar w:fldCharType="end"/>
      </w:r>
      <w:r w:rsidR="00C20407" w:rsidRPr="00CB1C44">
        <w:rPr>
          <w:rFonts w:ascii="Arial" w:hAnsi="Arial" w:cs="Arial"/>
          <w:lang w:val="en-US"/>
        </w:rPr>
        <w:t>. However, s</w:t>
      </w:r>
      <w:r w:rsidR="005231BF" w:rsidRPr="00CB1C44">
        <w:rPr>
          <w:rFonts w:ascii="Arial" w:hAnsi="Arial" w:cs="Arial"/>
          <w:lang w:val="en-US"/>
        </w:rPr>
        <w:t>everal risk conditions, such as ag</w:t>
      </w:r>
      <w:r w:rsidR="006366BF" w:rsidRPr="00CB1C44">
        <w:rPr>
          <w:rFonts w:ascii="Arial" w:hAnsi="Arial" w:cs="Arial"/>
          <w:lang w:val="en-US"/>
        </w:rPr>
        <w:t>ing</w:t>
      </w:r>
      <w:r w:rsidR="005231BF" w:rsidRPr="00CB1C44">
        <w:rPr>
          <w:rFonts w:ascii="Arial" w:hAnsi="Arial" w:cs="Arial"/>
          <w:lang w:val="en-US"/>
        </w:rPr>
        <w:t xml:space="preserve">, genetic or environmental factors may impair this </w:t>
      </w:r>
      <w:r w:rsidR="00C20407" w:rsidRPr="00CB1C44">
        <w:rPr>
          <w:rFonts w:ascii="Arial" w:hAnsi="Arial" w:cs="Arial"/>
          <w:lang w:val="en-US"/>
        </w:rPr>
        <w:t>homeostasis</w:t>
      </w:r>
      <w:r w:rsidR="005231BF" w:rsidRPr="00CB1C44">
        <w:rPr>
          <w:rFonts w:ascii="Arial" w:hAnsi="Arial" w:cs="Arial"/>
          <w:lang w:val="en-US"/>
        </w:rPr>
        <w:t>, leading to oxidative</w:t>
      </w:r>
      <w:r w:rsidR="009823DB" w:rsidRPr="00CB1C44">
        <w:rPr>
          <w:rFonts w:ascii="Arial" w:hAnsi="Arial" w:cs="Arial"/>
          <w:lang w:val="en-US"/>
        </w:rPr>
        <w:t>/</w:t>
      </w:r>
      <w:proofErr w:type="spellStart"/>
      <w:r w:rsidR="001A0C0A" w:rsidRPr="00CB1C44">
        <w:rPr>
          <w:rFonts w:ascii="Arial" w:hAnsi="Arial" w:cs="Arial"/>
          <w:lang w:val="en-US"/>
        </w:rPr>
        <w:t>nitrosative</w:t>
      </w:r>
      <w:proofErr w:type="spellEnd"/>
      <w:r w:rsidR="005231BF" w:rsidRPr="00CB1C44">
        <w:rPr>
          <w:rFonts w:ascii="Arial" w:hAnsi="Arial" w:cs="Arial"/>
          <w:lang w:val="en-US"/>
        </w:rPr>
        <w:t xml:space="preserve"> stress through increased ROS</w:t>
      </w:r>
      <w:r w:rsidR="009823DB" w:rsidRPr="00CB1C44">
        <w:rPr>
          <w:rFonts w:ascii="Arial" w:hAnsi="Arial" w:cs="Arial"/>
          <w:lang w:val="en-US"/>
        </w:rPr>
        <w:t>/</w:t>
      </w:r>
      <w:r w:rsidR="00F74314" w:rsidRPr="00CB1C44">
        <w:rPr>
          <w:rFonts w:ascii="Arial" w:hAnsi="Arial" w:cs="Arial"/>
          <w:lang w:val="en-US"/>
        </w:rPr>
        <w:t>RNS</w:t>
      </w:r>
      <w:r w:rsidR="005231BF" w:rsidRPr="00CB1C44">
        <w:rPr>
          <w:rFonts w:ascii="Arial" w:hAnsi="Arial" w:cs="Arial"/>
          <w:lang w:val="en-US"/>
        </w:rPr>
        <w:t xml:space="preserve"> formation</w:t>
      </w:r>
      <w:r w:rsidR="00C20407" w:rsidRPr="00CB1C44">
        <w:rPr>
          <w:rFonts w:ascii="Arial" w:hAnsi="Arial" w:cs="Arial"/>
          <w:lang w:val="en-US"/>
        </w:rPr>
        <w:t xml:space="preserve"> and </w:t>
      </w:r>
      <w:r w:rsidR="001E6F5B" w:rsidRPr="00CB1C44">
        <w:rPr>
          <w:rFonts w:ascii="Arial" w:hAnsi="Arial" w:cs="Arial"/>
          <w:lang w:val="en-US"/>
        </w:rPr>
        <w:t>fail</w:t>
      </w:r>
      <w:r w:rsidR="006E0EE9" w:rsidRPr="00CB1C44">
        <w:rPr>
          <w:rFonts w:ascii="Arial" w:hAnsi="Arial" w:cs="Arial"/>
          <w:lang w:val="en-US"/>
        </w:rPr>
        <w:t>ure of</w:t>
      </w:r>
      <w:r w:rsidR="001E6F5B" w:rsidRPr="00CB1C44">
        <w:rPr>
          <w:rFonts w:ascii="Arial" w:hAnsi="Arial" w:cs="Arial"/>
          <w:lang w:val="en-US"/>
        </w:rPr>
        <w:t xml:space="preserve"> repair and detoxifying systems</w:t>
      </w:r>
      <w:r w:rsidR="00C20407" w:rsidRPr="00CB1C44">
        <w:rPr>
          <w:rFonts w:ascii="Arial" w:hAnsi="Arial" w:cs="Arial"/>
          <w:lang w:val="en-US"/>
        </w:rPr>
        <w:t xml:space="preserve"> </w:t>
      </w:r>
      <w:r w:rsidR="001E6F5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{"citationItems":[{"id":"ITEM-1","itemData":{"DOI":"10.1038/nrd1330","ISBN":"0753-3322 (Print)\\r0753-3322 (Linking)","ISSN":"1474-1776","PMID":"15031734","abstract":"Oxidative stress has been implicated in the progression of Alzheimer's disease, Parkinson's disease and amyotrophic lateral sclerosis. Oxygen is vital for life but is also potentially dangerous, and a complex system of checks and balances exists for utilizing this essential element. Oxidative stress is the result of an imbalance in pro-oxidant/antioxidant homeostasis that leads to the generation of toxic reactive oxygen species. The systems in place to cope with the biochemistry of oxygen are complex, and many questions about the mechanisms of oxygen regulation remain unanswered. However, this same complexity provides a number of therapeutic targets, and different strategies, including novel metal-protein attenuating compounds, aimed at a variety of targets have shown promise in clinical studies.","author":[{"dropping-particle":"","family":"Barnham","given":"Kevin J","non-dropping-particle":"","parse-names":false,"suffix":""},{"dropping-particle":"","family":"Masters","given":"Colin L","non-dropping-particle":"","parse-names":false,"suffix":""},{"dropping-particle":"","family":"Bush","given":"Ashley I","non-dropping-particle":"","parse-names":false,"suffix":""}],"container-title":"Nature reviews. Drug discovery","id":"ITEM-1","issue":"3","issued":{"date-parts":[["2004"]]},"page":"205-214","title":"Neurodegenerative diseases and oxidative stress.","type":"article-journal","volume":"3"},"uris":["http://www.mendeley.com/documents/?uuid=7fcda6e3-9f48-4795-86cc-c1d6086fbeff"]}],"mendeley":{"formattedCitation":"(Barnham et al., 2004)","plainTextFormattedCitation":"(Barnham et al., 2004)","previouslyFormattedCitation":"(Barnham et al., 2004)"},"properties":{"noteIndex":0},"schema":"https://github.com/citation-style-language/schema/raw/master/csl-citation.json"}</w:instrText>
      </w:r>
      <w:r w:rsidR="001E6F5B" w:rsidRPr="00CB1C44">
        <w:rPr>
          <w:rFonts w:ascii="Arial" w:hAnsi="Arial" w:cs="Arial"/>
          <w:lang w:val="en-US"/>
        </w:rPr>
        <w:fldChar w:fldCharType="separate"/>
      </w:r>
      <w:r w:rsidR="00DD645C" w:rsidRPr="00CB1C44">
        <w:rPr>
          <w:rFonts w:ascii="Arial" w:hAnsi="Arial" w:cs="Arial"/>
          <w:noProof/>
          <w:lang w:val="en-US"/>
        </w:rPr>
        <w:t>(Barnham et al., 2004)</w:t>
      </w:r>
      <w:r w:rsidR="001E6F5B" w:rsidRPr="00CB1C44">
        <w:rPr>
          <w:rFonts w:ascii="Arial" w:hAnsi="Arial" w:cs="Arial"/>
          <w:lang w:val="en-US"/>
        </w:rPr>
        <w:fldChar w:fldCharType="end"/>
      </w:r>
      <w:r w:rsidR="001E6F5B" w:rsidRPr="00CB1C44">
        <w:rPr>
          <w:rFonts w:ascii="Arial" w:hAnsi="Arial" w:cs="Arial"/>
          <w:lang w:val="en-US"/>
        </w:rPr>
        <w:t xml:space="preserve">. </w:t>
      </w:r>
      <w:r w:rsidR="00A17720" w:rsidRPr="00CB1C44">
        <w:rPr>
          <w:rFonts w:ascii="Arial" w:hAnsi="Arial" w:cs="Arial"/>
          <w:lang w:val="en-US"/>
        </w:rPr>
        <w:t>This</w:t>
      </w:r>
      <w:r w:rsidR="001C0586" w:rsidRPr="00CB1C44">
        <w:rPr>
          <w:rFonts w:ascii="Arial" w:hAnsi="Arial" w:cs="Arial"/>
          <w:lang w:val="en-US"/>
        </w:rPr>
        <w:t xml:space="preserve"> </w:t>
      </w:r>
      <w:r w:rsidR="00A17720" w:rsidRPr="00CB1C44">
        <w:rPr>
          <w:rFonts w:ascii="Arial" w:hAnsi="Arial" w:cs="Arial"/>
          <w:lang w:val="en-US"/>
        </w:rPr>
        <w:t xml:space="preserve">causes </w:t>
      </w:r>
      <w:r w:rsidR="001C0586" w:rsidRPr="00CB1C44">
        <w:rPr>
          <w:rFonts w:ascii="Arial" w:hAnsi="Arial" w:cs="Arial"/>
          <w:lang w:val="en-US"/>
        </w:rPr>
        <w:t>impaired DNA structure, membrane disturbance and altered protein structure and function</w:t>
      </w:r>
      <w:r w:rsidR="00A17720" w:rsidRPr="00CB1C44">
        <w:rPr>
          <w:rFonts w:ascii="Arial" w:hAnsi="Arial" w:cs="Arial"/>
          <w:lang w:val="en-US"/>
        </w:rPr>
        <w:t>, leading to cellular damage</w:t>
      </w:r>
      <w:r w:rsidR="00D13985" w:rsidRPr="00CB1C44">
        <w:rPr>
          <w:rFonts w:ascii="Arial" w:hAnsi="Arial" w:cs="Arial"/>
          <w:lang w:val="en-US"/>
        </w:rPr>
        <w:t xml:space="preserve"> </w:t>
      </w:r>
      <w:r w:rsidR="007B169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{"citationItems":[{"id":"ITEM-1","itemData":{"DOI":"10.1016/j.cub.2014.03.034","ISBN":"2122633255","ISSN":"09609822","PMID":"24845678","abstract":"Oxidative stress refers to elevated intracellular levels of reactive oxygen species (ROS) that cause damage to lipids, proteins and DNA. Oxidative stress has been linked to a myriad of pathologies. However, elevated ROS also act as signaling molecules in the maintenance of physiological functions - a process termed redox biology. In this review we discuss the two faces of ROS - redox biology and oxidative stress - and their contribution to both physiological and pathological conditions. Redox biology involves a small increase in ROS levels that activates signaling pathways to initiate biological processes, while oxidative stress denotes high levels of ROS that result in damage to DNA, protein or lipids. Thus, the response to ROS displays hormesis, given that the opposite effect is observed at low levels compared with that seen at high levels. Here, we argue that redox biology, rather than oxidative stress, underlies physiological and pathological conditions. ?? 2014 Elsevier Ltd.","author":[{"dropping-particle":"","family":"Schieber","given":"Michael","non-dropping-particle":"","parse-names":false,"suffix":""},{"dropping-particle":"","family":"Chandel","given":"Navdeep S.","non-dropping-particle":"","parse-names":false,"suffix":""}],"container-title":"Current Biology","id":"ITEM-1","issue":"10","issued":{"date-parts":[["2014"]]},"title":"ROS function in redox signaling and oxidative stress","type":"article","volume":"24"},"uris":["http://www.mendeley.com/documents/?uuid=24720955-7074-4b7b-a018-ee7317cc14eb"]}],"mendeley":{"formattedCitation":"(Schieber and Chandel, 2014)","plainTextFormattedCitation":"(Schieber and Chandel, 2014)","previouslyFormattedCitation":"(Schieber and Chandel, 2014)"},"properties":{"noteIndex":0},"schema":"https://github.com/citation-style-language/schema/raw/master/csl-citation.json"}</w:instrText>
      </w:r>
      <w:r w:rsidR="007B1698" w:rsidRPr="00CB1C44">
        <w:rPr>
          <w:rFonts w:ascii="Arial" w:hAnsi="Arial" w:cs="Arial"/>
          <w:lang w:val="en-US"/>
        </w:rPr>
        <w:fldChar w:fldCharType="separate"/>
      </w:r>
      <w:r w:rsidR="00DD645C" w:rsidRPr="00CB1C44">
        <w:rPr>
          <w:rFonts w:ascii="Arial" w:hAnsi="Arial" w:cs="Arial"/>
          <w:noProof/>
          <w:lang w:val="en-US"/>
        </w:rPr>
        <w:t>(Schieber and Chandel, 2014)</w:t>
      </w:r>
      <w:r w:rsidR="007B1698" w:rsidRPr="00CB1C44">
        <w:rPr>
          <w:rFonts w:ascii="Arial" w:hAnsi="Arial" w:cs="Arial"/>
          <w:lang w:val="en-US"/>
        </w:rPr>
        <w:fldChar w:fldCharType="end"/>
      </w:r>
      <w:r w:rsidR="007B1698" w:rsidRPr="00CB1C44">
        <w:rPr>
          <w:rFonts w:ascii="Arial" w:hAnsi="Arial" w:cs="Arial"/>
          <w:lang w:val="en-US"/>
        </w:rPr>
        <w:t>.</w:t>
      </w:r>
    </w:p>
    <w:p w14:paraId="3AA2EA66" w14:textId="2471D87E" w:rsidR="0056187F" w:rsidRPr="00CB1C44" w:rsidRDefault="005B7440" w:rsidP="004038B5">
      <w:pPr>
        <w:spacing w:after="0" w:line="360" w:lineRule="auto"/>
        <w:jc w:val="both"/>
        <w:rPr>
          <w:rFonts w:ascii="Arial" w:hAnsi="Arial" w:cs="Arial"/>
          <w:lang w:val="en-US"/>
        </w:rPr>
      </w:pPr>
      <w:r w:rsidRPr="00CB1C44">
        <w:rPr>
          <w:rFonts w:ascii="Arial" w:hAnsi="Arial" w:cs="Arial"/>
          <w:lang w:val="en-US"/>
        </w:rPr>
        <w:t xml:space="preserve">In the brain, redox signaling is involved in memory consolidation, neuronal differentiation and plasticity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{"citationItems":[{"id":"ITEM-1","itemData":{"DOI":"10.1111/jnc.13581","ISBN":"1471-4159 (Electronic)\r0022-3042 (Linking)","ISSN":"14714159","PMID":"26875993","abstract":"The generation of abnormally high levels of reactive oxygen species (ROS) is linked to cellular dysfunction including neuronal toxicity and neurodegeneration. However, physiological ROS production modulates redox-sensitive roles of several molecules such as transcription factors, signaling proteins, and cytoskeletal components. Changes in the functions of redox-sensitive proteins may be important for defining key aspects of stem cell proliferation and differentiation, neuronal maturation, and neuronal plasticity. In neurons, most of the studies have been focused on the pathological implications of such modifications and only very recently their essential roles in neuronal development and plasticity has been recognized. In this review, we discuss the participation of NADPH oxidases (NOXs) and a family of protein-methionine sulfoxide oxidases, named MICALs, as regulated enzymatic sources of ROS production in neurons, and describes the contribution of ROS signaling to neurogenesis and differentiation, neurite outgrowth and neuronal plasticity. This article is protected by copyright. All rights reserved.","author":[{"dropping-particle":"","family":"Bórquez","given":"Daniel A.","non-dropping-particle":"","parse-names":false,"suffix":""},{"dropping-particle":"","family":"Urrutia","given":"Pamela J.","non-dropping-particle":"","parse-names":false,"suffix":""},{"dropping-particle":"","family":"Wilson","given":"Carlos","non-dropping-particle":"","parse-names":false,"suffix":""},{"dropping-particle":"","family":"Zundert","given":"Brigitte","non-dropping-particle":"Van","parse-names":false,"suffix":""},{"dropping-particle":"","family":"Núñez","given":"Marco Tulio","non-dropping-particle":"","parse-names":false,"suffix":""},{"dropping-particle":"","family":"González-Billault","given":"Christian","non-dropping-particle":"","parse-names":false,"suffix":""}],"container-title":"Journal of Neurochemistry","id":"ITEM-1","issue":"4","issued":{"date-parts":[["2016"]]},"page":"506-517","title":"Dissecting the role of redox signaling in neuronal development","type":"article-journal","volume":"137"},"uris":["http://www.mendeley.com/documents/?uuid=bb8e7a38-9f2b-4f8b-8e2e-2d247963e905"]}],"mendeley":{"formattedCitation":"(Bórquez et al., 2016)","plainTextFormattedCitation":"(Bórquez et al., 2016)","previouslyFormattedCitation":"(Bórquez et al., 2016)"},"properties":{"noteIndex":0},"schema":"https://github.com/citation-style-language/schema/raw/master/csl-citation.json"}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(Bórquez et al., 2016)</w:t>
      </w:r>
      <w:r w:rsidRPr="00CB1C44">
        <w:rPr>
          <w:rFonts w:ascii="Arial" w:hAnsi="Arial" w:cs="Arial"/>
          <w:lang w:val="en-US"/>
        </w:rPr>
        <w:fldChar w:fldCharType="end"/>
      </w:r>
      <w:r w:rsidRPr="00CB1C44">
        <w:rPr>
          <w:rFonts w:ascii="Arial" w:hAnsi="Arial" w:cs="Arial"/>
          <w:lang w:val="en-US"/>
        </w:rPr>
        <w:t xml:space="preserve">. </w:t>
      </w:r>
      <w:r w:rsidR="00A17720" w:rsidRPr="00CB1C44">
        <w:rPr>
          <w:rFonts w:ascii="Arial" w:hAnsi="Arial" w:cs="Arial"/>
          <w:lang w:val="en-US"/>
        </w:rPr>
        <w:t>Neurons, in particular, are recognized to easily undergo oxidation due to their high oxygen consumption, low levels of antioxidants, high levels of iron and auto-oxidi</w:t>
      </w:r>
      <w:r w:rsidR="00402AAD" w:rsidRPr="00CB1C44">
        <w:rPr>
          <w:rFonts w:ascii="Arial" w:hAnsi="Arial" w:cs="Arial"/>
          <w:lang w:val="en-US"/>
        </w:rPr>
        <w:t>z</w:t>
      </w:r>
      <w:r w:rsidR="00A17720" w:rsidRPr="00CB1C44">
        <w:rPr>
          <w:rFonts w:ascii="Arial" w:hAnsi="Arial" w:cs="Arial"/>
          <w:lang w:val="en-US"/>
        </w:rPr>
        <w:t xml:space="preserve">able catecholamines in certain brain areas, high levels of membrane polyunsaturated </w:t>
      </w:r>
      <w:r w:rsidR="00402AAD" w:rsidRPr="00CB1C44">
        <w:rPr>
          <w:rFonts w:ascii="Arial" w:hAnsi="Arial" w:cs="Arial"/>
          <w:lang w:val="en-US"/>
        </w:rPr>
        <w:t>fatty</w:t>
      </w:r>
      <w:r w:rsidR="00A17720" w:rsidRPr="00CB1C44">
        <w:rPr>
          <w:rFonts w:ascii="Arial" w:hAnsi="Arial" w:cs="Arial"/>
          <w:lang w:val="en-US"/>
        </w:rPr>
        <w:t xml:space="preserve"> acids, as well as the fact that the</w:t>
      </w:r>
      <w:r w:rsidR="00402AAD" w:rsidRPr="00CB1C44">
        <w:rPr>
          <w:rFonts w:ascii="Arial" w:hAnsi="Arial" w:cs="Arial"/>
          <w:lang w:val="en-US"/>
        </w:rPr>
        <w:t>se</w:t>
      </w:r>
      <w:r w:rsidR="00A17720" w:rsidRPr="00CB1C44">
        <w:rPr>
          <w:rFonts w:ascii="Arial" w:hAnsi="Arial" w:cs="Arial"/>
          <w:lang w:val="en-US"/>
        </w:rPr>
        <w:t xml:space="preserve"> are post-mitotic cells, accumulating non-degradable oxidized molecules. Indee</w:t>
      </w:r>
      <w:r w:rsidR="00402AAD" w:rsidRPr="00CB1C44">
        <w:rPr>
          <w:rFonts w:ascii="Arial" w:hAnsi="Arial" w:cs="Arial"/>
          <w:lang w:val="en-US"/>
        </w:rPr>
        <w:t>d</w:t>
      </w:r>
      <w:r w:rsidR="001E6F5B" w:rsidRPr="00CB1C44">
        <w:rPr>
          <w:rFonts w:ascii="Arial" w:hAnsi="Arial" w:cs="Arial"/>
          <w:lang w:val="en-US"/>
        </w:rPr>
        <w:t>, large amount</w:t>
      </w:r>
      <w:r w:rsidR="00297926" w:rsidRPr="00CB1C44">
        <w:rPr>
          <w:rFonts w:ascii="Arial" w:hAnsi="Arial" w:cs="Arial"/>
          <w:lang w:val="en-US"/>
        </w:rPr>
        <w:t>s</w:t>
      </w:r>
      <w:r w:rsidR="001E6F5B" w:rsidRPr="00CB1C44">
        <w:rPr>
          <w:rFonts w:ascii="Arial" w:hAnsi="Arial" w:cs="Arial"/>
          <w:lang w:val="en-US"/>
        </w:rPr>
        <w:t xml:space="preserve"> of ROS lead to neuronal death and altered </w:t>
      </w:r>
      <w:r w:rsidR="0055620E" w:rsidRPr="00CB1C44">
        <w:rPr>
          <w:rFonts w:ascii="Arial" w:hAnsi="Arial" w:cs="Arial"/>
          <w:lang w:val="en-US"/>
        </w:rPr>
        <w:t xml:space="preserve">brain </w:t>
      </w:r>
      <w:r w:rsidR="001E6F5B" w:rsidRPr="00CB1C44">
        <w:rPr>
          <w:rFonts w:ascii="Arial" w:hAnsi="Arial" w:cs="Arial"/>
          <w:lang w:val="en-US"/>
        </w:rPr>
        <w:t>function</w:t>
      </w:r>
      <w:r w:rsidR="0055620E" w:rsidRPr="00CB1C44">
        <w:rPr>
          <w:rFonts w:ascii="Arial" w:hAnsi="Arial" w:cs="Arial"/>
          <w:lang w:val="en-US"/>
        </w:rPr>
        <w:t>,</w:t>
      </w:r>
      <w:r w:rsidR="00864CF3" w:rsidRPr="00CB1C44">
        <w:rPr>
          <w:rFonts w:ascii="Arial" w:hAnsi="Arial" w:cs="Arial"/>
          <w:lang w:val="en-US"/>
        </w:rPr>
        <w:t xml:space="preserve"> as observed in neurodegenerative disorders</w:t>
      </w:r>
      <w:r w:rsidR="00297926" w:rsidRPr="00CB1C44">
        <w:rPr>
          <w:rFonts w:ascii="Arial" w:hAnsi="Arial" w:cs="Arial"/>
          <w:lang w:val="en-US"/>
        </w:rPr>
        <w:t xml:space="preserve"> (NDD)</w:t>
      </w:r>
      <w:r w:rsidR="001E6F5B" w:rsidRPr="00CB1C44">
        <w:rPr>
          <w:rFonts w:ascii="Arial" w:hAnsi="Arial" w:cs="Arial"/>
          <w:lang w:val="en-US"/>
        </w:rPr>
        <w:t xml:space="preserve"> </w:t>
      </w:r>
      <w:r w:rsidR="001E6F5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{"citationItems":[{"id":"ITEM-1","itemData":{"DOI":"10.1007/s12035-013-8554-z","ISBN":"0893-7648","ISSN":"15591182","PMID":"24085563","abstract":"The biological underpinnings to the etiology and course of neurodegeneration in Parkinson's disease are an area of extensive research that has yet to produce an early biological marker or disease-slowing or preventative treatment. Recent conceptualizations of Parkinson's disease have integrated immuno-inflammation and oxidative and nitrosative stress occurring in depression, somatization and peripheral inflammation into the course of Parkinson's disease. We review the data showing the importance of immuno-inflammatory processes and oxidative and nitrosative stress in such classically conceived 'comorbidities', suggesting that lifetime, prodromal and concurrent depression and somatization may be intricately involved in the etiology and course of Parkinson's disease, rather than psychiatric comorbidities. This produces a longer term developmental perspective of Parkinson's disease, which incorporates tryptophan catabolites (TRYCATs), lipid peroxidation, sirtuins, cyclic adenosine monophosphate, aryl hydrocarbon receptor, and circadian genes. This integrates wider bodies of data pertaining to neuronal loss in Parkinson's disease, emphasizing how these interact with susceptibility genes to drive changes in mitochondria, blood-brain barrier permeability and intercellular signalling. We review this data here in the context of neurodegeneration in Parkinson's disease and to the future directions indicated for slowing disease progression.","author":[{"dropping-particle":"","family":"Anderson","given":"George","non-dropping-particle":"","parse-names":false,"suffix":""},{"dropping-particle":"","family":"Maes","given":"Michael","non-dropping-particle":"","parse-names":false,"suffix":""}],"container-title":"Molecular Neurobiology","id":"ITEM-1","issue":"2","issued":{"date-parts":[["2014"]]},"page":"771-783","title":"Neurodegeneration in Parkinson's disease: Interactions of oxidative stress, tryptophan catabolites and depression with mitochondria and sirtuins","type":"article","volume":"49"},"uris":["http://www.mendeley.com/documents/?uuid=9b9dba2d-507b-4476-9178-d39e473b0a31"]}],"mendeley":{"formattedCitation":"(Anderson and Maes, 2014)","plainTextFormattedCitation":"(Anderson and Maes, 2014)","previouslyFormattedCitation":"(Anderson and Maes, 2014)"},"properties":{"noteIndex":0},"schema":"https://github.com/citation-style-language/schema/raw/master/csl-citation.json"}</w:instrText>
      </w:r>
      <w:r w:rsidR="001E6F5B" w:rsidRPr="00CB1C44">
        <w:rPr>
          <w:rFonts w:ascii="Arial" w:hAnsi="Arial" w:cs="Arial"/>
          <w:lang w:val="en-US"/>
        </w:rPr>
        <w:fldChar w:fldCharType="separate"/>
      </w:r>
      <w:r w:rsidR="00DD645C" w:rsidRPr="00CB1C44">
        <w:rPr>
          <w:rFonts w:ascii="Arial" w:hAnsi="Arial" w:cs="Arial"/>
          <w:noProof/>
          <w:lang w:val="en-US"/>
        </w:rPr>
        <w:t>(Anderson and Maes, 2014)</w:t>
      </w:r>
      <w:r w:rsidR="001E6F5B" w:rsidRPr="00CB1C44">
        <w:rPr>
          <w:rFonts w:ascii="Arial" w:hAnsi="Arial" w:cs="Arial"/>
          <w:lang w:val="en-US"/>
        </w:rPr>
        <w:fldChar w:fldCharType="end"/>
      </w:r>
      <w:r w:rsidR="001E6F5B" w:rsidRPr="00CB1C44">
        <w:rPr>
          <w:rFonts w:ascii="Arial" w:hAnsi="Arial" w:cs="Arial"/>
          <w:lang w:val="en-US"/>
        </w:rPr>
        <w:t xml:space="preserve">. </w:t>
      </w:r>
      <w:r w:rsidR="00402AAD" w:rsidRPr="00CB1C44">
        <w:rPr>
          <w:rFonts w:ascii="Arial" w:hAnsi="Arial" w:cs="Arial"/>
          <w:lang w:val="en-US"/>
        </w:rPr>
        <w:t>Thus</w:t>
      </w:r>
      <w:r w:rsidR="00A25570" w:rsidRPr="00CB1C44">
        <w:rPr>
          <w:rFonts w:ascii="Arial" w:hAnsi="Arial" w:cs="Arial"/>
          <w:lang w:val="en-US"/>
        </w:rPr>
        <w:t xml:space="preserve">, </w:t>
      </w:r>
      <w:r w:rsidR="00402AAD" w:rsidRPr="00CB1C44">
        <w:rPr>
          <w:rFonts w:ascii="Arial" w:hAnsi="Arial" w:cs="Arial"/>
          <w:lang w:val="en-US"/>
        </w:rPr>
        <w:t>increased oxidative markers and deficient enzymatic antioxidant systems are</w:t>
      </w:r>
      <w:r w:rsidR="00A25570" w:rsidRPr="00CB1C44">
        <w:rPr>
          <w:rFonts w:ascii="Arial" w:hAnsi="Arial" w:cs="Arial"/>
          <w:lang w:val="en-US"/>
        </w:rPr>
        <w:t xml:space="preserve"> common pathological </w:t>
      </w:r>
      <w:r w:rsidR="00297926" w:rsidRPr="00CB1C44">
        <w:rPr>
          <w:rFonts w:ascii="Arial" w:hAnsi="Arial" w:cs="Arial"/>
          <w:lang w:val="en-US"/>
        </w:rPr>
        <w:t>hall</w:t>
      </w:r>
      <w:r w:rsidR="00A25570" w:rsidRPr="00CB1C44">
        <w:rPr>
          <w:rFonts w:ascii="Arial" w:hAnsi="Arial" w:cs="Arial"/>
          <w:lang w:val="en-US"/>
        </w:rPr>
        <w:t>mark</w:t>
      </w:r>
      <w:r w:rsidR="00402AAD" w:rsidRPr="00CB1C44">
        <w:rPr>
          <w:rFonts w:ascii="Arial" w:hAnsi="Arial" w:cs="Arial"/>
          <w:lang w:val="en-US"/>
        </w:rPr>
        <w:t>s</w:t>
      </w:r>
      <w:r w:rsidR="00A25570" w:rsidRPr="00CB1C44">
        <w:rPr>
          <w:rFonts w:ascii="Arial" w:hAnsi="Arial" w:cs="Arial"/>
          <w:lang w:val="en-US"/>
        </w:rPr>
        <w:t xml:space="preserve"> in NDD as Alzheimer’s disease (AD) </w:t>
      </w:r>
      <w:r w:rsidR="00A2557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{"citationItems":[{"id":"ITEM-1","itemData":{"DOI":"10.2174/1567205043332162","ISSN":"15672050","PMID":"15975075","abstract":"Age- related neurodegenerative diseases, especially Alzheimer's disease (AD), are an important health problem globally. AD is clinically characterized by loss of memory, reasoning and speech. The frequency of the disease reaches to 20-40% in the population over the age of 85. Autopsy findings have indicated the presence of senile plaques and neurofibrillary tangles in the brains of patients with AD. These two lesions can be seen in small numbers during normal aging of the brain but occur in large amounts during AD. Although the initiating causes leading to AD are unknown, oxidative damage appears to play an important role in the slowly progressive neuronal death that is characteristic of AD. Indeed, in addition to the presence of senile plaques and neurofibrillary tangles, postmortem analysis of AD brain has also identified markers of oxidative stress including protein nitrotyrosine, carbonyls in proteins, lipid oxidation products and oxidized DNA bases. This review discusses the role of reactive oxygen and nitrogen species in the pathogenesis of AD and examines the relevance of antioxidant therapy in altering and/or inhibiting neurodegeneration associated with the disease.","author":[{"dropping-particle":"","family":"Aslan","given":"Mutay","non-dropping-particle":"","parse-names":false,"suffix":""},{"dropping-particle":"","family":"Ozben","given":"Tomris","non-dropping-particle":"","parse-names":false,"suffix":""}],"container-title":"Current Alzheimer research","id":"ITEM-1","issue":"2","issued":{"date-parts":[["2004"]]},"page":"111-119","title":"Reactive oxygen and nitrogen species in Alzheimer's disease.","type":"article-journal","volume":"1"},"uris":["http://www.mendeley.com/documents/?uuid=c56e215c-d307-4d64-b746-58f455c520b1"]}],"mendeley":{"formattedCitation":"(Aslan and Ozben, 2004)","plainTextFormattedCitation":"(Aslan and Ozben, 2004)","previouslyFormattedCitation":"(Aslan and Ozben, 2004)"},"properties":{"noteIndex":0},"schema":"https://github.com/citation-style-language/schema/raw/master/csl-citation.json"}</w:instrText>
      </w:r>
      <w:r w:rsidR="00A25570" w:rsidRPr="00CB1C44">
        <w:rPr>
          <w:rFonts w:ascii="Arial" w:hAnsi="Arial" w:cs="Arial"/>
          <w:lang w:val="en-US"/>
        </w:rPr>
        <w:fldChar w:fldCharType="separate"/>
      </w:r>
      <w:r w:rsidR="00DD645C" w:rsidRPr="00CB1C44">
        <w:rPr>
          <w:rFonts w:ascii="Arial" w:hAnsi="Arial" w:cs="Arial"/>
          <w:noProof/>
          <w:lang w:val="en-US"/>
        </w:rPr>
        <w:t>(Aslan and Ozben, 2004)</w:t>
      </w:r>
      <w:r w:rsidR="00A25570" w:rsidRPr="00CB1C44">
        <w:rPr>
          <w:rFonts w:ascii="Arial" w:hAnsi="Arial" w:cs="Arial"/>
          <w:lang w:val="en-US"/>
        </w:rPr>
        <w:fldChar w:fldCharType="end"/>
      </w:r>
      <w:r w:rsidR="00A3643C" w:rsidRPr="00CB1C44">
        <w:rPr>
          <w:rFonts w:ascii="Arial" w:hAnsi="Arial" w:cs="Arial"/>
          <w:lang w:val="en-US"/>
        </w:rPr>
        <w:t xml:space="preserve"> and</w:t>
      </w:r>
      <w:r w:rsidR="00A25570" w:rsidRPr="00CB1C44">
        <w:rPr>
          <w:rFonts w:ascii="Arial" w:hAnsi="Arial" w:cs="Arial"/>
          <w:lang w:val="en-US"/>
        </w:rPr>
        <w:t xml:space="preserve"> Parkinson’s disease (PD) </w:t>
      </w:r>
      <w:r w:rsidR="00A2557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{"citationItems":[{"id":"ITEM-1","itemData":{"DOI":"10.1002/ana.10483","ISBN":"1531-8249","ISSN":"0364-5134","PMID":"12666096","abstract":"Oxidative stress contributes to the cascade leading to dopamine cell degeneration in Parkinson's disease (PD). However, oxidative stress is intimately linked to other components of the degenerative process, such as mitochondrial dysfunction, excitotoxicity, nitric oxide toxicity and inflammation. It is therefore difficult to determine whether oxidative stress leads to, or is a consequence of, these events. Oxidative damage to lipids, proteins, and DNA occurs in PD, and toxic products of oxidative damage, such as 4-hydroxynonenal (HNE), can react with proteins to impair cell viability. There is convincing evidence for the involvement of nitric oxide that reacts with superoxide to produce peroxynitrite and ultimately hydroxyl radical production. Recently, altered ubiquitination and degradation of proteins have been implicated as key to dopaminergic cell death in PD. Oxidative stress can impair these processes directly, and products of oxidative damage, such as HNE, can damage the 26S proteasome. Furthermore, impairment of proteasomal function leads to free radical generation and oxidative stress. Oxidative stress occurs in idiopathic PD and products of oxidative damage interfere with cellular function, but these form only part of a cascade, and it is not possible to separate them from other events involved in dopaminergic cell death.","author":[{"dropping-particle":"","family":"Jenner","given":"Peter","non-dropping-particle":"","parse-names":false,"suffix":""}],"container-title":"Annals of neurology","id":"ITEM-1","issued":{"date-parts":[["2003"]]},"page":"S26-36; discussion S36-8","title":"Oxidative stress in Parkinson's disease.","type":"article-journal","volume":"53 Suppl 3"},"uris":["http://www.mendeley.com/documents/?uuid=feb01cd3-7e69-4c3c-a390-425b8eede2ec"]}],"mendeley":{"formattedCitation":"(Jenner, 2003)","plainTextFormattedCitation":"(Jenner, 2003)","previouslyFormattedCitation":"(Jenner, 2003)"},"properties":{"noteIndex":0},"schema":"https://github.com/citation-style-language/schema/raw/master/csl-citation.json"}</w:instrText>
      </w:r>
      <w:r w:rsidR="00A25570" w:rsidRPr="00CB1C44">
        <w:rPr>
          <w:rFonts w:ascii="Arial" w:hAnsi="Arial" w:cs="Arial"/>
          <w:lang w:val="en-US"/>
        </w:rPr>
        <w:fldChar w:fldCharType="separate"/>
      </w:r>
      <w:r w:rsidR="00DD645C" w:rsidRPr="00CB1C44">
        <w:rPr>
          <w:rFonts w:ascii="Arial" w:hAnsi="Arial" w:cs="Arial"/>
          <w:noProof/>
          <w:lang w:val="en-US"/>
        </w:rPr>
        <w:t>(Jenner, 2003)</w:t>
      </w:r>
      <w:r w:rsidR="00A25570" w:rsidRPr="00CB1C44">
        <w:rPr>
          <w:rFonts w:ascii="Arial" w:hAnsi="Arial" w:cs="Arial"/>
          <w:lang w:val="en-US"/>
        </w:rPr>
        <w:fldChar w:fldCharType="end"/>
      </w:r>
      <w:r w:rsidR="00A3643C" w:rsidRPr="00CB1C44">
        <w:rPr>
          <w:rFonts w:ascii="Arial" w:hAnsi="Arial" w:cs="Arial"/>
          <w:lang w:val="en-US"/>
        </w:rPr>
        <w:t>.</w:t>
      </w:r>
      <w:r w:rsidR="00D33AE3" w:rsidRPr="00CB1C44">
        <w:rPr>
          <w:rFonts w:ascii="Arial" w:hAnsi="Arial" w:cs="Arial"/>
          <w:lang w:val="en-US"/>
        </w:rPr>
        <w:t xml:space="preserve"> </w:t>
      </w:r>
      <w:r w:rsidR="004961BC" w:rsidRPr="00CB1C44">
        <w:rPr>
          <w:rFonts w:ascii="Arial" w:hAnsi="Arial" w:cs="Arial"/>
          <w:lang w:val="en-US"/>
        </w:rPr>
        <w:t>One of the</w:t>
      </w:r>
      <w:r w:rsidR="00F77785" w:rsidRPr="00CB1C44">
        <w:rPr>
          <w:rFonts w:ascii="Arial" w:hAnsi="Arial" w:cs="Arial"/>
          <w:lang w:val="en-US"/>
        </w:rPr>
        <w:t xml:space="preserve"> main</w:t>
      </w:r>
      <w:r w:rsidR="00B07A82" w:rsidRPr="00CB1C44">
        <w:rPr>
          <w:rFonts w:ascii="Arial" w:hAnsi="Arial" w:cs="Arial"/>
          <w:lang w:val="en-US"/>
        </w:rPr>
        <w:t xml:space="preserve"> (neuro)protective </w:t>
      </w:r>
      <w:r w:rsidR="004961BC" w:rsidRPr="00CB1C44">
        <w:rPr>
          <w:rFonts w:ascii="Arial" w:hAnsi="Arial" w:cs="Arial"/>
          <w:lang w:val="en-US"/>
        </w:rPr>
        <w:t>mec</w:t>
      </w:r>
      <w:r w:rsidR="00F77785" w:rsidRPr="00CB1C44">
        <w:rPr>
          <w:rFonts w:ascii="Arial" w:hAnsi="Arial" w:cs="Arial"/>
          <w:lang w:val="en-US"/>
        </w:rPr>
        <w:t xml:space="preserve">hanism </w:t>
      </w:r>
      <w:r w:rsidR="007B67E7" w:rsidRPr="00CB1C44">
        <w:rPr>
          <w:rFonts w:ascii="Arial" w:hAnsi="Arial" w:cs="Arial"/>
          <w:lang w:val="en-US"/>
        </w:rPr>
        <w:t xml:space="preserve">is the activation of </w:t>
      </w:r>
      <w:r w:rsidR="00CD4A13" w:rsidRPr="00CB1C44">
        <w:rPr>
          <w:rFonts w:ascii="Arial" w:hAnsi="Arial" w:cs="Arial"/>
          <w:lang w:val="en-US"/>
        </w:rPr>
        <w:t>n</w:t>
      </w:r>
      <w:r w:rsidR="00836DB4" w:rsidRPr="00CB1C44">
        <w:rPr>
          <w:rFonts w:ascii="Arial" w:hAnsi="Arial" w:cs="Arial"/>
          <w:lang w:val="en-US"/>
        </w:rPr>
        <w:t xml:space="preserve">uclear factor erythroid 2-related factor 2 </w:t>
      </w:r>
      <w:r w:rsidR="004A3CE1" w:rsidRPr="00CB1C44">
        <w:rPr>
          <w:rFonts w:ascii="Arial" w:hAnsi="Arial" w:cs="Arial"/>
          <w:lang w:val="en-US"/>
        </w:rPr>
        <w:t>(Nrf2)</w:t>
      </w:r>
      <w:r w:rsidR="007B67E7" w:rsidRPr="00CB1C44">
        <w:rPr>
          <w:rFonts w:ascii="Arial" w:hAnsi="Arial" w:cs="Arial"/>
          <w:lang w:val="en-US"/>
        </w:rPr>
        <w:t>,</w:t>
      </w:r>
      <w:r w:rsidR="00AD1CD1" w:rsidRPr="00CB1C44">
        <w:rPr>
          <w:rFonts w:ascii="Arial" w:hAnsi="Arial" w:cs="Arial"/>
          <w:lang w:val="en-US"/>
        </w:rPr>
        <w:t xml:space="preserve"> </w:t>
      </w:r>
      <w:r w:rsidR="00FD4426" w:rsidRPr="00CB1C44">
        <w:rPr>
          <w:rFonts w:ascii="Arial" w:hAnsi="Arial" w:cs="Arial"/>
          <w:lang w:val="en-US"/>
        </w:rPr>
        <w:t>a</w:t>
      </w:r>
      <w:r w:rsidR="004A3CE1" w:rsidRPr="00CB1C44">
        <w:rPr>
          <w:rFonts w:ascii="Arial" w:hAnsi="Arial" w:cs="Arial"/>
          <w:lang w:val="en-US"/>
        </w:rPr>
        <w:t xml:space="preserve"> ubiquitous</w:t>
      </w:r>
      <w:r w:rsidR="0071401A" w:rsidRPr="00CB1C44">
        <w:rPr>
          <w:rFonts w:ascii="Arial" w:hAnsi="Arial" w:cs="Arial"/>
          <w:lang w:val="en-US"/>
        </w:rPr>
        <w:t xml:space="preserve"> </w:t>
      </w:r>
      <w:r w:rsidR="004A3CE1" w:rsidRPr="00CB1C44">
        <w:rPr>
          <w:rFonts w:ascii="Arial" w:hAnsi="Arial" w:cs="Arial"/>
          <w:lang w:val="en-US"/>
        </w:rPr>
        <w:t>transcription factor</w:t>
      </w:r>
      <w:r w:rsidR="00715BA9" w:rsidRPr="00CB1C44">
        <w:rPr>
          <w:rFonts w:ascii="Arial" w:hAnsi="Arial" w:cs="Arial"/>
          <w:lang w:val="en-US"/>
        </w:rPr>
        <w:t xml:space="preserve"> </w:t>
      </w:r>
      <w:r w:rsidR="00B07A82" w:rsidRPr="00CB1C44">
        <w:rPr>
          <w:rFonts w:ascii="Arial" w:hAnsi="Arial" w:cs="Arial"/>
          <w:lang w:val="en-US"/>
        </w:rPr>
        <w:t xml:space="preserve">that </w:t>
      </w:r>
      <w:r w:rsidR="00715BA9" w:rsidRPr="00CB1C44">
        <w:rPr>
          <w:rFonts w:ascii="Arial" w:hAnsi="Arial" w:cs="Arial"/>
          <w:lang w:val="en-US"/>
        </w:rPr>
        <w:t>modulates oxidat</w:t>
      </w:r>
      <w:r w:rsidR="00A161BA" w:rsidRPr="00CB1C44">
        <w:rPr>
          <w:rFonts w:ascii="Arial" w:hAnsi="Arial" w:cs="Arial"/>
          <w:lang w:val="en-US"/>
        </w:rPr>
        <w:t>ive stress response</w:t>
      </w:r>
      <w:r w:rsidR="00FD4426" w:rsidRPr="00CB1C44">
        <w:rPr>
          <w:rFonts w:ascii="Arial" w:hAnsi="Arial" w:cs="Arial"/>
          <w:lang w:val="en-US"/>
        </w:rPr>
        <w:t>. Nrf2</w:t>
      </w:r>
      <w:r w:rsidR="00A161BA" w:rsidRPr="00CB1C44">
        <w:rPr>
          <w:rFonts w:ascii="Arial" w:hAnsi="Arial" w:cs="Arial"/>
          <w:lang w:val="en-US"/>
        </w:rPr>
        <w:t xml:space="preserve"> </w:t>
      </w:r>
      <w:r w:rsidR="00FD4426" w:rsidRPr="00CB1C44">
        <w:rPr>
          <w:rFonts w:ascii="Arial" w:hAnsi="Arial" w:cs="Arial"/>
          <w:lang w:val="en-US"/>
        </w:rPr>
        <w:t>regulates</w:t>
      </w:r>
      <w:r w:rsidR="00495F6D" w:rsidRPr="00CB1C44">
        <w:rPr>
          <w:rFonts w:ascii="Arial" w:hAnsi="Arial" w:cs="Arial"/>
          <w:lang w:val="en-US"/>
        </w:rPr>
        <w:t xml:space="preserve"> </w:t>
      </w:r>
      <w:r w:rsidR="00670557" w:rsidRPr="00CB1C44">
        <w:rPr>
          <w:rFonts w:ascii="Arial" w:hAnsi="Arial" w:cs="Arial"/>
          <w:lang w:val="en-US"/>
        </w:rPr>
        <w:t xml:space="preserve">antioxidant, anti-inflammatory </w:t>
      </w:r>
      <w:r w:rsidR="00A96AC0" w:rsidRPr="00CB1C44">
        <w:rPr>
          <w:rFonts w:ascii="Arial" w:hAnsi="Arial" w:cs="Arial"/>
          <w:lang w:val="en-US"/>
        </w:rPr>
        <w:t xml:space="preserve">and </w:t>
      </w:r>
      <w:r w:rsidR="00B07A82" w:rsidRPr="00CB1C44">
        <w:rPr>
          <w:rFonts w:ascii="Arial" w:hAnsi="Arial" w:cs="Arial"/>
          <w:lang w:val="en-US"/>
        </w:rPr>
        <w:t xml:space="preserve">detoxifying </w:t>
      </w:r>
      <w:r w:rsidR="00A96AC0" w:rsidRPr="00CB1C44">
        <w:rPr>
          <w:rFonts w:ascii="Arial" w:hAnsi="Arial" w:cs="Arial"/>
          <w:lang w:val="en-US"/>
        </w:rPr>
        <w:t>genes</w:t>
      </w:r>
      <w:r w:rsidR="00FD4426" w:rsidRPr="00CB1C44">
        <w:rPr>
          <w:rFonts w:ascii="Arial" w:hAnsi="Arial" w:cs="Arial"/>
          <w:lang w:val="en-US"/>
        </w:rPr>
        <w:t>, through binding to</w:t>
      </w:r>
      <w:r w:rsidR="007A0979" w:rsidRPr="00CB1C44">
        <w:rPr>
          <w:rFonts w:ascii="Arial" w:hAnsi="Arial" w:cs="Arial"/>
          <w:lang w:val="en-US"/>
        </w:rPr>
        <w:t xml:space="preserve"> </w:t>
      </w:r>
      <w:r w:rsidR="000B2CF7" w:rsidRPr="00CB1C44">
        <w:rPr>
          <w:rFonts w:ascii="Arial" w:hAnsi="Arial" w:cs="Arial"/>
          <w:lang w:val="en-US"/>
        </w:rPr>
        <w:t xml:space="preserve">the </w:t>
      </w:r>
      <w:r w:rsidR="007A0979" w:rsidRPr="00CB1C44">
        <w:rPr>
          <w:rFonts w:ascii="Arial" w:hAnsi="Arial" w:cs="Arial"/>
          <w:lang w:val="en-US"/>
        </w:rPr>
        <w:t>Antioxidant Response Element (ARE)</w:t>
      </w:r>
      <w:r w:rsidR="00FD4426" w:rsidRPr="00CB1C44">
        <w:rPr>
          <w:rFonts w:ascii="Arial" w:hAnsi="Arial" w:cs="Arial"/>
          <w:lang w:val="en-US"/>
        </w:rPr>
        <w:t xml:space="preserve">, enhancer sequences present in the regulatory regions of Nrf2 target genes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{"citationItems":[{"id":"ITEM-1","itemData":{"DOI":"10.1016/j.bbadis.2013.12.011","ISBN":"0925-4439","ISSN":"09254439","PMID":"24382478","abstract":"Oxidative damage contributes to pathogenesis in many neurodegenerative diseases. As the indicator and regulator of oxidative stress, the Nrf2-ARE pathway has been shown dynamic changes and examined for its neuroprotective role in many cases. In this review, we summarize the progress of the Nrf2-ARE pathway in combating toxicity induced from typical misfolded protein aggregates in neurodegenerative diseases, and specifically the effects on the clearance of protein aggregates. This article is part of a Special Issue entitled: Misfolded Proteins, Mitochondrial Dysfunction, and Neurodegenerative Diseases. ?? 2013 .","author":[{"dropping-particle":"","family":"Gan","given":"Li","non-dropping-particle":"","parse-names":false,"suffix":""},{"dropping-particle":"","family":"Johnson","given":"Jeffrey A.","non-dropping-particle":"","parse-names":false,"suffix":""}],"container-title":"Biochimica et Biophysica Acta (BBA) - Molecular Basis of Disease","id":"ITEM-1","issue":"8","issued":{"date-parts":[["2014","8"]]},"page":"1208-1218","publisher":"Elsevier B.V.","title":"Oxidative damage and the Nrf2-ARE pathway in neurodegenerative diseases","type":"article-journal","volume":"1842"},"uris":["http://www.mendeley.com/documents/?uuid=d256059f-3131-4d91-9a7b-bb9ee05afa4e"]},{"id":"ITEM-2","itemData":{"DOI":"10.1111/pin.12261","ISBN":"1440-1827 (Electronic)\\r1320-5463 (Linking)","ISSN":"14401827","PMID":"25707882","abstract":"As the elderly population increases, a growing number of individuals suffer from age-associated neurodegenerative diseases, such as Alzheimer's disease (AD) and Parkinson's disease (PD). Oxidative stress is considered to play a crucial role in the pathogenesis of age-related diseases. The transcription factor Nrf2 (nuclear factor erythroid 2-related factor 2) is activated by oxidative stress and regulates the expression of a variety of antioxidant enzymes and proteins that exert cytoprotective effects against oxidative stress. Numerous studies have addressed the role of Nrf2 in age-related diseases, including neurodegenerative diseases, using animal or in vitro cell culture models. Here, we introduce the role of oxidative stress in the pathogenesis of neurodegenerative diseases and critically examine the recent findings concerning the role for Nrf2 in the amelioration of AD and PD. Nrf2 not only regulates antioxidant proteins but also regulates the genes associated with autophagy and nerve growth factor signaling. Current research unequivocally demonstrates that the activation of the Nrf2 pathway is a promising novel strategy for the prevention and modification of neurodegenerative diseases.","author":[{"dropping-particle":"","family":"Yamazaki","given":"Hiromi","non-dropping-particle":"","parse-names":false,"suffix":""},{"dropping-particle":"","family":"Tanji","given":"Kunikazu","non-dropping-particle":"","parse-names":false,"suffix":""},{"dropping-particle":"","family":"Wakabayashi","given":"Koichi","non-dropping-particle":"","parse-names":false,"suffix":""},{"dropping-particle":"","family":"Matsuura","given":"Shin","non-dropping-particle":"","parse-names":false,"suffix":""},{"dropping-particle":"","family":"Itoh","given":"Ken","non-dropping-particle":"","parse-names":false,"suffix":""}],"container-title":"Pathology International","id":"ITEM-2","issue":"5","issued":{"date-parts":[["2015"]]},"note":"NULL","page":"210-219","title":"Role of the Keap1/Nrf2 pathway in neurodegenerative diseases","type":"article-journal","volume":"65"},"uris":["http://www.mendeley.com/documents/?uuid=ee80dd49-37d7-4914-ae88-36507ea305a2"]}],"mendeley":{"formattedCitation":"(Gan and Johnson, 2014; Yamazaki et al., 2015)","plainTextFormattedCitation":"(Gan and Johnson, 2014; Yamazaki et al., 2015)","previouslyFormattedCitation":"(Gan and Johnson, 2014; Yamazaki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(Gan and Johnson, 2014; Yamazaki et al., 2015)</w:t>
      </w:r>
      <w:r w:rsidR="00844011" w:rsidRPr="00CB1C44">
        <w:rPr>
          <w:rFonts w:ascii="Arial" w:hAnsi="Arial" w:cs="Arial"/>
          <w:lang w:val="en-US"/>
        </w:rPr>
        <w:fldChar w:fldCharType="end"/>
      </w:r>
      <w:r w:rsidR="00A96AC0" w:rsidRPr="00CB1C44">
        <w:rPr>
          <w:rFonts w:ascii="Arial" w:hAnsi="Arial" w:cs="Arial"/>
          <w:lang w:val="en-US"/>
        </w:rPr>
        <w:t>.</w:t>
      </w:r>
      <w:r w:rsidR="0020597F" w:rsidRPr="00CB1C44">
        <w:rPr>
          <w:rFonts w:ascii="Arial" w:hAnsi="Arial" w:cs="Arial"/>
          <w:lang w:val="en-US"/>
        </w:rPr>
        <w:t xml:space="preserve"> </w:t>
      </w:r>
      <w:r w:rsidR="00670557" w:rsidRPr="00CB1C44">
        <w:rPr>
          <w:rFonts w:ascii="Arial" w:hAnsi="Arial" w:cs="Arial"/>
          <w:lang w:val="en-US"/>
        </w:rPr>
        <w:t xml:space="preserve">Moreover, </w:t>
      </w:r>
      <w:r w:rsidR="00457EDE" w:rsidRPr="00CB1C44">
        <w:rPr>
          <w:rFonts w:ascii="Arial" w:hAnsi="Arial" w:cs="Arial"/>
          <w:lang w:val="en-US"/>
        </w:rPr>
        <w:t>Nrf2 has been described to</w:t>
      </w:r>
      <w:r w:rsidR="002A5537" w:rsidRPr="00CB1C44">
        <w:rPr>
          <w:rFonts w:ascii="Arial" w:hAnsi="Arial" w:cs="Arial"/>
          <w:lang w:val="en-US"/>
        </w:rPr>
        <w:t xml:space="preserve"> be an important regulator of</w:t>
      </w:r>
      <w:r w:rsidR="00457EDE" w:rsidRPr="00CB1C44">
        <w:rPr>
          <w:rFonts w:ascii="Arial" w:hAnsi="Arial" w:cs="Arial"/>
          <w:lang w:val="en-US"/>
        </w:rPr>
        <w:t xml:space="preserve"> normal mitochondria</w:t>
      </w:r>
      <w:r w:rsidR="00D307C0" w:rsidRPr="00CB1C44">
        <w:rPr>
          <w:rFonts w:ascii="Arial" w:hAnsi="Arial" w:cs="Arial"/>
          <w:lang w:val="en-US"/>
        </w:rPr>
        <w:t>l</w:t>
      </w:r>
      <w:r w:rsidR="00457EDE" w:rsidRPr="00CB1C44">
        <w:rPr>
          <w:rFonts w:ascii="Arial" w:hAnsi="Arial" w:cs="Arial"/>
          <w:lang w:val="en-US"/>
        </w:rPr>
        <w:t xml:space="preserve"> structure and function, with a </w:t>
      </w:r>
      <w:r w:rsidR="002A5537" w:rsidRPr="00CB1C44">
        <w:rPr>
          <w:rFonts w:ascii="Arial" w:hAnsi="Arial" w:cs="Arial"/>
          <w:lang w:val="en-US"/>
        </w:rPr>
        <w:t>significant</w:t>
      </w:r>
      <w:r w:rsidR="00457EDE" w:rsidRPr="00CB1C44">
        <w:rPr>
          <w:rFonts w:ascii="Arial" w:hAnsi="Arial" w:cs="Arial"/>
          <w:lang w:val="en-US"/>
        </w:rPr>
        <w:t xml:space="preserve"> role under stress conditions</w:t>
      </w:r>
      <w:r w:rsidR="000F60D4" w:rsidRPr="00CB1C44">
        <w:rPr>
          <w:rFonts w:ascii="Arial" w:hAnsi="Arial" w:cs="Arial"/>
          <w:lang w:val="en-US"/>
        </w:rPr>
        <w:t xml:space="preserve"> </w:t>
      </w:r>
      <w:r w:rsidR="00600748" w:rsidRPr="00CB1C44">
        <w:rPr>
          <w:rFonts w:ascii="Arial" w:hAnsi="Arial" w:cs="Arial"/>
          <w:lang w:val="en-US"/>
        </w:rPr>
        <w:fldChar w:fldCharType="begin" w:fldLock="1"/>
      </w:r>
      <w:r w:rsidR="00267115" w:rsidRPr="00CB1C44">
        <w:rPr>
          <w:rFonts w:ascii="Arial" w:hAnsi="Arial" w:cs="Arial"/>
          <w:lang w:val="en-US"/>
        </w:rPr>
        <w:instrText>ADDIN CSL_CITATION {"citationItems":[{"id":"ITEM-1","itemData":{"DOI":"10.1016/j.freeradbiomed.2015.04.036","ISSN":"18734596","abstract":"The transcription factor NF-E2 p45-related factor 2 (Nrf2; gene name NFE2L2) allows adaptation and survival under conditions of stress by regulating the gene expression of diverse networks of cytoprotective proteins, including antioxidant, anti-inflammatory, and detoxification enzymes as well as proteins that assist in the repair or removal of damaged macromolecules. Nrf2 has a crucial role in the maintenance of cellular redox homeostasis by regulating the biosynthesis, utilization, and regeneration of glutathione, thioredoxin, and NADPH and by controlling the production of reactive oxygen species by mitochondria and NADPH oxidase. Under homeostatic conditions, Nrf2 affects the mitochondrial membrane potential, fatty acid oxidation, availability of substrates (NADH and FADH2/succinate) for respiration, and ATP synthesis. Under conditions of stress or growth factor stimulation, activation of Nrf2 counteracts the increased reactive oxygen species production in mitochondria via transcriptional upregulation of uncoupling protein 3 and influences mitochondrial biogenesis by maintaining the levels of nuclear respiratory factor 1 and peroxisome proliferator-activated receptor γ coactivator 1α, as well as by promoting purine nucleotide biosynthesis. Pharmacological Nrf2 activators, such as the naturally occurring isothiocyanate sulforaphane, inhibit oxidant-mediated opening of the mitochondrial permeability transition pore and mitochondrial swelling. Curiously, a synthetic 1,4-diphenyl-1,2,3-triazole compound, originally designed as an Nrf2 activator, was found to promote mitophagy, thereby contributing to the overall mitochondrial homeostasis. Thus, Nrf2 is a prominent player in supporting the structural and functional integrity of the mitochondria, and this role is particularly crucial under conditions of stress.","author":[{"dropping-particle":"","family":"Dinkova-Kostova","given":"Albena T.","non-dropping-particle":"","parse-names":false,"suffix":""},{"dropping-particle":"","family":"Abramov","given":"Andrey Y.","non-dropping-particle":"","parse-names":false,"suffix":""}],"container-title":"Free Radical Biology and Medicine","id":"ITEM-1","issued":{"date-parts":[["2015"]]},"title":"The emerging role of Nrf2 in mitochondrial function","type":"article"},"uris":["http://www.mendeley.com/documents/?uuid=a9c3fc0a-79ea-46fd-b92a-ea5a519349a9"]}],"mendeley":{"formattedCitation":"(Dinkova-Kostova and Abramov, 2015)","plainTextFormattedCitation":"(Dinkova-Kostova and Abramov, 2015)","previouslyFormattedCitation":"(Dinkova-Kostova and Abramov, 2015)"},"properties":{"noteIndex":0},"schema":"https://github.com/citation-style-language/schema/raw/master/csl-citation.json"}</w:instrText>
      </w:r>
      <w:r w:rsidR="00600748" w:rsidRPr="00CB1C44">
        <w:rPr>
          <w:rFonts w:ascii="Arial" w:hAnsi="Arial" w:cs="Arial"/>
          <w:lang w:val="en-US"/>
        </w:rPr>
        <w:fldChar w:fldCharType="separate"/>
      </w:r>
      <w:r w:rsidR="00600748" w:rsidRPr="00CB1C44">
        <w:rPr>
          <w:rFonts w:ascii="Arial" w:hAnsi="Arial" w:cs="Arial"/>
          <w:noProof/>
          <w:lang w:val="en-US"/>
        </w:rPr>
        <w:t>(Dinkova-Kostova and Abramov, 2015)</w:t>
      </w:r>
      <w:r w:rsidR="00600748" w:rsidRPr="00CB1C44">
        <w:rPr>
          <w:rFonts w:ascii="Arial" w:hAnsi="Arial" w:cs="Arial"/>
          <w:lang w:val="en-US"/>
        </w:rPr>
        <w:fldChar w:fldCharType="end"/>
      </w:r>
      <w:r w:rsidR="000F60D4" w:rsidRPr="00CB1C44">
        <w:rPr>
          <w:rFonts w:ascii="Arial" w:hAnsi="Arial" w:cs="Arial"/>
          <w:lang w:val="en-US"/>
        </w:rPr>
        <w:t xml:space="preserve">; in this respect, </w:t>
      </w:r>
      <w:r w:rsidR="00107DE3" w:rsidRPr="00CB1C44">
        <w:rPr>
          <w:rFonts w:ascii="Arial" w:hAnsi="Arial" w:cs="Arial"/>
          <w:lang w:val="en-US"/>
        </w:rPr>
        <w:t xml:space="preserve">Nrf2 </w:t>
      </w:r>
      <w:r w:rsidR="000F60D4" w:rsidRPr="00CB1C44">
        <w:rPr>
          <w:rFonts w:ascii="Arial" w:hAnsi="Arial" w:cs="Arial"/>
          <w:lang w:val="en-US"/>
        </w:rPr>
        <w:t>has been described to control</w:t>
      </w:r>
      <w:r w:rsidR="00107DE3" w:rsidRPr="00CB1C44">
        <w:rPr>
          <w:rFonts w:ascii="Arial" w:hAnsi="Arial" w:cs="Arial"/>
          <w:lang w:val="en-US"/>
        </w:rPr>
        <w:t xml:space="preserve"> mitochondrial membrane potential and respiration</w:t>
      </w:r>
      <w:r w:rsidR="009B567F" w:rsidRPr="00CB1C44">
        <w:rPr>
          <w:rFonts w:ascii="Arial" w:hAnsi="Arial" w:cs="Arial"/>
          <w:lang w:val="en-US"/>
        </w:rPr>
        <w:t>, oxidative phosphorylation and ATP synthesis</w:t>
      </w:r>
      <w:r w:rsidR="000F60D4" w:rsidRPr="00CB1C44">
        <w:rPr>
          <w:rFonts w:ascii="Arial" w:hAnsi="Arial" w:cs="Arial"/>
          <w:lang w:val="en-US"/>
        </w:rPr>
        <w:t>,</w:t>
      </w:r>
      <w:r w:rsidR="009B567F" w:rsidRPr="00CB1C44">
        <w:rPr>
          <w:rFonts w:ascii="Arial" w:hAnsi="Arial" w:cs="Arial"/>
          <w:lang w:val="en-US"/>
        </w:rPr>
        <w:t xml:space="preserve"> </w:t>
      </w:r>
      <w:r w:rsidR="000F60D4" w:rsidRPr="00CB1C44">
        <w:rPr>
          <w:rFonts w:ascii="Arial" w:hAnsi="Arial" w:cs="Arial"/>
          <w:lang w:val="en-US"/>
        </w:rPr>
        <w:t xml:space="preserve">also </w:t>
      </w:r>
      <w:r w:rsidR="009B567F" w:rsidRPr="00CB1C44">
        <w:rPr>
          <w:rFonts w:ascii="Arial" w:hAnsi="Arial" w:cs="Arial"/>
          <w:lang w:val="en-US"/>
        </w:rPr>
        <w:t>improv</w:t>
      </w:r>
      <w:r w:rsidR="000F60D4" w:rsidRPr="00CB1C44">
        <w:rPr>
          <w:rFonts w:ascii="Arial" w:hAnsi="Arial" w:cs="Arial"/>
          <w:lang w:val="en-US"/>
        </w:rPr>
        <w:t>ing</w:t>
      </w:r>
      <w:r w:rsidR="009B567F" w:rsidRPr="00CB1C44">
        <w:rPr>
          <w:rFonts w:ascii="Arial" w:hAnsi="Arial" w:cs="Arial"/>
          <w:lang w:val="en-US"/>
        </w:rPr>
        <w:t xml:space="preserve"> mitochondrial fatty acid oxidation. Additionally, Nrf2 has an essential role in mitochondrial biogenesis, mitophagy and mitochondrial integrity </w:t>
      </w:r>
      <w:r w:rsidR="009B567F" w:rsidRPr="00CB1C44">
        <w:rPr>
          <w:rFonts w:ascii="Arial" w:hAnsi="Arial" w:cs="Arial"/>
          <w:lang w:val="en-US"/>
        </w:rPr>
        <w:fldChar w:fldCharType="begin" w:fldLock="1"/>
      </w:r>
      <w:r w:rsidR="00267115" w:rsidRPr="00CB1C44">
        <w:rPr>
          <w:rFonts w:ascii="Arial" w:hAnsi="Arial" w:cs="Arial"/>
          <w:lang w:val="en-US"/>
        </w:rPr>
        <w:instrText>ADDIN CSL_CITATION {"citationItems":[{"id":"ITEM-1","itemData":{"DOI":"10.1016/j.freeradbiomed.2015.04.036","ISSN":"18734596","abstract":"The transcription factor NF-E2 p45-related factor 2 (Nrf2; gene name NFE2L2) allows adaptation and survival under conditions of stress by regulating the gene expression of diverse networks of cytoprotective proteins, including antioxidant, anti-inflammatory, and detoxification enzymes as well as proteins that assist in the repair or removal of damaged macromolecules. Nrf2 has a crucial role in the maintenance of cellular redox homeostasis by regulating the biosynthesis, utilization, and regeneration of glutathione, thioredoxin, and NADPH and by controlling the production of reactive oxygen species by mitochondria and NADPH oxidase. Under homeostatic conditions, Nrf2 affects the mitochondrial membrane potential, fatty acid oxidation, availability of substrates (NADH and FADH2/succinate) for respiration, and ATP synthesis. Under conditions of stress or growth factor stimulation, activation of Nrf2 counteracts the increased reactive oxygen species production in mitochondria via transcriptional upregulation of uncoupling protein 3 and influences mitochondrial biogenesis by maintaining the levels of nuclear respiratory factor 1 and peroxisome proliferator-activated receptor γ coactivator 1α, as well as by promoting purine nucleotide biosynthesis. Pharmacological Nrf2 activators, such as the naturally occurring isothiocyanate sulforaphane, inhibit oxidant-mediated opening of the mitochondrial permeability transition pore and mitochondrial swelling. Curiously, a synthetic 1,4-diphenyl-1,2,3-triazole compound, originally designed as an Nrf2 activator, was found to promote mitophagy, thereby contributing to the overall mitochondrial homeostasis. Thus, Nrf2 is a prominent player in supporting the structural and functional integrity of the mitochondria, and this role is particularly crucial under conditions of stress.","author":[{"dropping-particle":"","family":"Dinkova-Kostova","given":"Albena T.","non-dropping-particle":"","parse-names":false,"suffix":""},{"dropping-particle":"","family":"Abramov","given":"Andrey Y.","non-dropping-particle":"","parse-names":false,"suffix":""}],"container-title":"Free Radical Biology and Medicine","id":"ITEM-1","issued":{"date-parts":[["2015"]]},"title":"The emerging role of Nrf2 in mitochondrial function","type":"article"},"uris":["http://www.mendeley.com/documents/?uuid=a9c3fc0a-79ea-46fd-b92a-ea5a519349a9"]}],"mendeley":{"formattedCitation":"(Dinkova-Kostova and Abramov, 2015)","plainTextFormattedCitation":"(Dinkova-Kostova and Abramov, 2015)","previouslyFormattedCitation":"(Dinkova-Kostova and Abramov, 2015)"},"properties":{"noteIndex":0},"schema":"https://github.com/citation-style-language/schema/raw/master/csl-citation.json"}</w:instrText>
      </w:r>
      <w:r w:rsidR="009B567F" w:rsidRPr="00CB1C44">
        <w:rPr>
          <w:rFonts w:ascii="Arial" w:hAnsi="Arial" w:cs="Arial"/>
          <w:lang w:val="en-US"/>
        </w:rPr>
        <w:fldChar w:fldCharType="separate"/>
      </w:r>
      <w:r w:rsidR="009B567F" w:rsidRPr="00CB1C44">
        <w:rPr>
          <w:rFonts w:ascii="Arial" w:hAnsi="Arial" w:cs="Arial"/>
          <w:noProof/>
          <w:lang w:val="en-US"/>
        </w:rPr>
        <w:t>(Dinkova-Kostova and Abramov, 2015)</w:t>
      </w:r>
      <w:r w:rsidR="009B567F" w:rsidRPr="00CB1C44">
        <w:rPr>
          <w:rFonts w:ascii="Arial" w:hAnsi="Arial" w:cs="Arial"/>
          <w:lang w:val="en-US"/>
        </w:rPr>
        <w:fldChar w:fldCharType="end"/>
      </w:r>
      <w:r w:rsidR="009B567F" w:rsidRPr="00CB1C44">
        <w:rPr>
          <w:rFonts w:ascii="Arial" w:hAnsi="Arial" w:cs="Arial"/>
          <w:lang w:val="en-US"/>
        </w:rPr>
        <w:t>.</w:t>
      </w:r>
    </w:p>
    <w:p w14:paraId="7529E990" w14:textId="65095DFA" w:rsidR="00212999" w:rsidRPr="00CB1C44" w:rsidRDefault="00E75E0C" w:rsidP="004038B5">
      <w:pPr>
        <w:spacing w:after="0" w:line="360" w:lineRule="auto"/>
        <w:jc w:val="both"/>
        <w:rPr>
          <w:rFonts w:ascii="Arial" w:hAnsi="Arial" w:cs="Arial"/>
          <w:lang w:val="en-US"/>
        </w:rPr>
      </w:pPr>
      <w:r w:rsidRPr="00CB1C44">
        <w:rPr>
          <w:rFonts w:ascii="Arial" w:hAnsi="Arial" w:cs="Arial"/>
          <w:lang w:val="en-US"/>
        </w:rPr>
        <w:t xml:space="preserve">Several evidences show Nrf2 expression both in glial cells and neurons in humans and mice brain. Although Nrf2 is more commonly expressed in astrocytes, endogenous Nrf2 expression and activation are evident in neurons in aging and neurodegeneration </w:t>
      </w:r>
      <w:r w:rsidRPr="00CB1C44">
        <w:rPr>
          <w:rFonts w:ascii="Arial" w:hAnsi="Arial" w:cs="Arial"/>
          <w:lang w:val="en-US"/>
        </w:rPr>
        <w:lastRenderedPageBreak/>
        <w:fldChar w:fldCharType="begin" w:fldLock="1"/>
      </w:r>
      <w:r w:rsidR="00DD645C" w:rsidRPr="00CB1C44">
        <w:rPr>
          <w:rFonts w:ascii="Arial" w:hAnsi="Arial" w:cs="Arial"/>
          <w:lang w:val="en-US"/>
        </w:rPr>
        <w:instrText>ADDIN CSL_CITATION {"citationItems":[{"id":"ITEM-1","itemData":{"DOI":"10.3390/antiox6030065","ISBN":"6139349400","ISSN":"2076-3921","PMID":"28820437","abstract":"Nuclear factor erythroid 2-related factor 2 (Nrf2) is a transcription factor that regulates hundreds of antioxidant genes, and is activated in response to oxidative stress. Given that many neurodegenerative diseases including Alzheimer’s disease, Parkinson’s disease, amyotrophic lateral sclerosis, Huntington’s disease and multiple sclerosis are characterised by oxidative stress, Nrf2 is commonly activated in these diseases. Evidence demonstrates that Nrf2 activity is repressed in neurons in vitro, and only cultured astrocytes respond strongly to Nrf2 inducers, leading to the interpretation that Nrf2 signalling is largely restricted to astrocytes. However, Nrf2 activity can be observed in neurons in post-mortem brain tissue and animal models of disease. Thus this interpretation may be false, and a detailed analysis of the cell type expression of Nrf2 in neurodegenerative diseases is required. This review describes the evidence for Nrf2 activation in each cell type in prominent neurodegenerative diseases and normal aging in human brain and animal models of neurodegeneration, the response to pharmacological and genetic modulation of Nrf2, and clinical trials involving Nrf2-modifying drugs.","author":[{"dropping-particle":"","family":"Liddell","given":"Jeffrey","non-dropping-particle":"","parse-names":false,"suffix":""}],"container-title":"Antioxidants","id":"ITEM-1","issued":{"date-parts":[["2017"]]},"title":"Are Astrocytes the Predominant Cell Type for Activation of Nrf2 in Aging and Neurodegeneration?","type":"article-journal"},"uris":["http://www.mendeley.com/documents/?uuid=64856cb3-8b3d-496b-bfdf-2cc765cad84d"]}],"mendeley":{"formattedCitation":"(Liddell, 2017)","plainTextFormattedCitation":"(Liddell, 2017)","previouslyFormattedCitation":"(Liddell, 2017)"},"properties":{"noteIndex":0},"schema":"https://github.com/citation-style-language/schema/raw/master/csl-citation.json"}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(Liddell, 2017)</w:t>
      </w:r>
      <w:r w:rsidRPr="00CB1C44">
        <w:rPr>
          <w:rFonts w:ascii="Arial" w:hAnsi="Arial" w:cs="Arial"/>
          <w:lang w:val="en-US"/>
        </w:rPr>
        <w:fldChar w:fldCharType="end"/>
      </w:r>
      <w:r w:rsidRPr="00CB1C44">
        <w:rPr>
          <w:rFonts w:ascii="Arial" w:hAnsi="Arial" w:cs="Arial"/>
          <w:lang w:val="en-US"/>
        </w:rPr>
        <w:t xml:space="preserve">. </w:t>
      </w:r>
      <w:r w:rsidR="00212999" w:rsidRPr="00CB1C44">
        <w:rPr>
          <w:rFonts w:ascii="Arial" w:hAnsi="Arial" w:cs="Arial"/>
          <w:lang w:val="en-US"/>
        </w:rPr>
        <w:t xml:space="preserve">Nrf2 activation </w:t>
      </w:r>
      <w:r w:rsidR="00B30051" w:rsidRPr="00CB1C44">
        <w:rPr>
          <w:rFonts w:ascii="Arial" w:hAnsi="Arial" w:cs="Arial"/>
          <w:lang w:val="en-US"/>
        </w:rPr>
        <w:t>protects</w:t>
      </w:r>
      <w:r w:rsidR="00212999" w:rsidRPr="00CB1C44">
        <w:rPr>
          <w:rFonts w:ascii="Arial" w:hAnsi="Arial" w:cs="Arial"/>
          <w:lang w:val="en-US"/>
        </w:rPr>
        <w:t xml:space="preserve"> against mitochondrial toxins in primary neuronal cultures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{"citationItems":[{"id":"ITEM-1","itemData":{"DOI":"10.1074/jbc.M305204200","ISBN":"0021-9258 (Print)","ISSN":"00219258","PMID":"12842875","abstract":"NF-E2-related factor-2 (Nrf2) regulates the gene expression of phase II detoxification enzymes and antioxidant proteins through an enhancer sequence referred to as the antioxidant-responsive element (ARE). In this study, we demonstrate that Nrf2 protects neurons in mixed primary neuronal cultures containing both astrocytes ( approximately 10%) and neurons ( approximately 90%) through coordinate up-regulation of ARE-driven genes. Nrf2-/- neurons in this mixed culture system were more sensitive to mitochondrial toxin (1-methyl-4-phenyl-1,2,5,6-tetrahydropyridine or rotenone)-induced apoptosis compared with Nrf2+/+ neurons. To understand the underlying mechanism of this observed differential sensitivity, we compared the gene expression profiles using oligonucleotide microarrays. Microarray data showed that Nrf2+/+neuronal cultures had higher expression levels of genes encoding detoxification enzymes, antioxidant proteins, calcium homeostasis proteins, growth factors, neuron-specific proteins, and signaling molecules compared with Nrf2-/- neuronal cultures. As predicted from the microarray data, Nrf2-/- neurons were indeed more vulnerable to the cytotoxic effects of ionomycin- and 2,5-di-(t-butyl)-1,4-hydroquinone-induced increases in intracellular calcium. Finally, adenoviral vector-mediated overexpression of Nrf2 recovered ARE-driven gene expression in Nrf2-/- neuronal cultures and rescued Nrf2-/- neurons from rotenone- or ionomycin-induced cell death. Taken together, these findings suggest that Nrf2 plays an important role in protecting neurons from toxic insult.","author":[{"dropping-particle":"","family":"Lee","given":"Jong Min","non-dropping-particle":"","parse-names":false,"suffix":""},{"dropping-particle":"","family":"Shih","given":"Andy Y.","non-dropping-particle":"","parse-names":false,"suffix":""},{"dropping-particle":"","family":"Murphy","given":"Timothy H.","non-dropping-particle":"","parse-names":false,"suffix":""},{"dropping-particle":"","family":"Johnson","given":"Jeffrey A.","non-dropping-particle":"","parse-names":false,"suffix":""}],"container-title":"Journal of Biological Chemistry","id":"ITEM-1","issue":"39","issued":{"date-parts":[["2003"]]},"page":"37948-37956","title":"NF-E2-related factor-2 mediates neuroprotection against mitochondrial complex I inhibitors and increased concentrations of intracellular calcium in primary cortical neurons","type":"article-journal","volume":"278"},"uris":["http://www.mendeley.com/documents/?uuid=8eef41a4-5e05-45b4-840a-2ab66f688bff"]}],"mendeley":{"formattedCitation":"(Lee et al., 2003)","plainTextFormattedCitation":"(Lee et al., 2003)","previouslyFormattedCitation":"(Lee et al.,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(Lee et al., 2003)</w:t>
      </w:r>
      <w:r w:rsidR="00844011" w:rsidRPr="00CB1C44">
        <w:rPr>
          <w:rFonts w:ascii="Arial" w:hAnsi="Arial" w:cs="Arial"/>
          <w:lang w:val="en-US"/>
        </w:rPr>
        <w:fldChar w:fldCharType="end"/>
      </w:r>
      <w:r w:rsidR="00B07A82" w:rsidRPr="00CB1C44">
        <w:rPr>
          <w:rFonts w:ascii="Arial" w:hAnsi="Arial" w:cs="Arial"/>
          <w:lang w:val="en-US"/>
        </w:rPr>
        <w:t xml:space="preserve">, while </w:t>
      </w:r>
      <w:r w:rsidR="00212999" w:rsidRPr="00CB1C44">
        <w:rPr>
          <w:rFonts w:ascii="Arial" w:hAnsi="Arial" w:cs="Arial"/>
          <w:lang w:val="en-US"/>
        </w:rPr>
        <w:t xml:space="preserve">Nrf2 knockout mice showed increased susceptibility to common neurotoxins, general neurodegeneration and astrogliosis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{"citationItems":[{"id":"ITEM-1","itemData":{"DOI":"10.2353/ajpath.2007.060898","ISBN":"0002-9440 (Print)\\r0002-9440 (Linking)","ISSN":"0002-9440","PMID":"17525273","abstract":"NFE2-related factor 2 (Nrf2), an oxidant-activated CNC bZip transcription factor, has been implicated in defense against oxidative stress and chemical insults in a range of cell and tissue types, including the central nervous system. Here, we report that deletion of the Nrf2 gene in mice caused vacuolar (spongiform) leukoencephalopathy with widespread astrogliosis. The leukoencephalopathy was present in all Nrf2-null mice more than 10 months of age, was characterized by vacuolar degeneration involving all major brain regions, and was most apparent in the white tracts of the cerebellum and pons. Vacuolar degeneration in white tracts was attributable to myelin unwinding and intramyelinic cysts, and double-label immunofluorescence for 4-hydroxy-2-nonenal and myelin basic protein localized free-radical-induced oxidative damage to the myelin sheath. Moreover, the brains of Nrf2-null mice exhibited widespread astrocyte activation with profusion of glial fibrillary acidic protein-immunoreactive glial processes. The study uncovered a possible physiological role for Nrf2 in maintaining central nervous system myelin. If this role is confirmed, it may suggest new approaches to treating genetically and chemically induced myelin degenerative diseases.","author":[{"dropping-particle":"","family":"Hubbs","given":"Ann F","non-dropping-particle":"","parse-names":false,"suffix":""},{"dropping-particle":"","family":"Benkovic","given":"Stanley A","non-dropping-particle":"","parse-names":false,"suffix":""},{"dropping-particle":"","family":"Miller","given":"Diane B","non-dropping-particle":"","parse-names":false,"suffix":""},{"dropping-particle":"","family":"O'Callaghan","given":"James P","non-dropping-particle":"","parse-names":false,"suffix":""},{"dropping-particle":"","family":"Battelli","given":"Lori","non-dropping-particle":"","parse-names":false,"suffix":""},{"dropping-particle":"","family":"Schwegler-Berry","given":"Diane","non-dropping-particle":"","parse-names":false,"suffix":""},{"dropping-particle":"","family":"Ma","given":"Qiang","non-dropping-particle":"","parse-names":false,"suffix":""}],"container-title":"The American journal of pathology","id":"ITEM-1","issue":"6","issued":{"date-parts":[["2007"]]},"page":"2068-76","title":"Vacuolar leukoencephalopathy with widespread astrogliosis in mice lacking transcription factor Nrf2.","type":"article-journal","volume":"170"},"uris":["http://www.mendeley.com/documents/?uuid=1761bd01-c51c-46d8-9c07-f007539c6457"]}],"mendeley":{"formattedCitation":"(Hubbs et al., 2007)","plainTextFormattedCitation":"(Hubbs et al., 2007)","previouslyFormattedCitation":"(Hubbs et al., 2007)"},"properties":{"noteIndex":0},"schema":"https://github.com/citation-style-language/schema/raw/master/csl-citation.json"}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(Hubbs et al., 2007)</w:t>
      </w:r>
      <w:r w:rsidR="00844011" w:rsidRPr="00CB1C44">
        <w:rPr>
          <w:rFonts w:ascii="Arial" w:hAnsi="Arial" w:cs="Arial"/>
          <w:lang w:val="en-US"/>
        </w:rPr>
        <w:fldChar w:fldCharType="end"/>
      </w:r>
      <w:r w:rsidR="00D13985" w:rsidRPr="00CB1C44">
        <w:rPr>
          <w:rFonts w:ascii="Arial" w:hAnsi="Arial" w:cs="Arial"/>
          <w:lang w:val="en-US"/>
        </w:rPr>
        <w:t xml:space="preserve"> </w:t>
      </w:r>
      <w:r w:rsidR="00212999" w:rsidRPr="00CB1C44">
        <w:rPr>
          <w:rFonts w:ascii="Arial" w:hAnsi="Arial" w:cs="Arial"/>
          <w:lang w:val="en-US"/>
        </w:rPr>
        <w:t xml:space="preserve">and dopaminergic </w:t>
      </w:r>
      <w:r w:rsidR="00B07A82" w:rsidRPr="00CB1C44">
        <w:rPr>
          <w:rFonts w:ascii="Arial" w:hAnsi="Arial" w:cs="Arial"/>
          <w:lang w:val="en-US"/>
        </w:rPr>
        <w:t xml:space="preserve">neuronal </w:t>
      </w:r>
      <w:r w:rsidR="00212999" w:rsidRPr="00CB1C44">
        <w:rPr>
          <w:rFonts w:ascii="Arial" w:hAnsi="Arial" w:cs="Arial"/>
          <w:lang w:val="en-US"/>
        </w:rPr>
        <w:t xml:space="preserve">dysfunction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{"citationItems":[{"id":"ITEM-1","itemData":{"DOI":"10.1002/glia.20947","ISBN":"1098-1136 (Electronic)\\r0894-1491 (Linking)","ISSN":"08941491","PMID":"19908287","abstract":"Neural injury leads to inflammation and activation of microglia that in turn may participate in progression of neurodegeneration. The mechanisms involved in changing microglial activity from beneficial to chronic detrimental neuroinflammation are not known but reactive oxygen species (ROS) may be involved. We have addressed this question in Nrf2-knockout mice, with hypersensitivity to oxidative stress, submitted to daily inoculation of 1-methyl-4-phenyl-1,2,3,6-tetrahydropyridine (MPTP) for 4 weeks. Basal ganglia of these mice exhibited a more severe dopaminergic dysfunction than wild type littermates in response to MPTP. The amount of CD11b-positive/CD45-highly-stained cells, indicative of peripheral macrophage infiltration, did not increase significantly in response to MPTP. However, Nrf2-deficient mice exhibited more astrogliosis and microgliosis as determined by an increase in messenger RNA and protein levels for GFAP and F4/80, respectively. Inflammation markers characteristic of classical microglial activation, COX-2, iNOS, IL-6, and TNF-alpha were also increased and, at the same time, anti-inflammatory markers attributable to alternative microglial activation, such as FIZZ-1, YM-1, Arginase-1, and IL-4 were decreased. These results were confirmed in microglial cultures stimulated with apoptotic conditioned medium from MPP(+)-treated dopaminergic cells, further demonstrating a role of Nrf2 in tuning balance between classical and alternative microglial activation. This study demonstrates a crucial role of Nrf2 in modulation of microglial dynamics and identifies Nrf2 as molecular target to control microglial function in Parkinson's disease (PD) progression.","author":[{"dropping-particle":"","family":"Rojo","given":"Ana I.","non-dropping-particle":"","parse-names":false,"suffix":""},{"dropping-particle":"","family":"Innamorato","given":"Nadia G.","non-dropping-particle":"","parse-names":false,"suffix":""},{"dropping-particle":"","family":"Martín-Moreno","given":"Ana M.","non-dropping-particle":"","parse-names":false,"suffix":""},{"dropping-particle":"","family":"Ceballos","given":"María L.","non-dropping-particle":"De","parse-names":false,"suffix":""},{"dropping-particle":"","family":"Yamamoto","given":"Masayuki","non-dropping-particle":"","parse-names":false,"suffix":""},{"dropping-particle":"","family":"Cuadrado","given":"Antonio","non-dropping-particle":"","parse-names":false,"suffix":""}],"container-title":"GLIA","id":"ITEM-1","issue":"5","issued":{"date-parts":[["2010"]]},"note":"NULL","page":"588-598","title":"Nrf2 regulates microglial dynamics and neuroinflammation in experimental Parkinson's disease","type":"article-journal","volume":"58"},"uris":["http://www.mendeley.com/documents/?uuid=ac989869-6da7-42e3-829b-aa4a4c41fb1e"]}],"mendeley":{"formattedCitation":"(Rojo et al., 2010)","plainTextFormattedCitation":"(Rojo et al., 2010)","previouslyFormattedCitation":"(Rojo et al., 2010)"},"properties":{"noteIndex":0},"schema":"https://github.com/citation-style-language/schema/raw/master/csl-citation.json"}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(Rojo et al., 2010)</w:t>
      </w:r>
      <w:r w:rsidR="00844011" w:rsidRPr="00CB1C44">
        <w:rPr>
          <w:rFonts w:ascii="Arial" w:hAnsi="Arial" w:cs="Arial"/>
          <w:lang w:val="en-US"/>
        </w:rPr>
        <w:fldChar w:fldCharType="end"/>
      </w:r>
      <w:r w:rsidR="00212999" w:rsidRPr="00CB1C44">
        <w:rPr>
          <w:rFonts w:ascii="Arial" w:hAnsi="Arial" w:cs="Arial"/>
          <w:lang w:val="en-US"/>
        </w:rPr>
        <w:t xml:space="preserve">. </w:t>
      </w:r>
    </w:p>
    <w:p w14:paraId="4C37D1CE" w14:textId="77777777" w:rsidR="00402AAD" w:rsidRPr="00CB1C44" w:rsidRDefault="00402AAD" w:rsidP="004038B5">
      <w:pPr>
        <w:spacing w:after="0" w:line="360" w:lineRule="auto"/>
        <w:jc w:val="both"/>
        <w:rPr>
          <w:rFonts w:ascii="Arial" w:hAnsi="Arial" w:cs="Arial"/>
          <w:lang w:val="en-US"/>
        </w:rPr>
      </w:pPr>
    </w:p>
    <w:p w14:paraId="4DBD27DB" w14:textId="7287E905" w:rsidR="00771B32" w:rsidRPr="00CB1C44" w:rsidRDefault="00771B32" w:rsidP="00771B32">
      <w:pPr>
        <w:spacing w:line="360" w:lineRule="auto"/>
        <w:jc w:val="both"/>
        <w:outlineLvl w:val="0"/>
        <w:rPr>
          <w:rFonts w:ascii="Arial" w:hAnsi="Arial" w:cs="Arial"/>
          <w:b/>
          <w:lang w:val="en-US"/>
        </w:rPr>
      </w:pPr>
      <w:r w:rsidRPr="00CB1C44">
        <w:rPr>
          <w:rFonts w:ascii="Arial" w:hAnsi="Arial" w:cs="Arial"/>
          <w:b/>
          <w:lang w:val="en-US"/>
        </w:rPr>
        <w:t xml:space="preserve">2. THE KEAP1-NRF2-ARE PATHWAY </w:t>
      </w:r>
    </w:p>
    <w:p w14:paraId="10F99E2F" w14:textId="4BEC4006" w:rsidR="009767F4" w:rsidRPr="00CB1C44" w:rsidRDefault="002253E8" w:rsidP="004038B5">
      <w:pPr>
        <w:spacing w:after="0" w:line="360" w:lineRule="auto"/>
        <w:jc w:val="both"/>
        <w:rPr>
          <w:rFonts w:ascii="Arial" w:hAnsi="Arial" w:cs="Arial"/>
          <w:lang w:val="en-US"/>
        </w:rPr>
      </w:pPr>
      <w:r w:rsidRPr="00CB1C44">
        <w:rPr>
          <w:rFonts w:ascii="Arial" w:hAnsi="Arial" w:cs="Arial"/>
          <w:lang w:val="en-US"/>
        </w:rPr>
        <w:t>Nrf2 belongs to the basic leucine zipper (</w:t>
      </w:r>
      <w:proofErr w:type="spellStart"/>
      <w:r w:rsidRPr="00CB1C44">
        <w:rPr>
          <w:rFonts w:ascii="Arial" w:hAnsi="Arial" w:cs="Arial"/>
          <w:lang w:val="en-US"/>
        </w:rPr>
        <w:t>bZIP</w:t>
      </w:r>
      <w:proofErr w:type="spellEnd"/>
      <w:r w:rsidRPr="00CB1C44">
        <w:rPr>
          <w:rFonts w:ascii="Arial" w:hAnsi="Arial" w:cs="Arial"/>
          <w:lang w:val="en-US"/>
        </w:rPr>
        <w:t>) transcription factor family</w:t>
      </w:r>
      <w:r w:rsidR="00E71B5F" w:rsidRPr="00CB1C44">
        <w:rPr>
          <w:rFonts w:ascii="Arial" w:hAnsi="Arial" w:cs="Arial"/>
          <w:lang w:val="en-US"/>
        </w:rPr>
        <w:t xml:space="preserve"> retaining</w:t>
      </w:r>
      <w:r w:rsidR="0047230E" w:rsidRPr="00CB1C44">
        <w:rPr>
          <w:rFonts w:ascii="Arial" w:hAnsi="Arial" w:cs="Arial"/>
          <w:lang w:val="en-US"/>
        </w:rPr>
        <w:t xml:space="preserve"> a cap-n-collar (CNC) structure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{"citationItems":[{"id":"ITEM-1","itemData":{"DOI":"10.1038/sj.onc.1201024","ISBN":"0950-9232 (Print)\\r0950-9232 (Linking)","ISSN":"0950-9232","PMID":"9150357","abstract":"The transcription factor NF-E2, a heterodimeric protein complex composed of p45 and small Maf family proteins, is considered crucial for the regulation of erythroid gene expression and platelet formation. To facilitate the characterization of NF-E2 functions in human cells, we isolated cDNAs encoding two members of the small Maf family, MafK and MafG. The human mafK and mafG genes encode proteins of 156 and 162 amino acid residues, respectively, whose deduced amino acid sequences show approximately 95% identity to their respective chicken counterparts. Expression of mafK mRNA is high in heart, skeletal muscle and placenta, whereas mafG mRNA is abundant in skeletal muscle and is moderately expressed in heart and brain. Both are expressed in all hematopoietic cell lines, including those of erythroid and megakaryocytic lineages. In electrophoretic gel mobility shift assays binding to NF-E2 sites was found to depend on formation of homodimers or heterodimers with p45 and p45-related CNC family proteins. The results suggest that the small Maf family proteins function in human cells through interaction with various basic-leucine zipper-type transcription factors.","author":[{"dropping-particle":"","family":"Toki","given":"T","non-dropping-particle":"","parse-names":false,"suffix":""},{"dropping-particle":"","family":"Itoh","given":"J","non-dropping-particle":"","parse-names":false,"suffix":""},{"dropping-particle":"","family":"Kitazawa","given":"J","non-dropping-particle":"","parse-names":false,"suffix":""},{"dropping-particle":"","family":"Arai","given":"K","non-dropping-particle":"","parse-names":false,"suffix":""},{"dropping-particle":"","family":"Hatakeyama","given":"K","non-dropping-particle":"","parse-names":false,"suffix":""},{"dropping-particle":"","family":"Akasaka","given":"J","non-dropping-particle":"","parse-names":false,"suffix":""},{"dropping-particle":"","family":"Igarashi","given":"K","non-dropping-particle":"","parse-names":false,"suffix":""},{"dropping-particle":"","family":"Nomura","given":"N","non-dropping-particle":"","parse-names":false,"suffix":""},{"dropping-particle":"","family":"Yokoyama","given":"M","non-dropping-particle":"","parse-names":false,"suffix":""},{"dropping-particle":"","family":"Yamamoto","given":"M","non-dropping-particle":"","parse-names":false,"suffix":""},{"dropping-particle":"","family":"Ito","given":"E","non-dropping-particle":"","parse-names":false,"suffix":""}],"container-title":"Oncogene","id":"ITEM-1","issue":"16","issued":{"date-parts":[["1997"]]},"page":"1901-1910","title":"Human small Maf proteins form heterodimers with CNC family transcription factors and recognize the NF-E2 motif.","type":"article-journal","volume":"14"},"uris":["http://www.mendeley.com/documents/?uuid=0f734eeb-291a-44b3-82db-443dea4d55a2"]},{"id":"ITEM-2","itemData":{"ISBN":"0270-7306 (Print)\\r0270-7306 (Linking)","ISSN":"0270-7306","PMID":"7623813","abstract":"The chicken beta-globin enhancer is critical for the tissue- and developmental stage-specific expression of the beta-globin genes. This enhancer contains two indispensable cis elements, one containing two GATA sites and the other containing an NF-E2 site. To identify the putative transcription factor acting through the NF-E2 motif in the chicken beta-globin enhancer, we screened chicken cDNA libraries with a mouse p45 NF-E2 cDNA probe and isolated cDNA clones which encode a protein of 582 amino acid residues. This protein contains a region that includes the basic region-leucine zipper domain which is well conserved among members of the CNC family proteins (Cap 'n' collar, p45 NF-E2, LCR-F1, Nrf1, and Nrf2). Hence, we named this protein ECH (erythroid cell-derived protein with CNC homology). ECH is expressed abundantly in cultured erythroid cells undergoing terminal differentiation, peripheral erythrocytes, and some nonhematopoietic tissues. Since most of the cDNA clones obtained from the chicken erythrocyte cDNA library encoded ECH, ECH is likely the predominant CNC family protein present in avian peripheral erythrocytes. Like p45 NF-E2, ECH can heterodimerize with any of the small Maf family proteins and bind the NF-E2 site as a heterodimer in vitro. In a transfection assay, ECH transactivates transcription depending on the presence of NF-E2 sites on the reporter gene plasmid. These results indicate that ECH is likely a key regulator of avian erythropoiesis.","author":[{"dropping-particle":"","family":"Itoh","given":"K","non-dropping-particle":"","parse-names":false,"suffix":""},{"dropping-particle":"","family":"Igarashi","given":"K","non-dropping-particle":"","parse-names":false,"suffix":""},{"dropping-particle":"","family":"Hayashi","given":"N","non-dropping-particle":"","parse-names":false,"suffix":""},{"dropping-particle":"","family":"Nishizawa","given":"M","non-dropping-particle":"","parse-names":false,"suffix":""},{"dropping-particle":"","family":"Yamamoto","given":"M","non-dropping-particle":"","parse-names":false,"suffix":""}],"container-title":"Molecular and cellular biology","id":"ITEM-2","issue":"8","issued":{"date-parts":[["1995"]]},"page":"4184-93","title":"Cloning and characterization of a novel erythroid cell-derived CNC family transcription factor heterodimerizing with the small Maf family proteins.","type":"article-journal","volume":"15"},"uris":["http://www.mendeley.com/documents/?uuid=43063315-5913-401f-87a2-9ea7a22fa0c4"]}],"mendeley":{"formattedCitation":"(Itoh et al., 1995; Toki et al., 1997)","plainTextFormattedCitation":"(Itoh et al., 1995; Toki et al., 1997)","previouslyFormattedCitation":"(Itoh et al., 1995; Toki et al., 1997)"},"properties":{"noteIndex":0},"schema":"https://github.com/citation-style-language/schema/raw/master/csl-citation.json"}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(Itoh et al., 1995; Toki et al., 1997)</w:t>
      </w:r>
      <w:r w:rsidR="00844011" w:rsidRPr="00CB1C44">
        <w:rPr>
          <w:rFonts w:ascii="Arial" w:hAnsi="Arial" w:cs="Arial"/>
          <w:lang w:val="en-US"/>
        </w:rPr>
        <w:fldChar w:fldCharType="end"/>
      </w:r>
      <w:r w:rsidR="000B0C87" w:rsidRPr="00CB1C44">
        <w:rPr>
          <w:rFonts w:ascii="Arial" w:hAnsi="Arial" w:cs="Arial"/>
          <w:lang w:val="en-US"/>
        </w:rPr>
        <w:t xml:space="preserve">. Structurally, Nrf2 is formed by </w:t>
      </w:r>
      <w:r w:rsidR="00BC1F76" w:rsidRPr="00CB1C44">
        <w:rPr>
          <w:rFonts w:ascii="Arial" w:hAnsi="Arial" w:cs="Arial"/>
          <w:lang w:val="en-US"/>
        </w:rPr>
        <w:t>seven functional regions, also known as Nrf2-ECH homology (</w:t>
      </w:r>
      <w:proofErr w:type="spellStart"/>
      <w:r w:rsidR="00BC1F76" w:rsidRPr="00CB1C44">
        <w:rPr>
          <w:rFonts w:ascii="Arial" w:hAnsi="Arial" w:cs="Arial"/>
          <w:lang w:val="en-US"/>
        </w:rPr>
        <w:t>Neh</w:t>
      </w:r>
      <w:proofErr w:type="spellEnd"/>
      <w:r w:rsidR="00BC1F76" w:rsidRPr="00CB1C44">
        <w:rPr>
          <w:rFonts w:ascii="Arial" w:hAnsi="Arial" w:cs="Arial"/>
          <w:lang w:val="en-US"/>
        </w:rPr>
        <w:t xml:space="preserve">) domains, </w:t>
      </w:r>
      <w:r w:rsidR="00B762F0" w:rsidRPr="00CB1C44">
        <w:rPr>
          <w:rFonts w:ascii="Arial" w:hAnsi="Arial" w:cs="Arial"/>
          <w:lang w:val="en-US"/>
        </w:rPr>
        <w:t xml:space="preserve">from </w:t>
      </w:r>
      <w:r w:rsidR="00BC1F76" w:rsidRPr="00CB1C44">
        <w:rPr>
          <w:rFonts w:ascii="Arial" w:hAnsi="Arial" w:cs="Arial"/>
          <w:lang w:val="en-US"/>
        </w:rPr>
        <w:t>Neh1 to Neh7</w:t>
      </w:r>
      <w:r w:rsidR="00DD38A9" w:rsidRPr="00CB1C44">
        <w:rPr>
          <w:rFonts w:ascii="Arial" w:hAnsi="Arial" w:cs="Arial"/>
          <w:lang w:val="en-US"/>
        </w:rPr>
        <w:t xml:space="preserve"> (ECH, erythroid cell-derived protein with CNC homology with chicken Nrf2)</w:t>
      </w:r>
      <w:r w:rsidR="00BC1F76" w:rsidRPr="00CB1C44">
        <w:rPr>
          <w:rFonts w:ascii="Arial" w:hAnsi="Arial" w:cs="Arial"/>
          <w:lang w:val="en-US"/>
        </w:rPr>
        <w:t xml:space="preserve">. </w:t>
      </w:r>
      <w:r w:rsidR="00EE2199" w:rsidRPr="00CB1C44">
        <w:rPr>
          <w:rFonts w:ascii="Arial" w:hAnsi="Arial" w:cs="Arial"/>
          <w:lang w:val="en-US"/>
        </w:rPr>
        <w:t xml:space="preserve">The Neh1 domain belongs to </w:t>
      </w:r>
      <w:r w:rsidR="0047230E" w:rsidRPr="00CB1C44">
        <w:rPr>
          <w:rFonts w:ascii="Arial" w:hAnsi="Arial" w:cs="Arial"/>
          <w:lang w:val="en-US"/>
        </w:rPr>
        <w:t xml:space="preserve">the </w:t>
      </w:r>
      <w:r w:rsidR="00EE2199" w:rsidRPr="00CB1C44">
        <w:rPr>
          <w:rFonts w:ascii="Arial" w:hAnsi="Arial" w:cs="Arial"/>
          <w:lang w:val="en-US"/>
        </w:rPr>
        <w:t>C-terminal half of Nrf2 a</w:t>
      </w:r>
      <w:r w:rsidR="00337AC1" w:rsidRPr="00CB1C44">
        <w:rPr>
          <w:rFonts w:ascii="Arial" w:hAnsi="Arial" w:cs="Arial"/>
          <w:lang w:val="en-US"/>
        </w:rPr>
        <w:t>nd encloses the CNC-</w:t>
      </w:r>
      <w:proofErr w:type="spellStart"/>
      <w:r w:rsidR="00337AC1" w:rsidRPr="00CB1C44">
        <w:rPr>
          <w:rFonts w:ascii="Arial" w:hAnsi="Arial" w:cs="Arial"/>
          <w:lang w:val="en-US"/>
        </w:rPr>
        <w:t>bZIP</w:t>
      </w:r>
      <w:proofErr w:type="spellEnd"/>
      <w:r w:rsidR="00337AC1" w:rsidRPr="00CB1C44">
        <w:rPr>
          <w:rFonts w:ascii="Arial" w:hAnsi="Arial" w:cs="Arial"/>
          <w:lang w:val="en-US"/>
        </w:rPr>
        <w:t xml:space="preserve"> region, which allows the dimerization with </w:t>
      </w:r>
      <w:r w:rsidR="00D47CF9" w:rsidRPr="00CB1C44">
        <w:rPr>
          <w:rFonts w:ascii="Arial" w:hAnsi="Arial" w:cs="Arial"/>
          <w:lang w:val="en-US"/>
        </w:rPr>
        <w:t xml:space="preserve">a </w:t>
      </w:r>
      <w:r w:rsidR="00337AC1" w:rsidRPr="00CB1C44">
        <w:rPr>
          <w:rFonts w:ascii="Arial" w:hAnsi="Arial" w:cs="Arial"/>
          <w:lang w:val="en-US"/>
        </w:rPr>
        <w:t>small musculoaponeurotic fibrosarcoma (</w:t>
      </w:r>
      <w:proofErr w:type="spellStart"/>
      <w:r w:rsidR="00337AC1" w:rsidRPr="00CB1C44">
        <w:rPr>
          <w:rFonts w:ascii="Arial" w:hAnsi="Arial" w:cs="Arial"/>
          <w:lang w:val="en-US"/>
        </w:rPr>
        <w:t>Maf</w:t>
      </w:r>
      <w:proofErr w:type="spellEnd"/>
      <w:r w:rsidR="00337AC1" w:rsidRPr="00CB1C44">
        <w:rPr>
          <w:rFonts w:ascii="Arial" w:hAnsi="Arial" w:cs="Arial"/>
          <w:lang w:val="en-US"/>
        </w:rPr>
        <w:t xml:space="preserve">) proteins </w:t>
      </w:r>
      <w:r w:rsidR="00D47CF9" w:rsidRPr="00CB1C44">
        <w:rPr>
          <w:rFonts w:ascii="Arial" w:hAnsi="Arial" w:cs="Arial"/>
          <w:lang w:val="en-US"/>
        </w:rPr>
        <w:t>(</w:t>
      </w:r>
      <w:proofErr w:type="spellStart"/>
      <w:r w:rsidR="00D47CF9" w:rsidRPr="00CB1C44">
        <w:rPr>
          <w:rFonts w:ascii="Arial" w:hAnsi="Arial" w:cs="Arial"/>
          <w:lang w:val="en-US"/>
        </w:rPr>
        <w:t>MafF</w:t>
      </w:r>
      <w:proofErr w:type="spellEnd"/>
      <w:r w:rsidR="00D47CF9" w:rsidRPr="00CB1C44">
        <w:rPr>
          <w:rFonts w:ascii="Arial" w:hAnsi="Arial" w:cs="Arial"/>
          <w:lang w:val="en-US"/>
        </w:rPr>
        <w:t xml:space="preserve">, </w:t>
      </w:r>
      <w:proofErr w:type="spellStart"/>
      <w:r w:rsidR="00D47CF9" w:rsidRPr="00CB1C44">
        <w:rPr>
          <w:rFonts w:ascii="Arial" w:hAnsi="Arial" w:cs="Arial"/>
          <w:lang w:val="en-US"/>
        </w:rPr>
        <w:t>MafG</w:t>
      </w:r>
      <w:proofErr w:type="spellEnd"/>
      <w:r w:rsidR="00D47CF9" w:rsidRPr="00CB1C44">
        <w:rPr>
          <w:rFonts w:ascii="Arial" w:hAnsi="Arial" w:cs="Arial"/>
          <w:lang w:val="en-US"/>
        </w:rPr>
        <w:t xml:space="preserve"> or </w:t>
      </w:r>
      <w:proofErr w:type="spellStart"/>
      <w:r w:rsidR="00D47CF9" w:rsidRPr="00CB1C44">
        <w:rPr>
          <w:rFonts w:ascii="Arial" w:hAnsi="Arial" w:cs="Arial"/>
          <w:lang w:val="en-US"/>
        </w:rPr>
        <w:t>MafK</w:t>
      </w:r>
      <w:proofErr w:type="spellEnd"/>
      <w:r w:rsidR="00D47CF9" w:rsidRPr="00CB1C44">
        <w:rPr>
          <w:rFonts w:ascii="Arial" w:hAnsi="Arial" w:cs="Arial"/>
          <w:lang w:val="en-US"/>
        </w:rPr>
        <w:t xml:space="preserve">, in vertebrates) </w:t>
      </w:r>
      <w:r w:rsidR="00C37E45" w:rsidRPr="00CB1C44">
        <w:rPr>
          <w:rFonts w:ascii="Arial" w:hAnsi="Arial" w:cs="Arial"/>
          <w:lang w:val="en-US"/>
        </w:rPr>
        <w:t xml:space="preserve">in the nucleus </w:t>
      </w:r>
      <w:r w:rsidR="00337AC1" w:rsidRPr="00CB1C44">
        <w:rPr>
          <w:rFonts w:ascii="Arial" w:hAnsi="Arial" w:cs="Arial"/>
          <w:lang w:val="en-US"/>
        </w:rPr>
        <w:t xml:space="preserve">and the binding of Nrf2 to DNA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{"citationItems":[{"id":"ITEM-1","itemData":{"DOI":"10.1093/nar/gks827","ISBN":"1362-4962 (Electronic)\\r0305-1048 (Linking)","ISSN":"03051048","PMID":"22965115","abstract":"NF-E2-related factor 2 (Nrf2) is a key transcription factor that is critical for cellular defense against oxidative and xenobiotic insults. Nrf2 heterodimerizes with small Maf (sMaf) proteins and binds to antioxidant response elements (AREs) to activate a battery of cytoprotective genes. However, it remains unclear to what extent the Nrf2-sMaf heterodimers contribute to ARE-dependent gene regulation on a genome-wide scale. We performed chromatin immunoprecipitation coupled with high-throughput sequencing and identified the binding sites of Nrf2 and MafG throughout the genome. Compared to sites occupied by Nrf2 alone, many sites co-occupied by Nrf2 and MafG exhibit high enrichment and are located in species-conserved genomic regions. The ARE motifs were significantly enriched among the recovered Nrf2-MafG-binding sites but not among the Nrf2-binding sites that did not display MafG binding. The majority of the Nrf2-regulated cytoprotective genes were found in the vicinity of Nrf2-MafG-binding sites. Additionally, sequences that regulate glucose metabolism and several amino acid transporters were identified as Nrf2-MafG target genes, suggesting diverse roles for the Nrf2-MafG heterodimer in stress response. These data clearly support the notion that Nrf2-sMaf heterodimers are complexes that regulate batteries of genes involved in various aspects of cytoprotective and metabolic functions through associated AREs.","author":[{"dropping-particle":"","family":"Hirotsu","given":"Yosuke","non-dropping-particle":"","parse-names":false,"suffix":""},{"dropping-particle":"","family":"Katsuoka","given":"Fumiki","non-dropping-particle":"","parse-names":false,"suffix":""},{"dropping-particle":"","family":"Funayama","given":"Ryo","non-dropping-particle":"","parse-names":false,"suffix":""},{"dropping-particle":"","family":"Nagashima","given":"Takeshi","non-dropping-particle":"","parse-names":false,"suffix":""},{"dropping-particle":"","family":"Nishida","given":"Yuichiro","non-dropping-particle":"","parse-names":false,"suffix":""},{"dropping-particle":"","family":"Nakayama","given":"Keiko","non-dropping-particle":"","parse-names":false,"suffix":""},{"dropping-particle":"","family":"Douglas Engel","given":"James","non-dropping-particle":"","parse-names":false,"suffix":""},{"dropping-particle":"","family":"Yamamoto","given":"Masayuki","non-dropping-particle":"","parse-names":false,"suffix":""}],"container-title":"Nucleic Acids Research","id":"ITEM-1","issue":"20","issued":{"date-parts":[["2012"]]},"page":"10228-10239","title":"Nrf2-MafG heterodimers contribute globally to antioxidant and metabolic networks","type":"article-journal","volume":"40"},"uris":["http://www.mendeley.com/documents/?uuid=151aa05f-4530-45c8-a721-0d102ceb64e8"]},{"id":"ITEM-2","itemData":{"DOI":"10.1073/pnas.0305902101","ISSN":"0027-8424","PMID":"15087497","abstract":"The small Maf proteins, MafF, MafG, and MafK, possess a leucine zipper (Zip) domain that is required for homodimer or heterodimer complex formation with other bZip transcription factors. In this study we sought to determine the identity of the specific constituent that collaboratively interacts with Nrf2 to bind to the Maf recognition element in vivo. Studies in vitro suggested that Nrf2 forms heterodimers with small Maf proteins and then bind to Maf recognition elements, but the bona fide partner molecules supporting Nrf2 activity in vivo have not been definitively identified. Nrf2 activity is usually suppressed by a cytoplasmic repressor, Keap1, so disruption of the keap1 gene causes constitutive activation of Nrf2. Nrf2 hyperactivity results in hyperproliferation of keratinocytes in the esophagus and forestomach leading to perinatal lethality. However, simultaneous disruption of nrf2 rescued keap1-null mice from the lethality. We exploited this system to investigate whether small Mafs are required for Nrf2 function. We generated keap1 and small maf compound mutant mice and examined whether keratinocyte abnormalities persisted in these animals. The data show that loss of mafG and mafF in the keap1-null mice reversed the lethal keratinocyte dysfunction and rescued the keap1-null mutant mice from perinatal lethality. This rescue phenotype of mafG::mafF::keap1 triple compound mutant mice phenocopies that of the nrf2::keap1 compound mutant mice, indicating that the small Maf proteins MafG and MafF must functionally cooperate with Nrf2 in vivo.","author":[{"dropping-particle":"","family":"Motohashi","given":"Hozumi","non-dropping-particle":"","parse-names":false,"suffix":""},{"dropping-particle":"","family":"Katsuoka","given":"Fumiki","non-dropping-particle":"","parse-names":false,"suffix":""},{"dropping-particle":"","family":"Engel","given":"James Douglas","non-dropping-particle":"","parse-names":false,"suffix":""},{"dropping-particle":"","family":"Yamamoto","given":"Masayuki","non-dropping-particle":"","parse-names":false,"suffix":""}],"container-title":"Proceedings of the National Academy of Sciences of the United States of America","id":"ITEM-2","issue":"17","issued":{"date-parts":[["2004"]]},"page":"6379-6384","title":"Small Maf proteins serve as transcriptional cofactors for keratinocyte differentiation in the Keap1-Nrf2 regulatory pathway.","type":"article-journal","volume":"101"},"uris":["http://www.mendeley.com/documents/?uuid=bf874f2a-6c8d-4148-a036-4fdccd982ed1"]}],"mendeley":{"formattedCitation":"(Hirotsu et al., 2012; Motohashi et al., 2004)","plainTextFormattedCitation":"(Hirotsu et al., 2012; Motohashi et al., 2004)","previouslyFormattedCitation":"(Hirotsu et al., 2012; Motohashi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(Hirotsu et al., 2012; Motohashi et al., 2004)</w:t>
      </w:r>
      <w:r w:rsidR="00844011" w:rsidRPr="00CB1C44">
        <w:rPr>
          <w:rFonts w:ascii="Arial" w:hAnsi="Arial" w:cs="Arial"/>
          <w:lang w:val="en-US"/>
        </w:rPr>
        <w:fldChar w:fldCharType="end"/>
      </w:r>
      <w:r w:rsidR="00337AC1" w:rsidRPr="00CB1C44">
        <w:rPr>
          <w:rFonts w:ascii="Arial" w:hAnsi="Arial" w:cs="Arial"/>
          <w:lang w:val="en-US"/>
        </w:rPr>
        <w:t xml:space="preserve">. </w:t>
      </w:r>
      <w:r w:rsidR="00A93DE2" w:rsidRPr="00CB1C44">
        <w:rPr>
          <w:rFonts w:ascii="Arial" w:hAnsi="Arial" w:cs="Arial"/>
          <w:lang w:val="en-US"/>
        </w:rPr>
        <w:t>Neh2 domain,</w:t>
      </w:r>
      <w:r w:rsidR="002E2470" w:rsidRPr="00CB1C44">
        <w:rPr>
          <w:rFonts w:ascii="Arial" w:hAnsi="Arial" w:cs="Arial"/>
          <w:lang w:val="en-US"/>
        </w:rPr>
        <w:t xml:space="preserve"> at</w:t>
      </w:r>
      <w:r w:rsidR="00D66341" w:rsidRPr="00CB1C44">
        <w:rPr>
          <w:rFonts w:ascii="Arial" w:hAnsi="Arial" w:cs="Arial"/>
          <w:lang w:val="en-US"/>
        </w:rPr>
        <w:t xml:space="preserve"> the N-terminal</w:t>
      </w:r>
      <w:r w:rsidR="00A93E9C" w:rsidRPr="00CB1C44">
        <w:rPr>
          <w:rFonts w:ascii="Arial" w:hAnsi="Arial" w:cs="Arial"/>
          <w:lang w:val="en-US"/>
        </w:rPr>
        <w:t xml:space="preserve"> region, </w:t>
      </w:r>
      <w:r w:rsidR="000776DE" w:rsidRPr="00CB1C44">
        <w:rPr>
          <w:rFonts w:ascii="Arial" w:hAnsi="Arial" w:cs="Arial"/>
          <w:lang w:val="en-US"/>
        </w:rPr>
        <w:t>contains two degrons commonly known as the DLG (</w:t>
      </w:r>
      <w:r w:rsidR="00723480" w:rsidRPr="00CB1C44">
        <w:rPr>
          <w:rFonts w:ascii="Arial" w:hAnsi="Arial" w:cs="Arial"/>
          <w:lang w:val="en-US"/>
        </w:rPr>
        <w:t>Leu23 to Arg43</w:t>
      </w:r>
      <w:r w:rsidR="00D47CF9" w:rsidRPr="00CB1C44">
        <w:rPr>
          <w:rFonts w:ascii="Arial" w:hAnsi="Arial" w:cs="Arial"/>
          <w:lang w:val="en-US"/>
        </w:rPr>
        <w:t xml:space="preserve">, </w:t>
      </w:r>
      <w:r w:rsidR="009E0F47" w:rsidRPr="00CB1C44">
        <w:rPr>
          <w:rFonts w:ascii="Arial" w:hAnsi="Arial" w:cs="Arial"/>
          <w:lang w:val="en-US"/>
        </w:rPr>
        <w:t>low affinity</w:t>
      </w:r>
      <w:r w:rsidR="000776DE" w:rsidRPr="00CB1C44">
        <w:rPr>
          <w:rFonts w:ascii="Arial" w:hAnsi="Arial" w:cs="Arial"/>
          <w:lang w:val="en-US"/>
        </w:rPr>
        <w:t>) and ETGE (</w:t>
      </w:r>
      <w:r w:rsidR="00E14A12" w:rsidRPr="00CB1C44">
        <w:rPr>
          <w:rFonts w:ascii="Arial" w:hAnsi="Arial" w:cs="Arial"/>
          <w:lang w:val="en-US"/>
        </w:rPr>
        <w:t xml:space="preserve">Gln73 to Ile86, </w:t>
      </w:r>
      <w:r w:rsidR="009E0F47" w:rsidRPr="00CB1C44">
        <w:rPr>
          <w:rFonts w:ascii="Arial" w:hAnsi="Arial" w:cs="Arial"/>
          <w:lang w:val="en-US"/>
        </w:rPr>
        <w:t>high affinity</w:t>
      </w:r>
      <w:r w:rsidR="000776DE" w:rsidRPr="00CB1C44">
        <w:rPr>
          <w:rFonts w:ascii="Arial" w:hAnsi="Arial" w:cs="Arial"/>
          <w:lang w:val="en-US"/>
        </w:rPr>
        <w:t>) motifs</w:t>
      </w:r>
      <w:r w:rsidR="00E14A12" w:rsidRPr="00CB1C44">
        <w:rPr>
          <w:rFonts w:ascii="Arial" w:hAnsi="Arial" w:cs="Arial"/>
          <w:lang w:val="en-US"/>
        </w:rPr>
        <w:t xml:space="preserve"> </w:t>
      </w:r>
      <w:r w:rsidR="00E235D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{"citationItems":[{"id":"ITEM-1","itemData":{"DOI":"10.1128/MCB.01191-13","ISSN":"0270-7306","PMID":"24366543","abstract":"Transcription factor Nrf2 (NF-E2-related factor 2) coordinately regulates cytoprotective gene expression, but under unstressed conditions, Nrf2 is degraded rapidly through Keap1 (Kelch-like ECH-associated protein 1)-mediated ubiquitination. Nrf2 harbors two Keap1-binding motifs, DLG and ETGE. Interactions between these two motifs and Keap1 constitute a key regulatory nexus for cellular Nrf2 activity through the formation of a two-site binding hinge-and-latch mechanism. In this study, we determined the minimum Keap1-binding sequence of the DLG motif, the low-affinity latch site, and defined a new DLGex motif that covers a sequence much longer than that previously defined. We have successfully clarified the crystal structure of the Keap1-DC-DLGex complex at 1.6 Å. DLGex possesses a complicated helix structure, which interprets well the human-cancer-derived loss-of-function mutations in DLGex. In thermodynamic analyses, Keap1-DLGex binding is characterized as enthalpy and entropy driven, while Keap1-ETGE binding is characterized as purely enthalpy driven. In kinetic analyses, Keap1-DLGex binding follows a fast-association and fast-dissociation model, while Keap1-ETGE binding contains a slow-reaction step that leads to a stable conformation. These results demonstrate that the mode of DLGex binding to Keap1 is distinct from that of ETGE structurally, thermodynamically, and kinetically and support our contention that the DLGex motif serves as a converter transmitting environmental stress to Nrf2 induction as the latch site.","author":[{"dropping-particle":"","family":"Fukutomi","given":"Toshiaki","non-dropping-particle":"","parse-names":false,"suffix":""},{"dropping-particle":"","family":"Takagi","given":"Kenji","non-dropping-particle":"","parse-names":false,"suffix":""},{"dropping-particle":"","family":"Mizushima","given":"Tsunehiro","non-dropping-particle":"","parse-names":false,"suffix":""},{"dropping-particle":"","family":"Ohuchi","given":"Noriaki","non-dropping-particle":"","parse-names":false,"suffix":""},{"dropping-particle":"","family":"Yamamoto","given":"Masayuki","non-dropping-particle":"","parse-names":false,"suffix":""}],"container-title":"Molecular and Cellular Biology","id":"ITEM-1","issue":"5","issued":{"date-parts":[["2014"]]},"page":"832-846","title":"Kinetic, Thermodynamic, and Structural Characterizations of the Association between Nrf2-DLGex Degron and Keap1","type":"article-journal","volume":"34"},"uris":["http://www.mendeley.com/documents/?uuid=062f6600-0ffe-4883-943c-42d8aae28af0"]}],"mendeley":{"formattedCitation":"(Fukutomi et al., 2014)","plainTextFormattedCitation":"(Fukutomi et al., 2014)","previouslyFormattedCitation":"(Fukutomi et al., 2014)"},"properties":{"noteIndex":0},"schema":"https://github.com/citation-style-language/schema/raw/master/csl-citation.json"}</w:instrText>
      </w:r>
      <w:r w:rsidR="00E235D8" w:rsidRPr="00CB1C44">
        <w:rPr>
          <w:rFonts w:ascii="Arial" w:hAnsi="Arial" w:cs="Arial"/>
          <w:lang w:val="en-US"/>
        </w:rPr>
        <w:fldChar w:fldCharType="separate"/>
      </w:r>
      <w:r w:rsidR="00DD645C" w:rsidRPr="00CB1C44">
        <w:rPr>
          <w:rFonts w:ascii="Arial" w:hAnsi="Arial" w:cs="Arial"/>
          <w:noProof/>
          <w:lang w:val="en-US"/>
        </w:rPr>
        <w:t>(Fukutomi et al., 2014)</w:t>
      </w:r>
      <w:r w:rsidR="00E235D8" w:rsidRPr="00CB1C44">
        <w:rPr>
          <w:rFonts w:ascii="Arial" w:hAnsi="Arial" w:cs="Arial"/>
          <w:lang w:val="en-US"/>
        </w:rPr>
        <w:fldChar w:fldCharType="end"/>
      </w:r>
      <w:r w:rsidR="000776DE" w:rsidRPr="00CB1C44">
        <w:rPr>
          <w:rFonts w:ascii="Arial" w:hAnsi="Arial" w:cs="Arial"/>
          <w:lang w:val="en-US"/>
        </w:rPr>
        <w:t xml:space="preserve">, which </w:t>
      </w:r>
      <w:r w:rsidR="004E68F6" w:rsidRPr="00CB1C44">
        <w:rPr>
          <w:rFonts w:ascii="Arial" w:hAnsi="Arial" w:cs="Arial"/>
          <w:lang w:val="en-US"/>
        </w:rPr>
        <w:t>allows</w:t>
      </w:r>
      <w:r w:rsidR="00A93DE2" w:rsidRPr="00CB1C44">
        <w:rPr>
          <w:rFonts w:ascii="Arial" w:hAnsi="Arial" w:cs="Arial"/>
          <w:lang w:val="en-US"/>
        </w:rPr>
        <w:t xml:space="preserve"> </w:t>
      </w:r>
      <w:r w:rsidR="00A93E9C" w:rsidRPr="00CB1C44">
        <w:rPr>
          <w:rFonts w:ascii="Arial" w:hAnsi="Arial" w:cs="Arial"/>
          <w:lang w:val="en-US"/>
        </w:rPr>
        <w:t xml:space="preserve">the </w:t>
      </w:r>
      <w:r w:rsidR="00A93DE2" w:rsidRPr="00CB1C44">
        <w:rPr>
          <w:rFonts w:ascii="Arial" w:hAnsi="Arial" w:cs="Arial"/>
          <w:lang w:val="en-US"/>
        </w:rPr>
        <w:t>interaction with Keap1 protein</w:t>
      </w:r>
      <w:r w:rsidR="0005557C" w:rsidRPr="00CB1C44">
        <w:rPr>
          <w:rFonts w:ascii="Arial" w:hAnsi="Arial" w:cs="Arial"/>
          <w:lang w:val="en-US"/>
        </w:rPr>
        <w:t>, mainly responsible for</w:t>
      </w:r>
      <w:r w:rsidR="000776DE" w:rsidRPr="00CB1C44">
        <w:rPr>
          <w:rFonts w:ascii="Arial" w:hAnsi="Arial" w:cs="Arial"/>
          <w:lang w:val="en-US"/>
        </w:rPr>
        <w:t xml:space="preserve"> Nrf2 regulation in </w:t>
      </w:r>
      <w:r w:rsidR="00D47CF9" w:rsidRPr="00CB1C44">
        <w:rPr>
          <w:rFonts w:ascii="Arial" w:hAnsi="Arial" w:cs="Arial"/>
          <w:lang w:val="en-US"/>
        </w:rPr>
        <w:t xml:space="preserve">the </w:t>
      </w:r>
      <w:r w:rsidR="000776DE" w:rsidRPr="00CB1C44">
        <w:rPr>
          <w:rFonts w:ascii="Arial" w:hAnsi="Arial" w:cs="Arial"/>
          <w:lang w:val="en-US"/>
        </w:rPr>
        <w:t>cytosol</w:t>
      </w:r>
      <w:r w:rsidR="00A93DE2"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{"citationItems":[{"id":"ITEM-1","itemData":{"DOI":"10.1128/MCB.26.8.2887-2900.2006","ISBN":"0270-7306 (Print)\\r0270-7306 (Linking)","ISSN":"0270-7306","PMID":"16581765","abstract":"The expression of the phase 2 detoxification enzymes and antioxidant proteins is induced at the transcriptional level by Nrf2 and negatively regulated at the posttranslational level by Keap1 through protein-protein interactions with and subsequent proteolysis of Nrf2. We found that the Neh2 domain of Nrf2 is an intrinsically disordered but biologically active regulatory domain containing a 33-residue central alpha-helix followed by a mini antiparallel beta-sheet. Isothermal calorimetry analysis indicated that one Neh2 molecule interacts with two molecules of Keap1 via two binding sites, the stronger binding ETGE motif and the weaker binding DLG motif. Nuclear magnetic resonance titration study showed that these two motifs of the Neh2 domain bind to an overlapping site on the bottom surface of the beta-propeller structure of Keap1. In contrast, the central alpha-helix of the Neh2 domain does not have any observable affinity to Keap1, suggesting that this region may serve as a bridge connecting the two motifs for the association with the two beta-propeller structures of a dimer of Keap1. Based on these observations, we propose that Keap1 recruits Nrf2 by the ETGE motif and that the DLG motif of the Neh2 domain locks its lysine-rich central alpha-helix in a correct position to benefit ubiquitin signaling.","author":[{"dropping-particle":"","family":"Tong","given":"Kit I","non-dropping-particle":"","parse-names":false,"suffix":""},{"dropping-particle":"","family":"Katoh","given":"Yasutake","non-dropping-particle":"","parse-names":false,"suffix":""},{"dropping-particle":"","family":"Kusunoki","given":"Hideki","non-dropping-particle":"","parse-names":false,"suffix":""},{"dropping-particle":"","family":"Itoh","given":"Ken","non-dropping-particle":"","parse-names":false,"suffix":""},{"dropping-particle":"","family":"Tanaka","given":"Toshiyuki","non-dropping-particle":"","parse-names":false,"suffix":""},{"dropping-particle":"","family":"Yamamoto","given":"Masayuki","non-dropping-particle":"","parse-names":false,"suffix":""}],"container-title":"Molecular and cellular biology","id":"ITEM-1","issue":"8","issued":{"date-parts":[["2006"]]},"page":"2887-900","title":"Keap1 recruits Neh2 through binding to ETGE and DLG motifs: characterization of the two-site molecular recognition model.","type":"article-journal","volume":"26"},"uris":["http://www.mendeley.com/documents/?uuid=99a5535f-07ec-49a8-b569-91970e96f775"]}],"mendeley":{"formattedCitation":"(Kit I Tong et al., 2006)","plainTextFormattedCitation":"(Kit I Tong et al., 2006)","previouslyFormattedCitation":"(Kit I Tong et al., 2006)"},"properties":{"noteIndex":0},"schema":"https://github.com/citation-style-language/schema/raw/master/csl-citation.json"}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(Kit I Tong et al., 2006)</w:t>
      </w:r>
      <w:r w:rsidR="00844011" w:rsidRPr="00CB1C44">
        <w:rPr>
          <w:rFonts w:ascii="Arial" w:hAnsi="Arial" w:cs="Arial"/>
          <w:lang w:val="en-US"/>
        </w:rPr>
        <w:fldChar w:fldCharType="end"/>
      </w:r>
      <w:r w:rsidR="00A93DE2" w:rsidRPr="00CB1C44">
        <w:rPr>
          <w:rFonts w:ascii="Arial" w:hAnsi="Arial" w:cs="Arial"/>
          <w:lang w:val="en-US"/>
        </w:rPr>
        <w:t>.</w:t>
      </w:r>
      <w:r w:rsidR="00057432" w:rsidRPr="00CB1C44">
        <w:rPr>
          <w:rFonts w:ascii="Arial" w:hAnsi="Arial" w:cs="Arial"/>
          <w:lang w:val="en-US"/>
        </w:rPr>
        <w:t xml:space="preserve"> </w:t>
      </w:r>
      <w:r w:rsidR="00CE16D2" w:rsidRPr="00CB1C44">
        <w:rPr>
          <w:rFonts w:ascii="Arial" w:hAnsi="Arial" w:cs="Arial"/>
          <w:lang w:val="en-US"/>
        </w:rPr>
        <w:t>T</w:t>
      </w:r>
      <w:r w:rsidR="00057432" w:rsidRPr="00CB1C44">
        <w:rPr>
          <w:rFonts w:ascii="Arial" w:hAnsi="Arial" w:cs="Arial"/>
          <w:lang w:val="en-US"/>
        </w:rPr>
        <w:t xml:space="preserve">he </w:t>
      </w:r>
      <w:r w:rsidR="00FD29CB" w:rsidRPr="00CB1C44">
        <w:rPr>
          <w:rFonts w:ascii="Arial" w:hAnsi="Arial" w:cs="Arial"/>
          <w:lang w:val="en-US"/>
        </w:rPr>
        <w:t>Neh3 domain</w:t>
      </w:r>
      <w:r w:rsidR="0078639C" w:rsidRPr="00CB1C44">
        <w:rPr>
          <w:rFonts w:ascii="Arial" w:hAnsi="Arial" w:cs="Arial"/>
          <w:lang w:val="en-US"/>
        </w:rPr>
        <w:t>,</w:t>
      </w:r>
      <w:r w:rsidR="00FD29CB" w:rsidRPr="00CB1C44">
        <w:rPr>
          <w:rFonts w:ascii="Arial" w:hAnsi="Arial" w:cs="Arial"/>
          <w:lang w:val="en-US"/>
        </w:rPr>
        <w:t xml:space="preserve"> present in the </w:t>
      </w:r>
      <w:r w:rsidR="00CE16D2" w:rsidRPr="00CB1C44">
        <w:rPr>
          <w:rFonts w:ascii="Arial" w:hAnsi="Arial" w:cs="Arial"/>
          <w:lang w:val="en-US"/>
        </w:rPr>
        <w:t xml:space="preserve">extremity of Nrf2 </w:t>
      </w:r>
      <w:r w:rsidR="00FD29CB" w:rsidRPr="00CB1C44">
        <w:rPr>
          <w:rFonts w:ascii="Arial" w:hAnsi="Arial" w:cs="Arial"/>
          <w:lang w:val="en-US"/>
        </w:rPr>
        <w:t>C-terminal</w:t>
      </w:r>
      <w:r w:rsidR="00782AFB" w:rsidRPr="00CB1C44">
        <w:rPr>
          <w:rFonts w:ascii="Arial" w:hAnsi="Arial" w:cs="Arial"/>
          <w:lang w:val="en-US"/>
        </w:rPr>
        <w:t xml:space="preserve">, </w:t>
      </w:r>
      <w:r w:rsidR="0078639C" w:rsidRPr="00CB1C44">
        <w:rPr>
          <w:rFonts w:ascii="Arial" w:hAnsi="Arial" w:cs="Arial"/>
          <w:lang w:val="en-US"/>
        </w:rPr>
        <w:t>can</w:t>
      </w:r>
      <w:r w:rsidR="00782AFB" w:rsidRPr="00CB1C44">
        <w:rPr>
          <w:rFonts w:ascii="Arial" w:hAnsi="Arial" w:cs="Arial"/>
          <w:lang w:val="en-US"/>
        </w:rPr>
        <w:t xml:space="preserve"> recruit the chromo-ATPase/helic</w:t>
      </w:r>
      <w:r w:rsidR="0078639C" w:rsidRPr="00CB1C44">
        <w:rPr>
          <w:rFonts w:ascii="Arial" w:hAnsi="Arial" w:cs="Arial"/>
          <w:lang w:val="en-US"/>
        </w:rPr>
        <w:t>ase DNA-binding protein (CHD6) and modulate</w:t>
      </w:r>
      <w:r w:rsidR="00CE16D2" w:rsidRPr="00CB1C44">
        <w:rPr>
          <w:rFonts w:ascii="Arial" w:hAnsi="Arial" w:cs="Arial"/>
          <w:lang w:val="en-US"/>
        </w:rPr>
        <w:t>s</w:t>
      </w:r>
      <w:r w:rsidR="002E2470" w:rsidRPr="00CB1C44">
        <w:rPr>
          <w:rFonts w:ascii="Arial" w:hAnsi="Arial" w:cs="Arial"/>
          <w:lang w:val="en-US"/>
        </w:rPr>
        <w:t xml:space="preserve"> its</w:t>
      </w:r>
      <w:r w:rsidR="0078639C" w:rsidRPr="00CB1C44">
        <w:rPr>
          <w:rFonts w:ascii="Arial" w:hAnsi="Arial" w:cs="Arial"/>
          <w:lang w:val="en-US"/>
        </w:rPr>
        <w:t xml:space="preserve"> transcription</w:t>
      </w:r>
      <w:r w:rsidR="00834DC6" w:rsidRPr="00CB1C44">
        <w:rPr>
          <w:rFonts w:ascii="Arial" w:hAnsi="Arial" w:cs="Arial"/>
          <w:lang w:val="en-US"/>
        </w:rPr>
        <w:t>al</w:t>
      </w:r>
      <w:r w:rsidR="0078639C" w:rsidRPr="00CB1C44">
        <w:rPr>
          <w:rFonts w:ascii="Arial" w:hAnsi="Arial" w:cs="Arial"/>
          <w:lang w:val="en-US"/>
        </w:rPr>
        <w:t xml:space="preserve"> activation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{"citationItems":[{"id":"ITEM-1","itemData":{"DOI":"10.1128/MCB.25.24.10895-10906.2005","ISBN":"0270-7306 (Print)\\r0270-7306 (Linking)","ISSN":"0270-7306","PMID":"16314513","abstract":"Nrf2 is a transcription factor critical for the maintenance of cellular redox homeostasis. We have previously found that Nrf2 is a labile protein, and its activation in cells under stress involves mechanisms leading to its stabilization. As a modular protein, Nrf2 possesses distinct transactivation and DNA binding domains essential for its transcriptional activity. In this study, we found that the C-terminal \"Neh3\" domain of Nrf2 is also important for its activity. Deletion of the last 16 amino acids of the protein completely abolishes its ability to activate both reporter and endogenous gene expression. Using site-directed mutagenesis, we have identified a stretch of amino acids within this region that are essential for its activity and that are found to be conserved across species and among other members of the CNC-bZIP family. Importantly, deletion of the final 16 amino acids of Nrf2 does not influence its dimerizing capability, DNA binding activity, or subcellular localization, although it does increase the half-life of the protein. In addition, this region was found to be important for interaction with CHD6 (a chromo-ATPase/helicase DNA binding protein) in a yeast two-hybrid screen. RNA interference-mediated knockdown of CHD6 reduced both the basal and tert-butylhydroquinone-inducible expression of NQO1, a prototypical Nrf2 target gene. These data suggest that the Neh3 domain may act as a transactivation domain and that it is possibly involved in interaction with components of the transcriptional apparatus to affect its transcriptional activity.","author":[{"dropping-particle":"","family":"Nioi","given":"Paul","non-dropping-particle":"","parse-names":false,"suffix":""},{"dropping-particle":"","family":"Nguyen","given":"Truyen","non-dropping-particle":"","parse-names":false,"suffix":""},{"dropping-particle":"","family":"Sherratt","given":"Philip J","non-dropping-particle":"","parse-names":false,"suffix":""},{"dropping-particle":"","family":"Pickett","given":"Cecil B","non-dropping-particle":"","parse-names":false,"suffix":""}],"container-title":"Molecular and cellular biology","id":"ITEM-1","issue":"24","issued":{"date-parts":[["2005"]]},"page":"10895-10906","title":"The carboxy-terminal Neh3 domain of Nrf2 is required for transcriptional activation.","type":"article-journal","volume":"25"},"uris":["http://www.mendeley.com/documents/?uuid=a01ced7e-25b0-401b-a8ef-d786ef2506b2"]}],"mendeley":{"formattedCitation":"(Nioi et al., 2005)","plainTextFormattedCitation":"(Nioi et al., 2005)","previouslyFormattedCitation":"(Nioi et al., 2005)"},"properties":{"noteIndex":0},"schema":"https://github.com/citation-style-language/schema/raw/master/csl-citation.json"}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(Nioi et al., 2005)</w:t>
      </w:r>
      <w:r w:rsidR="00844011" w:rsidRPr="00CB1C44">
        <w:rPr>
          <w:rFonts w:ascii="Arial" w:hAnsi="Arial" w:cs="Arial"/>
          <w:lang w:val="en-US"/>
        </w:rPr>
        <w:fldChar w:fldCharType="end"/>
      </w:r>
      <w:r w:rsidR="0078639C" w:rsidRPr="00CB1C44">
        <w:rPr>
          <w:rFonts w:ascii="Arial" w:hAnsi="Arial" w:cs="Arial"/>
          <w:lang w:val="en-US"/>
        </w:rPr>
        <w:t xml:space="preserve">. </w:t>
      </w:r>
      <w:r w:rsidR="00717EF9" w:rsidRPr="00CB1C44">
        <w:rPr>
          <w:rFonts w:ascii="Arial" w:hAnsi="Arial" w:cs="Arial"/>
          <w:lang w:val="en-US"/>
        </w:rPr>
        <w:t>Neh4 and Neh5 domains are involve</w:t>
      </w:r>
      <w:r w:rsidR="00492837" w:rsidRPr="00CB1C44">
        <w:rPr>
          <w:rFonts w:ascii="Arial" w:hAnsi="Arial" w:cs="Arial"/>
          <w:lang w:val="en-US"/>
        </w:rPr>
        <w:t>d in</w:t>
      </w:r>
      <w:r w:rsidR="00717EF9" w:rsidRPr="00CB1C44">
        <w:rPr>
          <w:rFonts w:ascii="Arial" w:hAnsi="Arial" w:cs="Arial"/>
          <w:lang w:val="en-US"/>
        </w:rPr>
        <w:t xml:space="preserve"> transactivation activity, allowing </w:t>
      </w:r>
      <w:r w:rsidR="0007527E" w:rsidRPr="00CB1C44">
        <w:rPr>
          <w:rFonts w:ascii="Arial" w:hAnsi="Arial" w:cs="Arial"/>
          <w:lang w:val="en-US"/>
        </w:rPr>
        <w:t>the recruit</w:t>
      </w:r>
      <w:r w:rsidR="002F05AF" w:rsidRPr="00CB1C44">
        <w:rPr>
          <w:rFonts w:ascii="Arial" w:hAnsi="Arial" w:cs="Arial"/>
          <w:lang w:val="en-US"/>
        </w:rPr>
        <w:t>ment</w:t>
      </w:r>
      <w:r w:rsidR="0007527E" w:rsidRPr="00CB1C44">
        <w:rPr>
          <w:rFonts w:ascii="Arial" w:hAnsi="Arial" w:cs="Arial"/>
          <w:lang w:val="en-US"/>
        </w:rPr>
        <w:t xml:space="preserve"> of cAMP response element-binding protein (CREB)-binding protein (CBP)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{"citationItems":[{"id":"ITEM-1","itemData":{"DOI":"10.1046/j.1365-2443.2001.00469.x","ISBN":"1356-9597 (Print)\\n1356-9597 (Linking)","ISSN":"13569597","PMID":"11683914","abstract":"BACKGROUND: Nrf2 belongs to the Cap-N-Collar (CNC) transcription factor family and is essential for the antioxidant responsive element (ARE)-mediated expression of a group of detoxifying and antioxidant genes. The forced expression of Nrf2 in mammalian cells activates the expression of target genes through the ARE, with Nrf2 showing the highest transactivation activity among the CNC family of transcription factors. To elucidate the molecular mechanisms generating this potent transactivation activity, we examined the functions of the domains within Nrf2. RESULT: We found that Nrf2 contains two transcription activation domains, Neh4 and Neh5, which act synergistically to attain maximum a activation of reporter gene expression. Neh4 and Neh5 both individually and cooperatively bind to CBP (CREB (cAMP Responsive Element Binding protein) Binding Protein). In fact, the specific inhibitor of CBP, adenovirus E1A protein, significantly reduced Nrf2 activity. Importantly, the CBP-binding activity of Nrf2 deletion mutants positively correlated with their transactivation activity. Neh5 contains a motif which is commonly conserved among the CNC factors, whereas Neh4 contains the novel CBP-interacting motif recently identified in p53 and E2F. CONCLUSIONS: Our results indicate that Nrf2 exploits the cooperative binding of two independent transactivation domains to CBP in the acquisition of a potent transactivation activity.","author":[{"dropping-particle":"","family":"Katoh","given":"Yasutake","non-dropping-particle":"","parse-names":false,"suffix":""},{"dropping-particle":"","family":"Itoh","given":"Ken","non-dropping-particle":"","parse-names":false,"suffix":""},{"dropping-particle":"","family":"Yoshida","given":"Eisaku","non-dropping-particle":"","parse-names":false,"suffix":""},{"dropping-particle":"","family":"Miyagishi","given":"Makoto","non-dropping-particle":"","parse-names":false,"suffix":""},{"dropping-particle":"","family":"Fukamizu","given":"Akiyoshi","non-dropping-particle":"","parse-names":false,"suffix":""},{"dropping-particle":"","family":"Yamamoto","given":"Masayuki","non-dropping-particle":"","parse-names":false,"suffix":""}],"container-title":"Genes to Cells","id":"ITEM-1","issue":"10","issued":{"date-parts":[["2001"]]},"page":"857-868","title":"Two domains of Nrf2 cooperatively bind CBP, a CREB binding protein, and synergistically activate transcription","type":"article-journal","volume":"6"},"uris":["http://www.mendeley.com/documents/?uuid=94b29ff7-45db-439c-97cc-f6f16fbc1707"]},{"id":"ITEM-2","itemData":{"DOI":"10.1038/370223a0","ISBN":"0028-0836 (Print)","ISSN":"0028-0836","PMID":"7913207","abstract":"The transcription factor CREB binds to a DNA element known as the cAMP-regulated enhancer (CRE). CREB is activated through phosphorylation by protein kinase A (PKA), but precisely how phosphorylation stimulates CREB function is unknown. One model is that phosphorylation may allow the recruitment of coactivators which then interact with basal transcription factors. We have previously identified a nuclear protein of M(r)265K, CBP, that binds specifically to the PKA-phosphorylated form of CREB. We have used fluorescence anisotropy measurements to define the equilibrium binding parameters of the phosphoCREB:CBP interaction and report here that CBP can activate transcription through a region in its carboxy terminus. The activation domain of CBP interacts with the basal transcription factor TFIIB through a domain that is conserved in the yeast coactivator ADA-1 (ref. 8). Consistent with its role as a coactivator, CBP augments the activity of phosphorylated CREB to activate transcription of cAMP-responsive genes.","author":[{"dropping-particle":"","family":"Kwok","given":"R P","non-dropping-particle":"","parse-names":false,"suffix":""},{"dropping-particle":"","family":"Lundblad","given":"J R","non-dropping-particle":"","parse-names":false,"suffix":""},{"dropping-particle":"","family":"Chrivia","given":"J C","non-dropping-particle":"","parse-names":false,"suffix":""},{"dropping-particle":"","family":"Richards","given":"J P","non-dropping-particle":"","parse-names":false,"suffix":""},{"dropping-particle":"","family":"Bächinger","given":"H P","non-dropping-particle":"","parse-names":false,"suffix":""},{"dropping-particle":"","family":"Brennan","given":"R G","non-dropping-particle":"","parse-names":false,"suffix":""},{"dropping-particle":"","family":"Roberts","given":"S G","non-dropping-particle":"","parse-names":false,"suffix":""},{"dropping-particle":"","family":"Green","given":"M R","non-dropping-particle":"","parse-names":false,"suffix":""},{"dropping-particle":"","family":"Goodman","given":"R H","non-dropping-particle":"","parse-names":false,"suffix":""}],"container-title":"Nature","id":"ITEM-2","issue":"6486","issued":{"date-parts":[["1994"]]},"page":"223-226","title":"Nuclear protein CBP is a coactivator for the transcription factor CREB.","type":"article","volume":"370"},"uris":["http://www.mendeley.com/documents/?uuid=4967d928-2a8c-4735-a0b0-7cc2e52dd46a"]}],"mendeley":{"formattedCitation":"(Katoh et al., 2001; Kwok et al., 1994)","plainTextFormattedCitation":"(Katoh et al., 2001; Kwok et al., 1994)","previouslyFormattedCitation":"(Katoh et al., 2001; Kwok et al., 1994)"},"properties":{"noteIndex":0},"schema":"https://github.com/citation-style-language/schema/raw/master/csl-citation.json"}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(Katoh et al., 2001; Kwok et al., 1994)</w:t>
      </w:r>
      <w:r w:rsidR="00844011" w:rsidRPr="00CB1C44">
        <w:rPr>
          <w:rFonts w:ascii="Arial" w:hAnsi="Arial" w:cs="Arial"/>
          <w:lang w:val="en-US"/>
        </w:rPr>
        <w:fldChar w:fldCharType="end"/>
      </w:r>
      <w:r w:rsidR="0007527E" w:rsidRPr="00CB1C44">
        <w:rPr>
          <w:rFonts w:ascii="Arial" w:hAnsi="Arial" w:cs="Arial"/>
          <w:lang w:val="en-US"/>
        </w:rPr>
        <w:t>.</w:t>
      </w:r>
      <w:r w:rsidR="00492837" w:rsidRPr="00CB1C44">
        <w:rPr>
          <w:rFonts w:ascii="Arial" w:hAnsi="Arial" w:cs="Arial"/>
          <w:lang w:val="en-US"/>
        </w:rPr>
        <w:t xml:space="preserve"> </w:t>
      </w:r>
      <w:r w:rsidR="009148EC" w:rsidRPr="00CB1C44">
        <w:rPr>
          <w:rFonts w:ascii="Arial" w:hAnsi="Arial" w:cs="Arial"/>
          <w:lang w:val="en-US"/>
        </w:rPr>
        <w:t>The Neh6 domain has the DSGIS</w:t>
      </w:r>
      <w:r w:rsidR="00E235D8" w:rsidRPr="00CB1C44">
        <w:rPr>
          <w:rFonts w:ascii="Arial" w:hAnsi="Arial" w:cs="Arial"/>
          <w:lang w:val="en-US"/>
        </w:rPr>
        <w:t xml:space="preserve"> (</w:t>
      </w:r>
      <w:r w:rsidR="00FC3BB3" w:rsidRPr="00CB1C44">
        <w:rPr>
          <w:rFonts w:ascii="Arial" w:hAnsi="Arial" w:cs="Arial"/>
          <w:lang w:val="en-US"/>
        </w:rPr>
        <w:t>Asn329 to Ser</w:t>
      </w:r>
      <w:r w:rsidR="00E235D8" w:rsidRPr="00CB1C44">
        <w:rPr>
          <w:rFonts w:ascii="Arial" w:hAnsi="Arial" w:cs="Arial"/>
          <w:lang w:val="en-US"/>
        </w:rPr>
        <w:t>342)</w:t>
      </w:r>
      <w:r w:rsidR="009148EC" w:rsidRPr="00CB1C44">
        <w:rPr>
          <w:rFonts w:ascii="Arial" w:hAnsi="Arial" w:cs="Arial"/>
          <w:lang w:val="en-US"/>
        </w:rPr>
        <w:t xml:space="preserve"> and DSAPGS</w:t>
      </w:r>
      <w:r w:rsidR="00E235D8" w:rsidRPr="00CB1C44">
        <w:rPr>
          <w:rFonts w:ascii="Arial" w:hAnsi="Arial" w:cs="Arial"/>
          <w:lang w:val="en-US"/>
        </w:rPr>
        <w:t xml:space="preserve"> (</w:t>
      </w:r>
      <w:r w:rsidR="00FC3BB3" w:rsidRPr="00CB1C44">
        <w:rPr>
          <w:rFonts w:ascii="Arial" w:hAnsi="Arial" w:cs="Arial"/>
          <w:lang w:val="en-US"/>
        </w:rPr>
        <w:t>Ser363 to Glu</w:t>
      </w:r>
      <w:r w:rsidR="00E235D8" w:rsidRPr="00CB1C44">
        <w:rPr>
          <w:rFonts w:ascii="Arial" w:hAnsi="Arial" w:cs="Arial"/>
          <w:lang w:val="en-US"/>
        </w:rPr>
        <w:t>379)</w:t>
      </w:r>
      <w:r w:rsidR="009148EC" w:rsidRPr="00CB1C44">
        <w:rPr>
          <w:rFonts w:ascii="Arial" w:hAnsi="Arial" w:cs="Arial"/>
          <w:lang w:val="en-US"/>
        </w:rPr>
        <w:t xml:space="preserve"> motifs</w:t>
      </w:r>
      <w:r w:rsidR="00E235D8" w:rsidRPr="00CB1C44">
        <w:rPr>
          <w:rFonts w:ascii="Arial" w:hAnsi="Arial" w:cs="Arial"/>
          <w:lang w:val="en-US"/>
        </w:rPr>
        <w:t xml:space="preserve"> </w:t>
      </w:r>
      <w:r w:rsidR="008B3EB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{"citationItems":[{"id":"ITEM-1","itemData":{"DOI":"10.1038/onc.2012.388","ISBN":"1476-5594 (Electronic)\\r0950-9232 (Linking)","ISSN":"1476-5594","PMID":"22964642","abstract":"Identification of regulatable mechanisms by which transcription factor NF-E2 p45-related factor 2 (Nrf2) is repressed will allow strategies to be designed that counter drug resistance associated with its upregulation in tumours that harbour somatic mutations in Kelch-like ECH-associated protein-1 (Keap1), a gene that encodes a joint adaptor and substrate receptor for the Cul3-Rbx1/Roc1 ubiquitin ligase. We now show that mouse Nrf2 contains two binding sites for β-transducin repeat-containing protein (β-TrCP), which acts as a substrate receptor for the Skp1-Cul1-Rbx1/Roc1 ubiquitin ligase complex. Deletion of either binding site in Nrf2 decreased β-TrCP-mediated ubiquitylation of the transcription factor. The ability of one of the two β-TrCP-binding sites to serve as a degron could be both increased and decreased by manipulation of glycogen synthase kinase-3 (GSK-3) activity. Biotinylated-peptide pull-down assays identified DSGIS(338) and DSAPGS(378) as the two β-TrCP-binding motifs in Nrf2. Significantly, our pull-down assays indicated that β-TrCP binds a phosphorylated version of DSGIS more tightly than its non-phosphorylated counterpart, whereas this was not the case for DSAPGS. These data suggest that DSGIS, but not DSAPGS, contains a functional GSK-3 phosphorylation site. Activation of GSK-3 in Keap1-null mouse embryonic fibroblasts (MEFs), or in human lung A549 cells that contain mutant Keap1, by inhibition of the phosphoinositide 3-kinase (PI3K)-protein kinase B (PKB)/Akt pathway markedly reduced endogenous Nrf2 protein and decreased to 10-50% of normal the levels of mRNA for prototypic Nrf2-regulated enzymes, including the glutamate-cysteine ligase catalytic and modifier subunits, glutathione S-transferases Alpha-1 and Mu-1, haem oxygenase-1 and NAD(P)H:quinone oxidoreductase-1. Pre-treatment of Keap1(-/-) MEFs or A549 cells with the LY294002 PI3K inhibitor or the MK-2206 PKB/Akt inhibitor increased their sensitivity to acrolein, chlorambucil and cisplatin between 1.9-fold and 3.1-fold, and this was substantially attenuated by simultaneous pre-treatment with the GSK-3 inhibitor CT99021.","author":[{"dropping-particle":"","family":"Chowdhry","given":"S","non-dropping-particle":"","parse-names":false,"suffix":""},{"dropping-particle":"","family":"Zhang","given":"Y","non-dropping-particle":"","parse-names":false,"suffix":""},{"dropping-particle":"","family":"McMahon","given":"M","non-dropping-particle":"","parse-names":false,"suffix":""},{"dropping-particle":"","family":"Sutherland","given":"C","non-dropping-particle":"","parse-names":false,"suffix":""},{"dropping-particle":"","family":"Cuadrado","given":"A","non-dropping-particle":"","parse-names":false,"suffix":""},{"dropping-particle":"","family":"Hayes","given":"J D","non-dropping-particle":"","parse-names":false,"suffix":""}],"container-title":"Oncogene","id":"ITEM-1","issue":"32","issued":{"date-parts":[["2013","8","8"]]},"page":"3765-81","title":"Nrf2 is controlled by two distinct β-TrCP recognition motifs in its Neh6 domain, one of which can be modulated by GSK-3 activity.","type":"article-journal","volume":"32"},"uris":["http://www.mendeley.com/documents/?uuid=43a51203-f2bc-4a85-bad8-9a2cefce569f"]}],"mendeley":{"formattedCitation":"(Chowdhry et al., 2013)","plainTextFormattedCitation":"(Chowdhry et al., 2013)","previouslyFormattedCitation":"(Chowdhry et al., 2013)"},"properties":{"noteIndex":0},"schema":"https://github.com/citation-style-language/schema/raw/master/csl-citation.json"}</w:instrText>
      </w:r>
      <w:r w:rsidR="008B3EB5" w:rsidRPr="00CB1C44">
        <w:rPr>
          <w:rFonts w:ascii="Arial" w:hAnsi="Arial" w:cs="Arial"/>
          <w:lang w:val="en-US"/>
        </w:rPr>
        <w:fldChar w:fldCharType="separate"/>
      </w:r>
      <w:r w:rsidR="00DD645C" w:rsidRPr="00CB1C44">
        <w:rPr>
          <w:rFonts w:ascii="Arial" w:hAnsi="Arial" w:cs="Arial"/>
          <w:noProof/>
          <w:lang w:val="en-US"/>
        </w:rPr>
        <w:t>(Chowdhry et al., 2013)</w:t>
      </w:r>
      <w:r w:rsidR="008B3EB5" w:rsidRPr="00CB1C44">
        <w:rPr>
          <w:rFonts w:ascii="Arial" w:hAnsi="Arial" w:cs="Arial"/>
          <w:lang w:val="en-US"/>
        </w:rPr>
        <w:fldChar w:fldCharType="end"/>
      </w:r>
      <w:r w:rsidR="00E91C6E" w:rsidRPr="00CB1C44">
        <w:rPr>
          <w:rFonts w:ascii="Arial" w:hAnsi="Arial" w:cs="Arial"/>
          <w:lang w:val="en-US"/>
        </w:rPr>
        <w:t>, involved in recruitment of β-</w:t>
      </w:r>
      <w:proofErr w:type="spellStart"/>
      <w:r w:rsidR="00E91C6E" w:rsidRPr="00CB1C44">
        <w:rPr>
          <w:rFonts w:ascii="Arial" w:hAnsi="Arial" w:cs="Arial"/>
          <w:lang w:val="en-US"/>
        </w:rPr>
        <w:t>transducin</w:t>
      </w:r>
      <w:proofErr w:type="spellEnd"/>
      <w:r w:rsidR="00E91C6E" w:rsidRPr="00CB1C44">
        <w:rPr>
          <w:rFonts w:ascii="Arial" w:hAnsi="Arial" w:cs="Arial"/>
          <w:lang w:val="en-US"/>
        </w:rPr>
        <w:t xml:space="preserve"> repeat-containing protein (β-</w:t>
      </w:r>
      <w:proofErr w:type="spellStart"/>
      <w:r w:rsidR="00E91C6E" w:rsidRPr="00CB1C44">
        <w:rPr>
          <w:rFonts w:ascii="Arial" w:hAnsi="Arial" w:cs="Arial"/>
          <w:lang w:val="en-US"/>
        </w:rPr>
        <w:t>TrCP</w:t>
      </w:r>
      <w:proofErr w:type="spellEnd"/>
      <w:r w:rsidR="00E91C6E" w:rsidRPr="00CB1C44">
        <w:rPr>
          <w:rFonts w:ascii="Arial" w:hAnsi="Arial" w:cs="Arial"/>
          <w:lang w:val="en-US"/>
        </w:rPr>
        <w:t xml:space="preserve">), </w:t>
      </w:r>
      <w:r w:rsidR="002E2470" w:rsidRPr="00CB1C44">
        <w:rPr>
          <w:rFonts w:ascii="Arial" w:hAnsi="Arial" w:cs="Arial"/>
          <w:lang w:val="en-US"/>
        </w:rPr>
        <w:t xml:space="preserve">which negatively </w:t>
      </w:r>
      <w:r w:rsidR="00E91C6E" w:rsidRPr="00CB1C44">
        <w:rPr>
          <w:rFonts w:ascii="Arial" w:hAnsi="Arial" w:cs="Arial"/>
          <w:lang w:val="en-US"/>
        </w:rPr>
        <w:t>control</w:t>
      </w:r>
      <w:r w:rsidR="002E2470" w:rsidRPr="00CB1C44">
        <w:rPr>
          <w:rFonts w:ascii="Arial" w:hAnsi="Arial" w:cs="Arial"/>
          <w:lang w:val="en-US"/>
        </w:rPr>
        <w:t>s</w:t>
      </w:r>
      <w:r w:rsidR="00E91C6E" w:rsidRPr="00CB1C44">
        <w:rPr>
          <w:rFonts w:ascii="Arial" w:hAnsi="Arial" w:cs="Arial"/>
          <w:lang w:val="en-US"/>
        </w:rPr>
        <w:t xml:space="preserve"> Nrf2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{"citationItems":[{"id":"ITEM-1","itemData":{"DOI":"10.1128/MCB.01204-10","ISBN":"1098-5549 (Electronic)\\r0270-7306 (Linking)","ISSN":"1098-5549","PMID":"21245377","abstract":"Regulation of transcription factor Nrf2 (NF-E2-related factor 2) involves redox-sensitive proteasomal degradation via the E3 ubiquitin ligase Keap1/Cul3. However, Nrf2 is controlled by other mechanisms that have not yet been elucidated. We now show that glycogen synthase kinase 3 (GSK-3) phosphorylates a group of Ser residues in the Neh6 domain of mouse Nrf2 that overlap with an SCF/β-TrCP destruction motif (DSGIS, residues 334 to 338) and promotes its degradation in a Keap1-independent manner. Nrf2 was stabilized by GSK-3 inhibitors in Keap1-null mouse embryo fibroblasts. Similarly, an Nrf2(ΔETGE) mutant, which cannot be degraded via Keap1, accumulated when GSK-3 activity was blocked. Phosphorylation of a Ser cluster in the Neh6 domain of Nrf2 stimulated its degradation because a mutant Nrf2(ΔETGE 6S/6A) protein, lacking these Ser residues, exhibited a longer half-life than Nrf2(ΔETGE). Moreover, Nrf2(ΔETGE 6S/6A) was insensitive to β-TrCP regulation and exhibited lower levels of ubiquitination than Nrf2(ΔETGE). GSK-3β enhanced ubiquitination of Nrf2(ΔETGE) but not that of Nrf2(ΔETGE 6S/6A). The Nrf2(ΔETGE) protein but not Nrf2(ΔETGE 6S/6A) coimmunoprecipitated with β-TrCP, and this association was enhanced by GSK-3β. Our results show for the first time that Nrf2 is targeted by GSK-3 for SCF/β-TrCP-dependent degradation. We propose a \"dual degradation\" model to describe the regulation of Nrf2 under different pathophysiological conditions.","author":[{"dropping-particle":"","family":"Rada","given":"Patricia","non-dropping-particle":"","parse-names":false,"suffix":""},{"dropping-particle":"","family":"Rojo","given":"Ana I","non-dropping-particle":"","parse-names":false,"suffix":""},{"dropping-particle":"","family":"Chowdhry","given":"Sudhir","non-dropping-particle":"","parse-names":false,"suffix":""},{"dropping-particle":"","family":"McMahon","given":"Michael","non-dropping-particle":"","parse-names":false,"suffix":""},{"dropping-particle":"","family":"Hayes","given":"John D","non-dropping-particle":"","parse-names":false,"suffix":""},{"dropping-particle":"","family":"Cuadrado","given":"Antonio","non-dropping-particle":"","parse-names":false,"suffix":""}],"container-title":"Molecular and cellular biology","id":"ITEM-1","issue":"6","issued":{"date-parts":[["2011","3"]]},"page":"1121-33","title":"SCF/{beta}-TrCP promotes glycogen synthase kinase 3-dependent degradation of the Nrf2 transcription factor in a Keap1-independent manner.","type":"article-journal","volume":"31"},"uris":["http://www.mendeley.com/documents/?uuid=bfd8bd48-da2a-46a3-95d9-ea13e1676122"]},{"id":"ITEM-2","itemData":{"DOI":"10.1128/MCB.00180-12","ISSN":"1098-5549","PMID":"22751928","abstract":"The transcription factor NF-E2-related factor 2 (Nrf2) is a master regulator of a genetic program, termed the phase 2 response, that controls redox homeostasis and participates in multiple aspects of physiology and pathology. Nrf2 protein stability is regulated by two E3 ubiquitin ligase adaptors, Keap1 and β-TrCP, the latter of which was only recently reported. Here, two-dimensional (2D) gel electrophoresis and site-directed mutagenesis allowed us to identify two serines of Nrf2 that are phosphorylated by glycogen synthase kinase 3β (GSK-3β) in the sequence DSGISL. Nuclear magnetic resonance studies defined key residues of this phosphosequence involved in docking to the WD40 propeller of β-TrCP, through electrostatic and hydrophobic interactions. We also identified three arginine residues of β-TrCP that participate in Nrf2 docking. Intraperitoneal injection of the GSK-3 inhibitor SB216763 led to increased Nrf2 and heme oxygenase-1 levels in liver and hippocampus. Moreover, mice with hippocampal absence of GSK-3β exhibited increased levels of Nrf2 and phase 2 gene products, reduced glutathione, and decreased levels of carbonylated proteins and malondialdehyde. This study establishes the structural parameters of the interaction of Nrf2 with the GSK-3/β-TrCP axis and its functional relevance in the regulation of Nrf2 by the signaling pathways that impinge on GSK-3.","author":[{"dropping-particle":"","family":"Rada","given":"Patricia","non-dropping-particle":"","parse-names":false,"suffix":""},{"dropping-particle":"","family":"Rojo","given":"Ana I.","non-dropping-particle":"","parse-names":false,"suffix":""},{"dropping-particle":"","family":"Evrard-Todeschi","given":"Nathalie","non-dropping-particle":"","parse-names":false,"suffix":""},{"dropping-particle":"","family":"Innamorato","given":"Nadia G.","non-dropping-particle":"","parse-names":false,"suffix":""},{"dropping-particle":"","family":"Cotte","given":"Axelle","non-dropping-particle":"","parse-names":false,"suffix":""},{"dropping-particle":"","family":"Jaworski","given":"Tomasz","non-dropping-particle":"","parse-names":false,"suffix":""},{"dropping-particle":"","family":"Tobón-Velasco","given":"Julio C","non-dropping-particle":"","parse-names":false,"suffix":""},{"dropping-particle":"","family":"Devijver","given":"Herman","non-dropping-particle":"","parse-names":false,"suffix":""},{"dropping-particle":"","family":"García-Mayoral","given":"María Flor","non-dropping-particle":"","parse-names":false,"suffix":""},{"dropping-particle":"","family":"Leuven","given":"Fred","non-dropping-particle":"Van","parse-names":false,"suffix":""},{"dropping-particle":"","family":"Hayes","given":"John D.","non-dropping-particle":"","parse-names":false,"suffix":""},{"dropping-particle":"","family":"Bertho","given":"Gildas","non-dropping-particle":"","parse-names":false,"suffix":""},{"dropping-particle":"","family":"Cuadrado","given":"Antonio","non-dropping-particle":"","parse-names":false,"suffix":""},{"dropping-particle":"","family":"Tobon-Velasco","given":"J. C.","non-dropping-particle":"","parse-names":false,"suffix":""},{"dropping-particle":"","family":"Devijver","given":"Herman","non-dropping-particle":"","parse-names":false,"suffix":""},{"dropping-particle":"","family":"Garcia-Mayoral","given":"M. F.","non-dropping-particle":"","parse-names":false,"suffix":""},{"dropping-particle":"","family":"Leuven","given":"Fred","non-dropping-particle":"Van","parse-names":false,"suffix":""},{"dropping-particle":"","family":"Hayes","given":"John D.","non-dropping-particle":"","parse-names":false,"suffix":""},{"dropping-particle":"","family":"Bertho","given":"Gildas","non-dropping-particle":"","parse-names":false,"suffix":""},{"dropping-particle":"","family":"Cuadrado","given":"Antonio","non-dropping-particle":"","parse-names":false,"suffix":""}],"container-title":"Molecular and cellular biology","id":"ITEM-2","issue":"17","issued":{"date-parts":[["2012"]]},"page":"3486-99","title":"Structural and functional characterization of Nrf2 degradation by the glycogen synthase kinase 3/β-TrCP axis.","type":"article-journal","volume":"32"},"uris":["http://www.mendeley.com/documents/?uuid=95a8c377-bb33-4b5c-bb45-6e9f80f9215c"]}],"mendeley":{"formattedCitation":"(Rada et al., 2012, 2011)","plainTextFormattedCitation":"(Rada et al., 2012, 2011)","previouslyFormattedCitation":"(Rada et al., 2012, 2011)"},"properties":{"noteIndex":0},"schema":"https://github.com/citation-style-language/schema/raw/master/csl-citation.json"}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(Rada et al., 2012, 2011)</w:t>
      </w:r>
      <w:r w:rsidR="00844011" w:rsidRPr="00CB1C44">
        <w:rPr>
          <w:rFonts w:ascii="Arial" w:hAnsi="Arial" w:cs="Arial"/>
          <w:lang w:val="en-US"/>
        </w:rPr>
        <w:fldChar w:fldCharType="end"/>
      </w:r>
      <w:r w:rsidR="00E91C6E" w:rsidRPr="00CB1C44">
        <w:rPr>
          <w:rFonts w:ascii="Arial" w:hAnsi="Arial" w:cs="Arial"/>
          <w:lang w:val="en-US"/>
        </w:rPr>
        <w:t xml:space="preserve">. Recently, Wang and colleagues, identified the Neh7 domain </w:t>
      </w:r>
      <w:r w:rsidR="00B847A2" w:rsidRPr="00CB1C44">
        <w:rPr>
          <w:rFonts w:ascii="Arial" w:hAnsi="Arial" w:cs="Arial"/>
          <w:lang w:val="en-US"/>
        </w:rPr>
        <w:t>as</w:t>
      </w:r>
      <w:r w:rsidR="00B762F0" w:rsidRPr="00CB1C44">
        <w:rPr>
          <w:rFonts w:ascii="Arial" w:hAnsi="Arial" w:cs="Arial"/>
          <w:lang w:val="en-US"/>
        </w:rPr>
        <w:t xml:space="preserve"> a</w:t>
      </w:r>
      <w:r w:rsidR="00B847A2" w:rsidRPr="00CB1C44">
        <w:rPr>
          <w:rFonts w:ascii="Arial" w:hAnsi="Arial" w:cs="Arial"/>
          <w:lang w:val="en-US"/>
        </w:rPr>
        <w:t xml:space="preserve"> region that interacts with the retinoic acid receptor α (RARα), </w:t>
      </w:r>
      <w:r w:rsidR="002E2470" w:rsidRPr="00CB1C44">
        <w:rPr>
          <w:rFonts w:ascii="Arial" w:hAnsi="Arial" w:cs="Arial"/>
          <w:lang w:val="en-US"/>
        </w:rPr>
        <w:t xml:space="preserve">responsible for </w:t>
      </w:r>
      <w:r w:rsidR="00B847A2" w:rsidRPr="00CB1C44">
        <w:rPr>
          <w:rFonts w:ascii="Arial" w:hAnsi="Arial" w:cs="Arial"/>
          <w:lang w:val="en-US"/>
        </w:rPr>
        <w:t>reduc</w:t>
      </w:r>
      <w:r w:rsidR="002E2470" w:rsidRPr="00CB1C44">
        <w:rPr>
          <w:rFonts w:ascii="Arial" w:hAnsi="Arial" w:cs="Arial"/>
          <w:lang w:val="en-US"/>
        </w:rPr>
        <w:t>ing</w:t>
      </w:r>
      <w:r w:rsidR="00B847A2" w:rsidRPr="00CB1C44">
        <w:rPr>
          <w:rFonts w:ascii="Arial" w:hAnsi="Arial" w:cs="Arial"/>
          <w:lang w:val="en-US"/>
        </w:rPr>
        <w:t xml:space="preserve"> the expression of Nrf2 target genes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{"citationItems":[{"id":"ITEM-1","itemData":{"DOI":"10.1158/0008-5472.CAN-12-3386","ISSN":"00085472","PMID":"23612120","abstract":"The transcription factor NRF2 (NFE2L2) is a pivotal activator of genes encoding cytoprotective and detoxifying enzymes that limit the action of cytotoxic therapies in cancer. NRF2 acts by binding antioxidant response elements (ARE) in its target genes, but there is relatively limited knowledge about how it is negatively controlled. Here, we report that retinoic X receptor alpha (RXRα) is a hitherto unrecognized repressor of NRF2. RNAi-mediated knockdown of RXRα increased basal ARE-driven gene expression and induction of ARE-driven genes by the NRF2 activator tert-butylhydroquinone (tBHQ). Conversely, overexpression of RXRα decreased ARE-driven gene expression. Biochemical investigations showed that RXRα interacts physically with NRF2 in cancer cells and in murine small intestine and liver tissues. Furthermore, RXRα bound to ARE sequences in the promoters of NRF2-regulated genes. RXRα loading onto AREs was concomitant with the presence of NRF2, supporting the hypothesis that a direct interaction between the two proteins on gene promoters accounts for the antagonism of ARE-driven gene expression. Mutation analyses revealed that interaction between the two transcription factors involves the DNA-binding domain of RXRα and a region comprising amino acids 209-316 in human NRF2 that had not been defined functionally, but that we now designate as the NRF2-ECH homology (Neh) 7 domain. In non-small cell lung cancer cells where NRF2 levels are elevated, RXRα expression downregulated NRF2 and sensitized cells to the cytotoxic effects of therapeutic drugs. In summary, our findings show that RXRα diminishes cytoprotection by NRF2 by binding directly to the newly defined Neh7 domain in NRF2.","author":[{"dropping-particle":"","family":"Wang","given":"Hongyan","non-dropping-particle":"","parse-names":false,"suffix":""},{"dropping-particle":"","family":"Liu","given":"Kaihua","non-dropping-particle":"","parse-names":false,"suffix":""},{"dropping-particle":"","family":"Geng","given":"Miao","non-dropping-particle":"","parse-names":false,"suffix":""},{"dropping-particle":"","family":"Gao","given":"Peng","non-dropping-particle":"","parse-names":false,"suffix":""},{"dropping-particle":"","family":"Wu","given":"Xiaoyuan","non-dropping-particle":"","parse-names":false,"suffix":""},{"dropping-particle":"","family":"Hai","given":"Yan","non-dropping-particle":"","parse-names":false,"suffix":""},{"dropping-particle":"","family":"Li","given":"Yangxia","non-dropping-particle":"","parse-names":false,"suffix":""},{"dropping-particle":"","family":"Li","given":"Yulong","non-dropping-particle":"","parse-names":false,"suffix":""},{"dropping-particle":"","family":"Luo","given":"Lin","non-dropping-particle":"","parse-names":false,"suffix":""},{"dropping-particle":"","family":"Hayes","given":"John D.","non-dropping-particle":"","parse-names":false,"suffix":""},{"dropping-particle":"","family":"Wang","given":"Xiu Jun","non-dropping-particle":"","parse-names":false,"suffix":""},{"dropping-particle":"","family":"Tang","given":"Xiuwen","non-dropping-particle":"","parse-names":false,"suffix":""}],"container-title":"Cancer Research","id":"ITEM-1","issue":"10","issued":{"date-parts":[["2013"]]},"page":"3097-3108","title":"RXRα inhibits the NRF2-ARE signaling pathway through a direct interaction with the Neh7 domain of NRF2","type":"article-journal","volume":"73"},"uris":["http://www.mendeley.com/documents/?uuid=891c5783-f67a-4987-8e6f-df335f38e075"]}],"mendeley":{"formattedCitation":"(Wang et al., 2013)","plainTextFormattedCitation":"(Wang et al., 2013)","previouslyFormattedCitation":"(Wang et al., 2013)"},"properties":{"noteIndex":0},"schema":"https://github.com/citation-style-language/schema/raw/master/csl-citation.json"}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(Wang et al., 2013)</w:t>
      </w:r>
      <w:r w:rsidR="00844011" w:rsidRPr="00CB1C44">
        <w:rPr>
          <w:rFonts w:ascii="Arial" w:hAnsi="Arial" w:cs="Arial"/>
          <w:lang w:val="en-US"/>
        </w:rPr>
        <w:fldChar w:fldCharType="end"/>
      </w:r>
      <w:r w:rsidR="00C022C5" w:rsidRPr="00CB1C44">
        <w:rPr>
          <w:rFonts w:ascii="Arial" w:hAnsi="Arial" w:cs="Arial"/>
          <w:lang w:val="en-US"/>
        </w:rPr>
        <w:t xml:space="preserve"> (Figure 1</w:t>
      </w:r>
      <w:r w:rsidR="006E1DD6" w:rsidRPr="00CB1C44">
        <w:rPr>
          <w:rFonts w:ascii="Arial" w:hAnsi="Arial" w:cs="Arial"/>
          <w:lang w:val="en-US"/>
        </w:rPr>
        <w:t>A</w:t>
      </w:r>
      <w:r w:rsidR="00C022C5" w:rsidRPr="00CB1C44">
        <w:rPr>
          <w:rFonts w:ascii="Arial" w:hAnsi="Arial" w:cs="Arial"/>
          <w:lang w:val="en-US"/>
        </w:rPr>
        <w:t>)</w:t>
      </w:r>
      <w:r w:rsidR="00B847A2" w:rsidRPr="00CB1C44">
        <w:rPr>
          <w:rFonts w:ascii="Arial" w:hAnsi="Arial" w:cs="Arial"/>
          <w:lang w:val="en-US"/>
        </w:rPr>
        <w:t>.</w:t>
      </w:r>
      <w:r w:rsidR="00417CE0" w:rsidRPr="00CB1C44">
        <w:rPr>
          <w:rFonts w:ascii="Arial" w:hAnsi="Arial" w:cs="Arial"/>
          <w:lang w:val="en-US"/>
        </w:rPr>
        <w:t xml:space="preserve"> </w:t>
      </w:r>
    </w:p>
    <w:p w14:paraId="1ABBDC38" w14:textId="2531AB19" w:rsidR="00166CA2" w:rsidRPr="00CB1C44" w:rsidRDefault="00FC4D96" w:rsidP="005A7E16">
      <w:pPr>
        <w:spacing w:after="0" w:line="360" w:lineRule="auto"/>
        <w:jc w:val="center"/>
        <w:rPr>
          <w:rFonts w:ascii="Arial" w:hAnsi="Arial" w:cs="Arial"/>
          <w:lang w:val="en-US"/>
        </w:rPr>
      </w:pPr>
      <w:r w:rsidRPr="00CB1C44">
        <w:rPr>
          <w:rFonts w:ascii="Arial" w:hAnsi="Arial" w:cs="Arial"/>
          <w:noProof/>
          <w:lang w:eastAsia="pt-PT"/>
        </w:rPr>
        <w:lastRenderedPageBreak/>
        <w:drawing>
          <wp:inline distT="0" distB="0" distL="0" distR="0" wp14:anchorId="7D7DA749" wp14:editId="7CFCA673">
            <wp:extent cx="5400040" cy="4086225"/>
            <wp:effectExtent l="0" t="0" r="1016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o_Figur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86225"/>
                    </a:xfrm>
                    <a:prstGeom prst="rect">
                      <a:avLst/>
                    </a:prstGeom>
                  </pic:spPr>
                </pic:pic>
              </a:graphicData>
            </a:graphic>
          </wp:inline>
        </w:drawing>
      </w:r>
    </w:p>
    <w:p w14:paraId="75D9B9DA" w14:textId="77777777" w:rsidR="00166CA2" w:rsidRPr="00CB1C44" w:rsidRDefault="00166CA2" w:rsidP="00166CA2">
      <w:pPr>
        <w:spacing w:after="0"/>
        <w:jc w:val="both"/>
        <w:rPr>
          <w:rFonts w:ascii="Arial" w:hAnsi="Arial" w:cs="Arial"/>
          <w:sz w:val="20"/>
          <w:szCs w:val="20"/>
          <w:lang w:val="en-US"/>
        </w:rPr>
      </w:pPr>
      <w:r w:rsidRPr="00CB1C44">
        <w:rPr>
          <w:rFonts w:ascii="Arial" w:hAnsi="Arial" w:cs="Arial"/>
          <w:b/>
          <w:sz w:val="20"/>
          <w:szCs w:val="20"/>
          <w:lang w:val="en-US"/>
        </w:rPr>
        <w:t>Figure 1: Nrf2 and Keap1 schematic domains. (A)</w:t>
      </w:r>
      <w:r w:rsidRPr="00CB1C44">
        <w:rPr>
          <w:rFonts w:ascii="Arial" w:hAnsi="Arial" w:cs="Arial"/>
          <w:sz w:val="20"/>
          <w:szCs w:val="20"/>
          <w:lang w:val="en-US"/>
        </w:rPr>
        <w:t xml:space="preserve"> Nrf2 protein consists of 605 amino acids and has seven homology domains, Neh1–7. The Neh1 domain, that contains a </w:t>
      </w:r>
      <w:proofErr w:type="spellStart"/>
      <w:r w:rsidRPr="00CB1C44">
        <w:rPr>
          <w:rFonts w:ascii="Arial" w:hAnsi="Arial" w:cs="Arial"/>
          <w:sz w:val="20"/>
          <w:szCs w:val="20"/>
          <w:lang w:val="en-US"/>
        </w:rPr>
        <w:t>bZip</w:t>
      </w:r>
      <w:proofErr w:type="spellEnd"/>
      <w:r w:rsidRPr="00CB1C44">
        <w:rPr>
          <w:rFonts w:ascii="Arial" w:hAnsi="Arial" w:cs="Arial"/>
          <w:sz w:val="20"/>
          <w:szCs w:val="20"/>
          <w:lang w:val="en-US"/>
        </w:rPr>
        <w:t xml:space="preserve"> motif, a basic region with leucine zipper (L-Zip) structure, is responsible for DNA recognition, while the L-Zip mediates dimerization with small </w:t>
      </w:r>
      <w:proofErr w:type="spellStart"/>
      <w:r w:rsidRPr="00CB1C44">
        <w:rPr>
          <w:rFonts w:ascii="Arial" w:hAnsi="Arial" w:cs="Arial"/>
          <w:sz w:val="20"/>
          <w:szCs w:val="20"/>
          <w:lang w:val="en-US"/>
        </w:rPr>
        <w:t>Maf</w:t>
      </w:r>
      <w:proofErr w:type="spellEnd"/>
      <w:r w:rsidRPr="00CB1C44">
        <w:rPr>
          <w:rFonts w:ascii="Arial" w:hAnsi="Arial" w:cs="Arial"/>
          <w:sz w:val="20"/>
          <w:szCs w:val="20"/>
          <w:lang w:val="en-US"/>
        </w:rPr>
        <w:t xml:space="preserve"> proteins. The Neh2 domain contains ETGE and DLG motifs, which are required for the interaction with Keap1, and a hydrophilic region of lysine residues, which are necessary for Keap1-dependent polyubiquitination and degradation of Nrf2. Neh3, Neh4 and Neh5 are transactivation domains, which bind to the transcriptional co-activators CHD6 and CBP. The Neh6 domain is related with Nrf2 negative regulation by GSK-3</w:t>
      </w:r>
      <w:r w:rsidRPr="00CB1C44">
        <w:rPr>
          <w:rFonts w:ascii="Arial" w:hAnsi="Arial" w:cs="Arial"/>
          <w:sz w:val="20"/>
          <w:szCs w:val="20"/>
          <w:lang w:val="en-US"/>
        </w:rPr>
        <w:sym w:font="Symbol" w:char="F062"/>
      </w:r>
      <w:r w:rsidRPr="00CB1C44">
        <w:rPr>
          <w:rFonts w:ascii="Arial" w:hAnsi="Arial" w:cs="Arial"/>
          <w:sz w:val="20"/>
          <w:szCs w:val="20"/>
          <w:lang w:val="en-US"/>
        </w:rPr>
        <w:t xml:space="preserve"> and Neh7 domain binds to the retinoid acid receptor alpha (RARα). </w:t>
      </w:r>
      <w:r w:rsidRPr="00CB1C44">
        <w:rPr>
          <w:rFonts w:ascii="Arial" w:hAnsi="Arial" w:cs="Arial"/>
          <w:b/>
          <w:sz w:val="20"/>
          <w:szCs w:val="20"/>
          <w:lang w:val="en-US"/>
        </w:rPr>
        <w:t>(B)</w:t>
      </w:r>
      <w:r w:rsidRPr="00CB1C44">
        <w:rPr>
          <w:rFonts w:ascii="Arial" w:hAnsi="Arial" w:cs="Arial"/>
          <w:sz w:val="20"/>
          <w:szCs w:val="20"/>
          <w:lang w:val="en-US"/>
        </w:rPr>
        <w:t xml:space="preserve"> Keap1 protein has 624 amino acids and five functional domains. The BTB domain allows the binding to Cul3 and Keap1 dimerization. The IVR domain is an intervening region that contains several cysteine residues, allowing the Nrf2 regulation. The DGR domain is essential for Keap1 interaction with other proteins, namely Nrf2 and p62 binding. (</w:t>
      </w:r>
      <w:r w:rsidRPr="00CB1C44">
        <w:rPr>
          <w:rFonts w:ascii="Arial" w:hAnsi="Arial" w:cs="Arial"/>
          <w:b/>
          <w:sz w:val="20"/>
          <w:szCs w:val="20"/>
          <w:lang w:val="en-US"/>
        </w:rPr>
        <w:t>C</w:t>
      </w:r>
      <w:r w:rsidRPr="00CB1C44">
        <w:rPr>
          <w:rFonts w:ascii="Arial" w:hAnsi="Arial" w:cs="Arial"/>
          <w:sz w:val="20"/>
          <w:szCs w:val="20"/>
          <w:lang w:val="en-US"/>
        </w:rPr>
        <w:t xml:space="preserve">) One Nrf2 molecule can bind to a Keap1 homodimer. The ETGE (high affinity) and DLG (low affinity) motifs of Nrf2 bind to DGR domains of Keap1, putting the Nrf2 lysine residues clustered between the two Keap1 molecules, which allows Nrf2 polyubiquitination. </w:t>
      </w:r>
    </w:p>
    <w:p w14:paraId="32558D98" w14:textId="77777777" w:rsidR="00166CA2" w:rsidRPr="00CB1C44" w:rsidRDefault="00166CA2" w:rsidP="004038B5">
      <w:pPr>
        <w:spacing w:after="0" w:line="360" w:lineRule="auto"/>
        <w:jc w:val="both"/>
        <w:rPr>
          <w:rFonts w:ascii="Arial" w:hAnsi="Arial" w:cs="Arial"/>
          <w:lang w:val="en-US"/>
        </w:rPr>
      </w:pPr>
    </w:p>
    <w:p w14:paraId="33FC1F05" w14:textId="77777777" w:rsidR="00166CA2" w:rsidRPr="00CB1C44" w:rsidRDefault="00166CA2" w:rsidP="004038B5">
      <w:pPr>
        <w:spacing w:after="0" w:line="360" w:lineRule="auto"/>
        <w:jc w:val="both"/>
        <w:rPr>
          <w:rFonts w:ascii="Arial" w:hAnsi="Arial" w:cs="Arial"/>
          <w:lang w:val="en-US"/>
        </w:rPr>
      </w:pPr>
    </w:p>
    <w:p w14:paraId="1BAE4A66" w14:textId="6C59E108" w:rsidR="00E924CE" w:rsidRPr="00CB1C44" w:rsidRDefault="0005557C" w:rsidP="004038B5">
      <w:pPr>
        <w:spacing w:after="0" w:line="360" w:lineRule="auto"/>
        <w:jc w:val="both"/>
        <w:rPr>
          <w:rFonts w:ascii="Arial" w:hAnsi="Arial" w:cs="Arial"/>
          <w:lang w:val="en-US"/>
        </w:rPr>
      </w:pPr>
      <w:r w:rsidRPr="00CB1C44">
        <w:rPr>
          <w:rFonts w:ascii="Arial" w:hAnsi="Arial" w:cs="Arial"/>
          <w:lang w:val="en-US"/>
        </w:rPr>
        <w:t xml:space="preserve">Keap1 </w:t>
      </w:r>
      <w:r w:rsidR="00E263D0" w:rsidRPr="00CB1C44">
        <w:rPr>
          <w:rFonts w:ascii="Arial" w:hAnsi="Arial" w:cs="Arial"/>
          <w:lang w:val="en-US"/>
        </w:rPr>
        <w:t xml:space="preserve">is a cytosolic protein </w:t>
      </w:r>
      <w:r w:rsidR="00E263D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{"citationItems":[{"id":"ITEM-1","itemData":{"DOI":"10.1111/j.1365-2443.2007.01118.x","ISBN":"1356-9597 (Print)\\n1356-9597 (Linking)","ISSN":"13569597","PMID":"17903176","abstract":"Keap1 acts as a sensor for oxidative/electrophilic stress, an adaptor for Cullin-3-based ubiquitin ligase, and a regulator of Nrf2 activity through the interaction with Nrf2 Neh2 domain. However, the mechanism(s) of Nrf2 migration into the nucleus in response to stress remains largely unknown due to the lack of a reliable antibody for the detection of endogenous Keap1 molecule. Here, we report the generation of a new monoclonal antibody for the detection of endogenous Keap1 molecules. Immunocytochemical analysis of mouse embryonic fibroblasts with the antibody revealed that under normal, unstressed condition, Keap1 is localized primarily in the cytoplasm with minimal amount in the nucleus and endoplasmic reticulum. This subcellular localization profile of Keap1 appears unchanged after treatment of cells with diethyl maleate, an electrophile, and/or Leptomycin B, a nuclear export inhibitor. Subcellular fractionation analysis of mouse liver cells showed similar results. No substantial change in the subcellular distribution profile could be observed in cells isolated from butylated hydroxyanisole-treated mice. Analyses of sucrose density gradient centrifugation of mouse liver cells indicated that Keap1 appears to form multiprotein complexes in the cytoplasm. These results demonstrate that endogenous Keap1 remains mostly in the cytoplasm, and electrophiles promote nuclear accumulation of Nrf2 without altering the subcellular localization of Keap1.","author":[{"dropping-particle":"","family":"Watai","given":"Yoriko","non-dropping-particle":"","parse-names":false,"suffix":""},{"dropping-particle":"","family":"Kobayashi","given":"Akira","non-dropping-particle":"","parse-names":false,"suffix":""},{"dropping-particle":"","family":"Nagase","given":"Hiroko","non-dropping-particle":"","parse-names":false,"suffix":""},{"dropping-particle":"","family":"Mizukami","given":"Mio","non-dropping-particle":"","parse-names":false,"suffix":""},{"dropping-particle":"","family":"Mcevoy","given":"Justina","non-dropping-particle":"","parse-names":false,"suffix":""},{"dropping-particle":"","family":"Singer","given":"Jeffrey D.","non-dropping-particle":"","parse-names":false,"suffix":""},{"dropping-particle":"","family":"Itoh","given":"Ken","non-dropping-particle":"","parse-names":false,"suffix":""},{"dropping-particle":"","family":"Yamamoto","given":"Masayuki","non-dropping-particle":"","parse-names":false,"suffix":""}],"container-title":"Genes to Cells","id":"ITEM-1","issue":"10","issued":{"date-parts":[["2007"]]},"page":"1163-1178","title":"Subcellular localization and cytoplasmic complex status of endogenous Keap1","type":"article-journal","volume":"12"},"uris":["http://www.mendeley.com/documents/?uuid=2ad3fc12-8670-4f8e-a095-582a2ed7f333"]}],"mendeley":{"formattedCitation":"(Watai et al., 2007)","plainTextFormattedCitation":"(Watai et al., 2007)","previouslyFormattedCitation":"(Watai et al., 2007)"},"properties":{"noteIndex":0},"schema":"https://github.com/citation-style-language/schema/raw/master/csl-citation.json"}</w:instrText>
      </w:r>
      <w:r w:rsidR="00E263D0" w:rsidRPr="00CB1C44">
        <w:rPr>
          <w:rFonts w:ascii="Arial" w:hAnsi="Arial" w:cs="Arial"/>
          <w:lang w:val="en-US"/>
        </w:rPr>
        <w:fldChar w:fldCharType="separate"/>
      </w:r>
      <w:r w:rsidR="00DD645C" w:rsidRPr="00CB1C44">
        <w:rPr>
          <w:rFonts w:ascii="Arial" w:hAnsi="Arial" w:cs="Arial"/>
          <w:noProof/>
          <w:lang w:val="en-US"/>
        </w:rPr>
        <w:t>(Watai et al., 2007)</w:t>
      </w:r>
      <w:r w:rsidR="00E263D0" w:rsidRPr="00CB1C44">
        <w:rPr>
          <w:rFonts w:ascii="Arial" w:hAnsi="Arial" w:cs="Arial"/>
          <w:lang w:val="en-US"/>
        </w:rPr>
        <w:fldChar w:fldCharType="end"/>
      </w:r>
      <w:r w:rsidR="00B0359C" w:rsidRPr="00CB1C44">
        <w:rPr>
          <w:rFonts w:ascii="Arial" w:hAnsi="Arial" w:cs="Arial"/>
          <w:lang w:val="en-US"/>
        </w:rPr>
        <w:t xml:space="preserve"> that</w:t>
      </w:r>
      <w:r w:rsidR="00E263D0" w:rsidRPr="00CB1C44">
        <w:rPr>
          <w:rFonts w:ascii="Arial" w:hAnsi="Arial" w:cs="Arial"/>
          <w:lang w:val="en-US"/>
        </w:rPr>
        <w:t xml:space="preserve"> regulates Nrf2 activity. Keap1 </w:t>
      </w:r>
      <w:r w:rsidRPr="00CB1C44">
        <w:rPr>
          <w:rFonts w:ascii="Arial" w:hAnsi="Arial" w:cs="Arial"/>
          <w:lang w:val="en-US"/>
        </w:rPr>
        <w:t xml:space="preserve">is a </w:t>
      </w:r>
      <w:r w:rsidR="002E2470" w:rsidRPr="00CB1C44">
        <w:rPr>
          <w:rFonts w:ascii="Arial" w:hAnsi="Arial" w:cs="Arial"/>
          <w:lang w:val="en-US"/>
        </w:rPr>
        <w:t>five-</w:t>
      </w:r>
      <w:r w:rsidRPr="00CB1C44">
        <w:rPr>
          <w:rFonts w:ascii="Arial" w:hAnsi="Arial" w:cs="Arial"/>
          <w:lang w:val="en-US"/>
        </w:rPr>
        <w:t xml:space="preserve">domain protein </w:t>
      </w:r>
      <w:r w:rsidR="00E263D0" w:rsidRPr="00CB1C44">
        <w:rPr>
          <w:rFonts w:ascii="Arial" w:hAnsi="Arial" w:cs="Arial"/>
          <w:lang w:val="en-US"/>
        </w:rPr>
        <w:t xml:space="preserve">composed by </w:t>
      </w:r>
      <w:r w:rsidRPr="00CB1C44">
        <w:rPr>
          <w:rFonts w:ascii="Arial" w:hAnsi="Arial" w:cs="Arial"/>
          <w:lang w:val="en-US"/>
        </w:rPr>
        <w:t xml:space="preserve">a C-terminal region (CTR) and </w:t>
      </w:r>
      <w:r w:rsidR="002E2470" w:rsidRPr="00CB1C44">
        <w:rPr>
          <w:rFonts w:ascii="Arial" w:hAnsi="Arial" w:cs="Arial"/>
          <w:lang w:val="en-US"/>
        </w:rPr>
        <w:t>a N</w:t>
      </w:r>
      <w:r w:rsidRPr="00CB1C44">
        <w:rPr>
          <w:rFonts w:ascii="Arial" w:hAnsi="Arial" w:cs="Arial"/>
          <w:lang w:val="en-US"/>
        </w:rPr>
        <w:t xml:space="preserve">-terminal region (NTR) combined with three functional domains: a </w:t>
      </w:r>
      <w:proofErr w:type="spellStart"/>
      <w:r w:rsidRPr="00CB1C44">
        <w:rPr>
          <w:rFonts w:ascii="Arial" w:hAnsi="Arial" w:cs="Arial"/>
          <w:lang w:val="en-US"/>
        </w:rPr>
        <w:t>Kelch</w:t>
      </w:r>
      <w:proofErr w:type="spellEnd"/>
      <w:r w:rsidRPr="00CB1C44">
        <w:rPr>
          <w:rFonts w:ascii="Arial" w:hAnsi="Arial" w:cs="Arial"/>
          <w:lang w:val="en-US"/>
        </w:rPr>
        <w:t xml:space="preserve"> domain (DGR)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{"citationItems":[{"id":"ITEM-1","itemData":{"DOI":"10.1074/jbc.M410073200","ISBN":"0021-9258 (Print)","ISSN":"00219258","PMID":"15475350","abstract":"Keap1 is a substrate adaptor protein for an ubiquitin ligase complex that targets the Nrf2 transcription factor for degradation. Keap1 binds Nrf2 through its C-terminal Kelch domain, which contains six copies of the evolutionarily conserved kelch repeat sequence motif. The structure of the Kelch domain from human Keap1 has been determined by x-ray crystallography to a resolution of 1.85 A. The Kelch domain forms a 6-bladed beta-propeller structure, with residues at the C terminus forming the first strand in the first blade. Key structural roles have been identified for the highly conserved glycine, tyrosine, and tryptophan residues that define the kelch repeat sequence motif. In addition, we show that substitution of a single amino acid located within a loop that extends out from the bottom of the beta-propeller structure abolishes binding of Nrf2. The structure of the Kelch domain of Keap1 represents a high quality model for the superfamily of eukaryotic kelch repeat proteins and provides insight into how disease-causing mutations perturb the structural integrity of the Kelch domain.","author":[{"dropping-particle":"","family":"Li","given":"Xuchu","non-dropping-particle":"","parse-names":false,"suffix":""},{"dropping-particle":"","family":"Zhang","given":"Donna","non-dropping-particle":"","parse-names":false,"suffix":""},{"dropping-particle":"","family":"Hannink","given":"Mark","non-dropping-particle":"","parse-names":false,"suffix":""},{"dropping-particle":"","family":"Beamer","given":"Lesa J.","non-dropping-particle":"","parse-names":false,"suffix":""}],"container-title":"Journal of Biological Chemistry","id":"ITEM-1","issue":"52","issued":{"date-parts":[["2004"]]},"page":"54750-54758","title":"Crystal structure of the Kelch domain of human Keap1","type":"article-journal","volume":"279"},"uris":["http://www.mendeley.com/documents/?uuid=30111ab3-5c28-460c-a6d3-88bd0e20d391"]}],"mendeley":{"formattedCitation":"(Li et al., 2004)","plainTextFormattedCitation":"(Li et al., 2004)","previouslyFormattedCitation":"(Li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(Li et al., 2004)</w:t>
      </w:r>
      <w:r w:rsidR="00844011" w:rsidRPr="00CB1C44">
        <w:rPr>
          <w:rFonts w:ascii="Arial" w:hAnsi="Arial" w:cs="Arial"/>
          <w:lang w:val="en-US"/>
        </w:rPr>
        <w:fldChar w:fldCharType="end"/>
      </w:r>
      <w:r w:rsidRPr="00CB1C44">
        <w:rPr>
          <w:rFonts w:ascii="Arial" w:hAnsi="Arial" w:cs="Arial"/>
          <w:lang w:val="en-US"/>
        </w:rPr>
        <w:t xml:space="preserve">, an intervening region (IVR)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{"citationItems":[{"id":"ITEM-1","itemData":{"DOI":"10.1016/j.yexcr.2004.06.023","ISBN":"0014-4827 (Print)\\n0014-4827 (Linking)","ISSN":"00144827","PMID":"15383316","abstract":"We have previously purified and cloned an apoptosis-inducing protein (AIP) derived from fish infected with the anisakis simplex. Recently, we identified a series of AIP-responsive genes in the HL-60 cell line using a subtractive hybridization method. Here we report the molecular cloning and characterization of one of these genes, which encodes a novel human kelch protein containing 568 amino acid residues, termed hDKIR. The Drosophila Kelch protein localizes to a ring canal structure, which is required for oocyte development. When hDKIR was expressed in cultured-mammalian cells, hDKIR localized to a ring-like structure. Furthermore, when coexpressed with Mayven or Keap1, hDKIR bound to Mayven and recruited Mayven into ring-like structures perfectly. This indicates that kelch homologues can interact with each other in a specific manner and such interaction can affect the subcellular localization of kelch proteins. Finally, domain analysis revealed that both the N-terminal POZ (poxviruses and zinc fingers) and intervening region (IVR) domains of hDKIR are essential for ring-like structure activity, suggesting that the development of the ring-like structure is independent of the ability to bind actin. © 2004 Elsevier Inc. All rights reserved.","author":[{"dropping-particle":"","family":"Mai","given":"Angela","non-dropping-particle":"","parse-names":false,"suffix":""},{"dropping-particle":"","family":"Jung","given":"Sang Kee","non-dropping-particle":"","parse-names":false,"suffix":""},{"dropping-particle":"","family":"Yonehara","given":"Shin","non-dropping-particle":"","parse-names":false,"suffix":""}],"container-title":"Experimental Cell Research","id":"ITEM-1","issue":"1","issued":{"date-parts":[["2004"]]},"page":"72-83","title":"hDKIR, a human homologue of the Drosophila kelch protein, involved in a ring-like structure","type":"article-journal","volume":"300"},"uris":["http://www.mendeley.com/documents/?uuid=eb3479a2-08f7-4ea4-a782-50a4cd7fd2d4"]}],"mendeley":{"formattedCitation":"(Mai et al., 2004)","plainTextFormattedCitation":"(Mai et al., 2004)","previouslyFormattedCitation":"(Mai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(Mai et al., 2004)</w:t>
      </w:r>
      <w:r w:rsidR="00844011" w:rsidRPr="00CB1C44">
        <w:rPr>
          <w:rFonts w:ascii="Arial" w:hAnsi="Arial" w:cs="Arial"/>
          <w:lang w:val="en-US"/>
        </w:rPr>
        <w:fldChar w:fldCharType="end"/>
      </w:r>
      <w:r w:rsidRPr="00CB1C44">
        <w:rPr>
          <w:rFonts w:ascii="Arial" w:hAnsi="Arial" w:cs="Arial"/>
          <w:lang w:val="en-US"/>
        </w:rPr>
        <w:t xml:space="preserve"> and a bric-a-brac domain (BTB)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{"citationItems":[{"id":"ITEM-1","itemData":{"DOI":"10.1074/jbc.M206530200","ISBN":"3654436552","ISSN":"00219258","PMID":"12145307","abstract":"Transactivation of phase II detoxification enzymes and antioxidant proteins is mediated by the Cap'N'Collar transcription factor, Nrf2, which is sequestered in the cytoplasm by the actin-binding protein Keap1. Mutation of a conserved serine (S104A) within the Keap1 BTB/POZ domain disrupts Keap1 dimerization and eliminates the ability of Keap1 to sequester Nrf2 in the cytoplasm and repress Nrf2 transactivation. Disruption of endogenous Keap1 dimerization using BTB/POZ dominant negative proteins also inhibits the ability of Keap1 to retain Nrf2 in the cytoplasm. Exposure to an electrophilic agent that induces Nrf2 release and nuclear translocation disrupts formation of a Keap1 complex in vivo. Collectively, these data support the conclusion that Keap1 dimerization is required for Nrf2 sequestration and transcriptional repression. Furthermore, exposure to inducing agents disrupts the Keap1 dimerization function and results in Nrf2 release.","author":[{"dropping-particle":"","family":"Zipper","given":"Laurie M.","non-dropping-particle":"","parse-names":false,"suffix":""},{"dropping-particle":"","family":"Timothy Mulcahy","given":"R.","non-dropping-particle":"","parse-names":false,"suffix":""}],"container-title":"Journal of Biological Chemistry","id":"ITEM-1","issue":"39","issued":{"date-parts":[["2002"]]},"page":"36544-36552","title":"The Keap1 BTB/POZ dimerization function is required to sequester Nrf2 in cytoplasm","type":"article-journal","volume":"277"},"uris":["http://www.mendeley.com/documents/?uuid=9530d1be-c290-4cd5-99fc-66535c9b12ab"]}],"mendeley":{"formattedCitation":"(Zipper and Timothy Mulcahy, 2002)","plainTextFormattedCitation":"(Zipper and Timothy Mulcahy, 2002)","previouslyFormattedCitation":"(Zipper and Timothy Mulcahy, 2002)"},"properties":{"noteIndex":0},"schema":"https://github.com/citation-style-language/schema/raw/master/csl-citation.json"}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(Zipper and Timothy Mulcahy, 2002)</w:t>
      </w:r>
      <w:r w:rsidR="00844011" w:rsidRPr="00CB1C44">
        <w:rPr>
          <w:rFonts w:ascii="Arial" w:hAnsi="Arial" w:cs="Arial"/>
          <w:lang w:val="en-US"/>
        </w:rPr>
        <w:fldChar w:fldCharType="end"/>
      </w:r>
      <w:r w:rsidRPr="00CB1C44">
        <w:rPr>
          <w:rFonts w:ascii="Arial" w:hAnsi="Arial" w:cs="Arial"/>
          <w:lang w:val="en-US"/>
        </w:rPr>
        <w:t xml:space="preserve">. </w:t>
      </w:r>
      <w:r w:rsidR="006D4880" w:rsidRPr="00CB1C44">
        <w:rPr>
          <w:rFonts w:ascii="Arial" w:hAnsi="Arial" w:cs="Arial"/>
          <w:lang w:val="en-US"/>
        </w:rPr>
        <w:t>Ubiquitin, a 76 amino</w:t>
      </w:r>
      <w:r w:rsidR="0034099D" w:rsidRPr="00CB1C44">
        <w:rPr>
          <w:rFonts w:ascii="Arial" w:hAnsi="Arial" w:cs="Arial"/>
          <w:lang w:val="en-US"/>
        </w:rPr>
        <w:t xml:space="preserve"> </w:t>
      </w:r>
      <w:r w:rsidR="006D4880" w:rsidRPr="00CB1C44">
        <w:rPr>
          <w:rFonts w:ascii="Arial" w:hAnsi="Arial" w:cs="Arial"/>
          <w:lang w:val="en-US"/>
        </w:rPr>
        <w:t>acid protein, tag proteins to degradation by proteolytic activity, which depend</w:t>
      </w:r>
      <w:r w:rsidR="0034099D" w:rsidRPr="00CB1C44">
        <w:rPr>
          <w:rFonts w:ascii="Arial" w:hAnsi="Arial" w:cs="Arial"/>
          <w:lang w:val="en-US"/>
        </w:rPr>
        <w:t>s</w:t>
      </w:r>
      <w:r w:rsidR="006D4880" w:rsidRPr="00CB1C44">
        <w:rPr>
          <w:rFonts w:ascii="Arial" w:hAnsi="Arial" w:cs="Arial"/>
          <w:lang w:val="en-US"/>
        </w:rPr>
        <w:t xml:space="preserve"> upon three enzymes, ubiquitin-activating (E1), ubiquitin-conjugating (E2) and ubiquitin-ligase (E3) </w:t>
      </w:r>
      <w:r w:rsidR="006D488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{"citationItems":[{"id":"ITEM-1","itemData":{"DOI":"10.1146/annurev.biochem.78.081507.101607","ISBN":"1545-4509 (Electronic)\\n0066-4154 (Linking)","ISSN":"1545-4509","PMID":"19489727","abstract":"The proteasome is an intricate molecular machine, which serves to degrade proteins following their conjugation to ubiquitin. Substrates dock onto the proteasome at its 19-subunit regulatory particle via a diverse set of ubiquitin receptors and are then translocated into an internal chamber within the 28-subunit proteolytic core particle (CP), where they are hydrolyzed. Substrate is threaded into the CP through a narrow gated channel, and thus translocation requires unfolding of the substrate. Six distinct ATPases in the regulatory particle appear to form a ring complex and to drive unfolding as well as translocation. ATP-dependent, degradation-coupled deubiquitination of the substrate is required both for efficient substrate degradation and for preventing the degradation of the ubiquitin tag. However, the proteasome also contains deubiquitinating enzymes (DUBs) that can remove ubiquitin before substrate degradation initiates, thus allowing some substrates to dissociate from the proteasome and escape degradation. Here we examine the key elements of this molecular machine and how they cooperate in the processing of proteolytic substrates.","author":[{"dropping-particle":"","family":"Finley","given":"Daniel","non-dropping-particle":"","parse-names":false,"suffix":""}],"container-title":"Annual review of biochemistry","id":"ITEM-1","issued":{"date-parts":[["2009"]]},"page":"477-513","title":"Recognition and processing of ubiquitin-protein conjugates by the proteasome.","type":"article-journal","volume":"78"},"uris":["http://www.mendeley.com/documents/?uuid=db62dcd9-5ec0-4462-87f7-fcf48cfacd7c"]}],"mendeley":{"formattedCitation":"(Finley, 2009)","plainTextFormattedCitation":"(Finley, 2009)","previouslyFormattedCitation":"(Finley, 2009)"},"properties":{"noteIndex":0},"schema":"https://github.com/citation-style-language/schema/raw/master/csl-citation.json"}</w:instrText>
      </w:r>
      <w:r w:rsidR="006D4880" w:rsidRPr="00CB1C44">
        <w:rPr>
          <w:rFonts w:ascii="Arial" w:hAnsi="Arial" w:cs="Arial"/>
          <w:lang w:val="en-US"/>
        </w:rPr>
        <w:fldChar w:fldCharType="separate"/>
      </w:r>
      <w:r w:rsidR="00DD645C" w:rsidRPr="00CB1C44">
        <w:rPr>
          <w:rFonts w:ascii="Arial" w:hAnsi="Arial" w:cs="Arial"/>
          <w:noProof/>
          <w:lang w:val="en-US"/>
        </w:rPr>
        <w:t>(Finley, 2009)</w:t>
      </w:r>
      <w:r w:rsidR="006D4880" w:rsidRPr="00CB1C44">
        <w:rPr>
          <w:rFonts w:ascii="Arial" w:hAnsi="Arial" w:cs="Arial"/>
          <w:lang w:val="en-US"/>
        </w:rPr>
        <w:fldChar w:fldCharType="end"/>
      </w:r>
      <w:r w:rsidR="006D4880" w:rsidRPr="00CB1C44">
        <w:rPr>
          <w:rFonts w:ascii="Arial" w:hAnsi="Arial" w:cs="Arial"/>
          <w:lang w:val="en-US"/>
        </w:rPr>
        <w:t xml:space="preserve">. </w:t>
      </w:r>
      <w:r w:rsidR="002E2470" w:rsidRPr="00CB1C44">
        <w:rPr>
          <w:rFonts w:ascii="Arial" w:hAnsi="Arial" w:cs="Arial"/>
          <w:lang w:val="en-US"/>
        </w:rPr>
        <w:t xml:space="preserve">By </w:t>
      </w:r>
      <w:r w:rsidR="002E2470" w:rsidRPr="00CB1C44">
        <w:rPr>
          <w:rFonts w:ascii="Arial" w:hAnsi="Arial" w:cs="Arial"/>
          <w:lang w:val="en-US"/>
        </w:rPr>
        <w:lastRenderedPageBreak/>
        <w:t>u</w:t>
      </w:r>
      <w:r w:rsidR="00090D1D" w:rsidRPr="00CB1C44">
        <w:rPr>
          <w:rFonts w:ascii="Arial" w:hAnsi="Arial" w:cs="Arial"/>
          <w:lang w:val="en-US"/>
        </w:rPr>
        <w:t xml:space="preserve">sing BTB domain, Keap1 can form homodimers to bind </w:t>
      </w:r>
      <w:r w:rsidR="00E924CE" w:rsidRPr="00CB1C44">
        <w:rPr>
          <w:rFonts w:ascii="Arial" w:hAnsi="Arial" w:cs="Arial"/>
          <w:lang w:val="en-US"/>
        </w:rPr>
        <w:t>Cullin3 (</w:t>
      </w:r>
      <w:r w:rsidR="00090D1D" w:rsidRPr="00CB1C44">
        <w:rPr>
          <w:rFonts w:ascii="Arial" w:hAnsi="Arial" w:cs="Arial"/>
          <w:lang w:val="en-US"/>
        </w:rPr>
        <w:t>Cul3</w:t>
      </w:r>
      <w:r w:rsidR="00E924CE" w:rsidRPr="00CB1C44">
        <w:rPr>
          <w:rFonts w:ascii="Arial" w:hAnsi="Arial" w:cs="Arial"/>
          <w:lang w:val="en-US"/>
        </w:rPr>
        <w:t>)</w:t>
      </w:r>
      <w:r w:rsidR="00090D1D" w:rsidRPr="00CB1C44">
        <w:rPr>
          <w:rFonts w:ascii="Arial" w:hAnsi="Arial" w:cs="Arial"/>
          <w:lang w:val="en-US"/>
        </w:rPr>
        <w:t>,</w:t>
      </w:r>
      <w:r w:rsidR="006D4880" w:rsidRPr="00CB1C44">
        <w:rPr>
          <w:rFonts w:ascii="Arial" w:hAnsi="Arial" w:cs="Arial"/>
          <w:lang w:val="en-US"/>
        </w:rPr>
        <w:t xml:space="preserve"> an adaptor to Cul3-type E3 ubiquitin ligase complex, resulting in Nrf2 ubiquitination (Cullinan et al., 2004)</w:t>
      </w:r>
      <w:r w:rsidR="00094304" w:rsidRPr="00CB1C44">
        <w:rPr>
          <w:rFonts w:ascii="Arial" w:hAnsi="Arial" w:cs="Arial"/>
          <w:lang w:val="en-US"/>
        </w:rPr>
        <w:t xml:space="preserve">, </w:t>
      </w:r>
      <w:r w:rsidR="002E2470" w:rsidRPr="00CB1C44">
        <w:rPr>
          <w:rFonts w:ascii="Arial" w:hAnsi="Arial" w:cs="Arial"/>
          <w:lang w:val="en-US"/>
        </w:rPr>
        <w:t>while by</w:t>
      </w:r>
      <w:r w:rsidR="00090D1D" w:rsidRPr="00CB1C44">
        <w:rPr>
          <w:rFonts w:ascii="Arial" w:hAnsi="Arial" w:cs="Arial"/>
          <w:lang w:val="en-US"/>
        </w:rPr>
        <w:t xml:space="preserve"> using the DGR domain, two Keap1 proteins can bind one Nrf2 protein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{"citationItems":[{"id":"ITEM-1","itemData":{"DOI":"10.1515/BC.2006.164","ISBN":"1431-6730","ISSN":"14316730","PMID":"17081101","abstract":"Cells are equipped with a number of transcriptional factors that safeguard against various environmental insults. Proteasomal protein degradation plays an important role in the Keap1-Nrf2 cytoprotection system, with molecular machinery similar to that for other environmental defense systems such as inflammatory and hypoxic responses. While Nrf2 protein stabilization is known to be redox-sensitive, the transcription factors NF-kappaB and HIF-1alpha for inflammatory and hypoxic responses, respectively, are also influenced by the cellular redox conditions. In this review we present the recently proposed two-site substrate recognition model of the Keap1-Nrf2 system, which regulates the cellular responses against oxidative and xenobiotic stresses. The implications of two destructive motifs in Nrf2, the ETGE and DLG motifs, which appear to function as a hinge and latch attenuating Keap1 activity in different redox states, are discussed.","author":[{"dropping-particle":"","family":"Tong","given":"Kit I.","non-dropping-particle":"","parse-names":false,"suffix":""},{"dropping-particle":"","family":"Kobayashi","given":"Akira","non-dropping-particle":"","parse-names":false,"suffix":""},{"dropping-particle":"","family":"Katsuoka","given":"Fumiki","non-dropping-particle":"","parse-names":false,"suffix":""},{"dropping-particle":"","family":"Yamamoto","given":"Masayuki","non-dropping-particle":"","parse-names":false,"suffix":""}],"container-title":"Biological Chemistry","id":"ITEM-1","issue":"10-11","issued":{"date-parts":[["2006"]]},"page":"1311-1320","title":"Two-site substrate recognition model for the Keap1-Nrf2 system: A hinge and latch mechanism","type":"paper-conference","volume":"387"},"uris":["http://www.mendeley.com/documents/?uuid=cd16cb5e-a5e0-408b-8b5c-fde68e4977ce"]}],"mendeley":{"formattedCitation":"(Kit I. Tong et al., 2006)","plainTextFormattedCitation":"(Kit I. Tong et al., 2006)","previouslyFormattedCitation":"(Kit I. Tong et al., 2006)"},"properties":{"noteIndex":0},"schema":"https://github.com/citation-style-language/schema/raw/master/csl-citation.json"}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(Kit I. Tong et al., 2006)</w:t>
      </w:r>
      <w:r w:rsidR="00844011" w:rsidRPr="00CB1C44">
        <w:rPr>
          <w:rFonts w:ascii="Arial" w:hAnsi="Arial" w:cs="Arial"/>
          <w:lang w:val="en-US"/>
        </w:rPr>
        <w:fldChar w:fldCharType="end"/>
      </w:r>
      <w:r w:rsidR="006E1DD6" w:rsidRPr="00CB1C44">
        <w:rPr>
          <w:rFonts w:ascii="Arial" w:hAnsi="Arial" w:cs="Arial"/>
          <w:lang w:val="en-US"/>
        </w:rPr>
        <w:t xml:space="preserve"> (Figure 1B,C)</w:t>
      </w:r>
      <w:r w:rsidR="00090D1D" w:rsidRPr="00CB1C44">
        <w:rPr>
          <w:rFonts w:ascii="Arial" w:hAnsi="Arial" w:cs="Arial"/>
          <w:lang w:val="en-US"/>
        </w:rPr>
        <w:t xml:space="preserve">. </w:t>
      </w:r>
    </w:p>
    <w:p w14:paraId="55593EE2" w14:textId="22557E9C" w:rsidR="00E924CE" w:rsidRPr="00CB1C44" w:rsidRDefault="00E924CE" w:rsidP="004038B5">
      <w:pPr>
        <w:spacing w:after="0" w:line="360" w:lineRule="auto"/>
        <w:jc w:val="both"/>
        <w:rPr>
          <w:rFonts w:ascii="Arial" w:hAnsi="Arial" w:cs="Arial"/>
          <w:lang w:val="en-US"/>
        </w:rPr>
      </w:pPr>
      <w:r w:rsidRPr="00CB1C44">
        <w:rPr>
          <w:rFonts w:ascii="Arial" w:hAnsi="Arial" w:cs="Arial"/>
          <w:lang w:val="en-US"/>
        </w:rPr>
        <w:t>U</w:t>
      </w:r>
      <w:r w:rsidR="00673609" w:rsidRPr="00CB1C44">
        <w:rPr>
          <w:rFonts w:ascii="Arial" w:hAnsi="Arial" w:cs="Arial"/>
          <w:lang w:val="en-US"/>
        </w:rPr>
        <w:t>nder physio</w:t>
      </w:r>
      <w:r w:rsidR="001C6E30" w:rsidRPr="00CB1C44">
        <w:rPr>
          <w:rFonts w:ascii="Arial" w:hAnsi="Arial" w:cs="Arial"/>
          <w:lang w:val="en-US"/>
        </w:rPr>
        <w:t>logical conditions, Nrf2 is mostly</w:t>
      </w:r>
      <w:r w:rsidR="00673609" w:rsidRPr="00CB1C44">
        <w:rPr>
          <w:rFonts w:ascii="Arial" w:hAnsi="Arial" w:cs="Arial"/>
          <w:lang w:val="en-US"/>
        </w:rPr>
        <w:t xml:space="preserve"> </w:t>
      </w:r>
      <w:r w:rsidR="001C6E30" w:rsidRPr="00CB1C44">
        <w:rPr>
          <w:rFonts w:ascii="Arial" w:hAnsi="Arial" w:cs="Arial"/>
          <w:lang w:val="en-US"/>
        </w:rPr>
        <w:t>located in</w:t>
      </w:r>
      <w:r w:rsidR="00673609" w:rsidRPr="00CB1C44">
        <w:rPr>
          <w:rFonts w:ascii="Arial" w:hAnsi="Arial" w:cs="Arial"/>
          <w:lang w:val="en-US"/>
        </w:rPr>
        <w:t xml:space="preserve"> </w:t>
      </w:r>
      <w:r w:rsidR="0090249D" w:rsidRPr="00CB1C44">
        <w:rPr>
          <w:rFonts w:ascii="Arial" w:hAnsi="Arial" w:cs="Arial"/>
          <w:lang w:val="en-US"/>
        </w:rPr>
        <w:t xml:space="preserve">the </w:t>
      </w:r>
      <w:r w:rsidR="00673609" w:rsidRPr="00CB1C44">
        <w:rPr>
          <w:rFonts w:ascii="Arial" w:hAnsi="Arial" w:cs="Arial"/>
          <w:lang w:val="en-US"/>
        </w:rPr>
        <w:t>cytosol due</w:t>
      </w:r>
      <w:r w:rsidR="00E15DF4" w:rsidRPr="00CB1C44">
        <w:rPr>
          <w:rFonts w:ascii="Arial" w:hAnsi="Arial" w:cs="Arial"/>
          <w:lang w:val="en-US"/>
        </w:rPr>
        <w:t xml:space="preserve"> to</w:t>
      </w:r>
      <w:r w:rsidR="00673609" w:rsidRPr="00CB1C44">
        <w:rPr>
          <w:rFonts w:ascii="Arial" w:hAnsi="Arial" w:cs="Arial"/>
          <w:lang w:val="en-US"/>
        </w:rPr>
        <w:t xml:space="preserve"> its interaction with Keap1 protein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{"citationItems":[{"id":"ITEM-1","itemData":{"DOI":"10.1101/gad.13.1.76","ISBN":"0890-9369 (Print)\\n0890-9369 (Linking)","ISSN":"08909369","PMID":"9887101","abstract":"Transcription factor Nrf2 is essential for the antioxidant responsive element (ARE)-mediated induction of phase II detoxifying and oxidative stress enzyme genes. Detailed analysis of differential Nrf2 activity displayed in transfected cell lines ultimately led to the identification of a new protein, which we named Keap1, that suppresses Nrf2 transcriptional activity by specific binding to its evolutionarily conserved amino-terminal regulatory domain. The closest homolog of Keap1 is a Drosophila actin-binding protein called Kelch, implying that Keap1 might be a Nrf2 cytoplasmic effector. We then showed that electrophilic agents antagonize Keap1 inhibition of Nrf2 activity in vivo, allowing Nrf2 to traverse from the cytoplasm to the nucleus and potentiate the ARE response. We postulate that Keap1 and Nrf2 constitute a crucial cellular sensor for oxidative stress, and together mediate a key step in the signaling pathway that leads to transcriptional activation by this novel Nrf2 nuclear shuttling mechanism. The activation of Nrf2 leads in turn to the induction of phase II enzyme and antioxidative stress genes in response to electrophiles and reactive oxygen species.","author":[{"dropping-particle":"","family":"Itoh","given":"Ken","non-dropping-particle":"","parse-names":false,"suffix":""},{"dropping-particle":"","family":"Wakabayashi","given":"Nobunao","non-dropping-particle":"","parse-names":false,"suffix":""},{"dropping-particle":"","family":"Katoh","given":"Yasutake","non-dropping-particle":"","parse-names":false,"suffix":""},{"dropping-particle":"","family":"Ishii","given":"Tetsuro","non-dropping-particle":"","parse-names":false,"suffix":""},{"dropping-particle":"","family":"Igarashi","given":"Kazuhiko","non-dropping-particle":"","parse-names":false,"suffix":""},{"dropping-particle":"","family":"Engel","given":"James Douglas","non-dropping-particle":"","parse-names":false,"suffix":""},{"dropping-particle":"","family":"Yamamoto","given":"Masayuki","non-dropping-particle":"","parse-names":false,"suffix":""}],"container-title":"Genes and Development","id":"ITEM-1","issue":"1","issued":{"date-parts":[["1999"]]},"page":"76-86","title":"Keap1 represses nuclear activation of antioxidant responsive elements by Nrf2 through binding to the amino-terminal Neh2 domain","type":"article-journal","volume":"13"},"uris":["http://www.mendeley.com/documents/?uuid=a9ee8a58-139f-4d6e-bf9d-08f84d567a03"]}],"mendeley":{"formattedCitation":"(Itoh et al., 1999)","plainTextFormattedCitation":"(Itoh et al., 1999)","previouslyFormattedCitation":"(Itoh et al., 1999)"},"properties":{"noteIndex":0},"schema":"https://github.com/citation-style-language/schema/raw/master/csl-citation.json"}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(Itoh et al., 1999)</w:t>
      </w:r>
      <w:r w:rsidR="00844011" w:rsidRPr="00CB1C44">
        <w:rPr>
          <w:rFonts w:ascii="Arial" w:hAnsi="Arial" w:cs="Arial"/>
          <w:lang w:val="en-US"/>
        </w:rPr>
        <w:fldChar w:fldCharType="end"/>
      </w:r>
      <w:r w:rsidR="00673609" w:rsidRPr="00CB1C44">
        <w:rPr>
          <w:rFonts w:ascii="Arial" w:hAnsi="Arial" w:cs="Arial"/>
          <w:lang w:val="en-US"/>
        </w:rPr>
        <w:t>.</w:t>
      </w:r>
      <w:r w:rsidR="001C6E30" w:rsidRPr="00CB1C44">
        <w:rPr>
          <w:rFonts w:ascii="Arial" w:hAnsi="Arial" w:cs="Arial"/>
          <w:lang w:val="en-US"/>
        </w:rPr>
        <w:t xml:space="preserve"> </w:t>
      </w:r>
      <w:r w:rsidR="0072318F" w:rsidRPr="00CB1C44">
        <w:rPr>
          <w:rFonts w:ascii="Arial" w:hAnsi="Arial" w:cs="Arial"/>
          <w:lang w:val="en-US"/>
        </w:rPr>
        <w:t xml:space="preserve">Under </w:t>
      </w:r>
      <w:r w:rsidR="007B1539" w:rsidRPr="00CB1C44">
        <w:rPr>
          <w:rFonts w:ascii="Arial" w:hAnsi="Arial" w:cs="Arial"/>
          <w:lang w:val="en-US"/>
        </w:rPr>
        <w:t xml:space="preserve">oxidative </w:t>
      </w:r>
      <w:r w:rsidR="0072318F" w:rsidRPr="00CB1C44">
        <w:rPr>
          <w:rFonts w:ascii="Arial" w:hAnsi="Arial" w:cs="Arial"/>
          <w:lang w:val="en-US"/>
        </w:rPr>
        <w:t xml:space="preserve">stress conditions, </w:t>
      </w:r>
      <w:r w:rsidR="00A64F0B" w:rsidRPr="00CB1C44">
        <w:rPr>
          <w:rFonts w:ascii="Arial" w:hAnsi="Arial" w:cs="Arial"/>
          <w:lang w:val="en-US"/>
        </w:rPr>
        <w:t xml:space="preserve">as excessive ROS production, </w:t>
      </w:r>
      <w:r w:rsidR="0072318F" w:rsidRPr="00CB1C44">
        <w:rPr>
          <w:rFonts w:ascii="Arial" w:hAnsi="Arial" w:cs="Arial"/>
          <w:lang w:val="en-US"/>
        </w:rPr>
        <w:t>Nrf2 disconnects from Keap1 and migrates to the nucleus,</w:t>
      </w:r>
      <w:r w:rsidR="006D4880" w:rsidRPr="00CB1C44">
        <w:rPr>
          <w:rFonts w:ascii="Arial" w:hAnsi="Arial" w:cs="Arial"/>
          <w:lang w:val="en-US"/>
        </w:rPr>
        <w:t xml:space="preserve"> as described in section 2.1 and 2.2,</w:t>
      </w:r>
      <w:r w:rsidR="0072318F" w:rsidRPr="00CB1C44">
        <w:rPr>
          <w:rFonts w:ascii="Arial" w:hAnsi="Arial" w:cs="Arial"/>
          <w:lang w:val="en-US"/>
        </w:rPr>
        <w:t xml:space="preserve"> where </w:t>
      </w:r>
      <w:r w:rsidR="00F03912" w:rsidRPr="00CB1C44">
        <w:rPr>
          <w:rFonts w:ascii="Arial" w:hAnsi="Arial" w:cs="Arial"/>
          <w:lang w:val="en-US"/>
        </w:rPr>
        <w:t xml:space="preserve">it </w:t>
      </w:r>
      <w:r w:rsidR="0072318F" w:rsidRPr="00CB1C44">
        <w:rPr>
          <w:rFonts w:ascii="Arial" w:hAnsi="Arial" w:cs="Arial"/>
          <w:lang w:val="en-US"/>
        </w:rPr>
        <w:t xml:space="preserve">can </w:t>
      </w:r>
      <w:r w:rsidR="00F03912" w:rsidRPr="00CB1C44">
        <w:rPr>
          <w:rFonts w:ascii="Arial" w:hAnsi="Arial" w:cs="Arial"/>
          <w:lang w:val="en-US"/>
        </w:rPr>
        <w:t>dimerize</w:t>
      </w:r>
      <w:r w:rsidR="0072318F" w:rsidRPr="00CB1C44">
        <w:rPr>
          <w:rFonts w:ascii="Arial" w:hAnsi="Arial" w:cs="Arial"/>
          <w:lang w:val="en-US"/>
        </w:rPr>
        <w:t xml:space="preserve"> with small </w:t>
      </w:r>
      <w:proofErr w:type="spellStart"/>
      <w:r w:rsidR="0072318F" w:rsidRPr="00CB1C44">
        <w:rPr>
          <w:rFonts w:ascii="Arial" w:hAnsi="Arial" w:cs="Arial"/>
          <w:lang w:val="en-US"/>
        </w:rPr>
        <w:t>Maf</w:t>
      </w:r>
      <w:proofErr w:type="spellEnd"/>
      <w:r w:rsidR="0072318F" w:rsidRPr="00CB1C44">
        <w:rPr>
          <w:rFonts w:ascii="Arial" w:hAnsi="Arial" w:cs="Arial"/>
          <w:lang w:val="en-US"/>
        </w:rPr>
        <w:t xml:space="preserve"> family members</w:t>
      </w:r>
      <w:r w:rsidR="00B65BB2" w:rsidRPr="00CB1C44">
        <w:rPr>
          <w:rFonts w:ascii="Arial" w:hAnsi="Arial" w:cs="Arial"/>
          <w:lang w:val="en-US"/>
        </w:rPr>
        <w:t xml:space="preserve"> </w:t>
      </w:r>
      <w:r w:rsidR="0072318F" w:rsidRPr="00CB1C44">
        <w:rPr>
          <w:rFonts w:ascii="Arial" w:hAnsi="Arial" w:cs="Arial"/>
          <w:lang w:val="en-US"/>
        </w:rPr>
        <w:t xml:space="preserve">and </w:t>
      </w:r>
      <w:r w:rsidR="00B65BB2" w:rsidRPr="00CB1C44">
        <w:rPr>
          <w:rFonts w:ascii="Arial" w:hAnsi="Arial" w:cs="Arial"/>
          <w:lang w:val="en-US"/>
        </w:rPr>
        <w:t>bind to</w:t>
      </w:r>
      <w:r w:rsidR="00A32FDA" w:rsidRPr="00CB1C44">
        <w:rPr>
          <w:rFonts w:ascii="Arial" w:hAnsi="Arial" w:cs="Arial"/>
          <w:lang w:val="en-US"/>
        </w:rPr>
        <w:t xml:space="preserve"> ARE</w:t>
      </w:r>
      <w:r w:rsidR="00B65BB2"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{"citationItems":[{"id":"ITEM-1","itemData":{"DOI":"10.1006/bbrc.1997.6943","ISBN":"0006-291X (Print)\\n0006-291X (Linking)","ISSN":"0006291X","PMID":"9240432","abstract":"The induction of phase II detoxifying enzymes is an important defense mechanism against intake of xenobiotics. While this group of enzymes is believed to be under the transcriptional control of antioxidant response elements (AREs), this contention is experimentally unconfirmed. Since the ARE resembles the binding sequence of erythroid transcription factor NF-E2, we investigated the possibility that the phase II enzyme genes might be regulated by transcription factors that also bind to the NF-E2 sequence. The expression profiles of a number of transcription factors suggest that an Nrf2/small Maf heterodimer is the most likely candidate to fulfill this rolein vivo.To directly test these questions, we disrupted the murinenrf2 genein vivo.While the expression of phase II enzymes (e.g., glutathione S-transferase and NAD(P)H: quinone oxidoreductase) was markedly induced by a phenolic antioxidantin vivoin both wild type and heterozygous mutant mice, the induction was largely eliminated in the liver and intestine of homozygousnrf2-mutant mice. Nrf2 was found to bind to the ARE with high affinity only as a heterodimer with a small Maf protein, suggesting that Nrf2/small Maf activates gene expression directly through the ARE. These results demonstrate that Nrf2 is essential for the transcriptional induction of phase II enzymes and the presence of a coordinate transcriptional regulatory mechanism for phase II enzyme genes. Thenrf2-deficient mice may prove to be a very useful model for thein vivoanalysis of chemical carcinogenesis and resistance to anti-cancer drugs.","author":[{"dropping-particle":"","family":"Itoh","given":"Ken","non-dropping-particle":"","parse-names":false,"suffix":""},{"dropping-particle":"","family":"Chiba","given":"Tomoki","non-dropping-particle":"","parse-names":false,"suffix":""},{"dropping-particle":"","family":"Takahashi","given":"Satoru","non-dropping-particle":"","parse-names":false,"suffix":""},{"dropping-particle":"","family":"Ishii","given":"Tetsuro","non-dropping-particle":"","parse-names":false,"suffix":""},{"dropping-particle":"","family":"Igarashi","given":"Kazuhiko","non-dropping-particle":"","parse-names":false,"suffix":""},{"dropping-particle":"","family":"Katoh","given":"Yasutake","non-dropping-particle":"","parse-names":false,"suffix":""},{"dropping-particle":"","family":"Oyake","given":"Tatsuya","non-dropping-particle":"","parse-names":false,"suffix":""},{"dropping-particle":"","family":"Hayashi","given":"Norio","non-dropping-particle":"","parse-names":false,"suffix":""},{"dropping-particle":"","family":"Satoh","given":"Kimihiko","non-dropping-particle":"","parse-names":false,"suffix":""},{"dropping-particle":"","family":"Hatayama","given":"Ichiro","non-dropping-particle":"","parse-names":false,"suffix":""},{"dropping-particle":"","family":"Yamamoto","given":"Masayuki","non-dropping-particle":"","parse-names":false,"suffix":""},{"dropping-particle":"","family":"Nabeshima","given":"Yo-ichi","non-dropping-particle":"","parse-names":false,"suffix":""}],"container-title":"Biochemical and Biophysical Research Communications","id":"ITEM-1","issue":"2","issued":{"date-parts":[["1997","7"]]},"page":"313-322","title":"An Nrf2/Small Maf Heterodimer Mediates the Induction of Phase II Detoxifying Enzyme Genes through Antioxidant Response Elements","type":"article-journal","volume":"236"},"uris":["http://www.mendeley.com/documents/?uuid=53f3915a-35bc-470a-91c3-a88d7cc8f8bb"]}],"mendeley":{"formattedCitation":"(Itoh et al., 1997)","plainTextFormattedCitation":"(Itoh et al., 1997)","previouslyFormattedCitation":"(Itoh et al., 1997)"},"properties":{"noteIndex":0},"schema":"https://github.com/citation-style-language/schema/raw/master/csl-citation.json"}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(Itoh et al., 1997)</w:t>
      </w:r>
      <w:r w:rsidR="00844011" w:rsidRPr="00CB1C44">
        <w:rPr>
          <w:rFonts w:ascii="Arial" w:hAnsi="Arial" w:cs="Arial"/>
          <w:lang w:val="en-US"/>
        </w:rPr>
        <w:fldChar w:fldCharType="end"/>
      </w:r>
      <w:r w:rsidR="00AB0DF6" w:rsidRPr="00CB1C44">
        <w:rPr>
          <w:rFonts w:ascii="Arial" w:hAnsi="Arial" w:cs="Arial"/>
          <w:lang w:val="en-US"/>
        </w:rPr>
        <w:t xml:space="preserve"> (Figure 2)</w:t>
      </w:r>
      <w:r w:rsidR="0072318F" w:rsidRPr="00CB1C44">
        <w:rPr>
          <w:rFonts w:ascii="Arial" w:hAnsi="Arial" w:cs="Arial"/>
          <w:lang w:val="en-US"/>
        </w:rPr>
        <w:t>.</w:t>
      </w:r>
      <w:r w:rsidR="00B65BB2" w:rsidRPr="00CB1C44">
        <w:rPr>
          <w:rFonts w:ascii="Arial" w:hAnsi="Arial" w:cs="Arial"/>
          <w:lang w:val="en-US"/>
        </w:rPr>
        <w:t xml:space="preserve"> </w:t>
      </w:r>
      <w:r w:rsidR="001B71C3" w:rsidRPr="00CB1C44">
        <w:rPr>
          <w:rFonts w:ascii="Arial" w:hAnsi="Arial" w:cs="Arial"/>
          <w:lang w:val="en-US"/>
        </w:rPr>
        <w:t xml:space="preserve">When Nrf2 levels are increased in </w:t>
      </w:r>
      <w:r w:rsidR="002E2470" w:rsidRPr="00CB1C44">
        <w:rPr>
          <w:rFonts w:ascii="Arial" w:hAnsi="Arial" w:cs="Arial"/>
          <w:lang w:val="en-US"/>
        </w:rPr>
        <w:t xml:space="preserve">the </w:t>
      </w:r>
      <w:r w:rsidR="001B71C3" w:rsidRPr="00CB1C44">
        <w:rPr>
          <w:rFonts w:ascii="Arial" w:hAnsi="Arial" w:cs="Arial"/>
          <w:lang w:val="en-US"/>
        </w:rPr>
        <w:t>nucleus, the Nrf2-Maf heterodimer can bind to ARE and recruit transcriptional co-activators</w:t>
      </w:r>
      <w:r w:rsidR="00D94D46" w:rsidRPr="00CB1C44">
        <w:rPr>
          <w:rFonts w:ascii="Arial" w:hAnsi="Arial" w:cs="Arial"/>
          <w:lang w:val="en-US"/>
        </w:rPr>
        <w:t xml:space="preserve">, such as CBP or p300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{"citationItems":[{"id":"ITEM-1","itemData":{"DOI":"10.1006/bbrc.2001.5944","ISBN":"0006-291X (Print)\\r0006-291X (Linking)","ISSN":"0006-291X","PMID":"11708801","abstract":"The electrophile response element (EpRE), also referred to as the antioxidant responsive element (ARE), is found in the 5'-regulatory region of a number of genes encoding phase II, drug-metabolizing enzymes. Gene knockout studies have demonstrated the primary regulatory role that an Nrf2:Maf dimer plays by binding to nucleotides within the EpRE consensus sequence. Current models of transcription regulation have also shown the involvement of higher-order transcriptional coactivators, proteins that nucleate around DNA sequence-specific transcription factors, enhancing transcription of the target gene by interacting with components of the basal transcriptional apparatus and by enabling chromatin remodeling. Here, we hypothesized that multiple transcriptional regulators, including: (i) a primary Nrf2-Maf heterodimer, (ii) a proposed secondary, EpRE-specific, p160 family coactivator, ARE-binding protein-1, and (iii) a tertiary coactivator, CBP/p300, nucleate to form a complex at the EpRE that regulates transcription of the dependent gene. To test this hypothesis, we constructed a HepG2 cell line which contains a stably integrated green fluorescent protein (GFP) gene; its inducible expression is regulated by a synthetic TK promoter containing a linked EpRE. To identify the involvement of specific, primary and higher-order transcriptional regulators in the EpRE-mediated regulation of the GFP reporter gene, we microinjected antibodies directed against specific transcription factors into the HepG2/GFP cells and determined their effect upon tBHQ-induced expression of the GFP gene. The results demonstrate that microinjected antibodies directed against Nrf2, MafK, CBP and p300 could each, individually, significantly inhibit tBHQ-induced GFP expression. This directly demonstrates the role that the tertiary regulators, CBP or p300, play in mediating EpRE activation of phase II genes, and also implicates the involvement of secondary, p160 family coactivators. Moreover, we found that the same anti-MafK antibody that blocked induction of the EpRE-regulated GFP gene completely ablated the gel-shift complex that we hypothesize contains an Nrf2:Maf dimer, ARE-binding protein-1, and CBP or p300.","author":[{"dropping-particle":"","family":"Zhu","given":"M","non-dropping-particle":"","parse-names":false,"suffix":""},{"dropping-particle":"","family":"Fahl","given":"W E","non-dropping-particle":"","parse-names":false,"suffix":""}],"container-title":"Biochemical and biophysical research communications","id":"ITEM-1","issue":"1","issued":{"date-parts":[["2001"]]},"page":"212-9","title":"Functional characterization of transcription regulators that interact with the electrophile response element.","type":"article-journal","volume":"289"},"uris":["http://www.mendeley.com/documents/?uuid=6fe61e94-a9fe-4aac-b51b-81a9b963d6a6"]}],"mendeley":{"formattedCitation":"(Zhu and Fahl, 2001)","plainTextFormattedCitation":"(Zhu and Fahl, 2001)","previouslyFormattedCitation":"(Zhu and Fahl, 2001)"},"properties":{"noteIndex":0},"schema":"https://github.com/citation-style-language/schema/raw/master/csl-citation.json"}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(Zhu and Fahl, 2001)</w:t>
      </w:r>
      <w:r w:rsidR="00844011" w:rsidRPr="00CB1C44">
        <w:rPr>
          <w:rFonts w:ascii="Arial" w:hAnsi="Arial" w:cs="Arial"/>
          <w:lang w:val="en-US"/>
        </w:rPr>
        <w:fldChar w:fldCharType="end"/>
      </w:r>
      <w:r w:rsidR="00D94D46" w:rsidRPr="00CB1C44">
        <w:rPr>
          <w:rFonts w:ascii="Arial" w:hAnsi="Arial" w:cs="Arial"/>
          <w:lang w:val="en-US"/>
        </w:rPr>
        <w:t>,</w:t>
      </w:r>
      <w:r w:rsidR="001B71C3" w:rsidRPr="00CB1C44">
        <w:rPr>
          <w:rFonts w:ascii="Arial" w:hAnsi="Arial" w:cs="Arial"/>
          <w:lang w:val="en-US"/>
        </w:rPr>
        <w:t xml:space="preserve"> to promote transcription</w:t>
      </w:r>
      <w:r w:rsidR="00D94D46" w:rsidRPr="00CB1C44">
        <w:rPr>
          <w:rFonts w:ascii="Arial" w:hAnsi="Arial" w:cs="Arial"/>
          <w:lang w:val="en-US"/>
        </w:rPr>
        <w:t xml:space="preserve"> by intrinsic histone acetyltransferase activity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{"citationItems":[{"id":"ITEM-1","itemData":{"DOI":"10.1016/j.bcp.2004.03.045","ISBN":"0006-2952 (Print)\\n0006-2952 (Linking)","ISSN":"00062952","PMID":"15313412","abstract":"The transcriptional coactivators CREB binding protein (CBP) and p300 are key regulators of RNA polymerase II-mediated transcription. Genetic alterations in the genes encoding these regulatory proteins and their functional inactivation have been linked to human disease. Findings in patients, knockout mice and cell-based studies indicate that the ability of these multidomain proteins to acetylate histones and other proteins is critical for many biological processes. Furthermore, despite their high degree of homology, accumulating evidence indicates that CBP and p300 are not completely redundant but also have unique roles in vivo. Recent studies suggest that these functional differences could be due to differential association with other proteins or differences in substrate specificity between these acetyltransferases. Inactivation of the acetyltransferase function of either CBP or p300 in various experimental systems will no doubt teach us more about the specific biological roles of these proteins. Given the wide range of human diseases in which CBP and/or p300 have been implicated, understanding the mechanisms that regulate their activity in vivo could help to develop novel approaches for the development of therapeutic strategies. ?? 2004 Elsevier Inc. All rights reserved.","author":[{"dropping-particle":"","family":"Kalkhoven","given":"Eric","non-dropping-particle":"","parse-names":false,"suffix":""}],"container-title":"Biochemical Pharmacology","id":"ITEM-1","issue":"6","issued":{"date-parts":[["2004"]]},"page":"1145-1155","title":"CBP and p300: HATs for different occasions","type":"paper-conference","volume":"68"},"uris":["http://www.mendeley.com/documents/?uuid=6f4a6cf3-a9a3-48d3-bf63-e538beef998a"]}],"mendeley":{"formattedCitation":"(Kalkhoven, 2004)","plainTextFormattedCitation":"(Kalkhoven, 2004)","previouslyFormattedCitation":"(Kalkhoven,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(Kalkhoven, 2004)</w:t>
      </w:r>
      <w:r w:rsidR="00844011" w:rsidRPr="00CB1C44">
        <w:rPr>
          <w:rFonts w:ascii="Arial" w:hAnsi="Arial" w:cs="Arial"/>
          <w:lang w:val="en-US"/>
        </w:rPr>
        <w:fldChar w:fldCharType="end"/>
      </w:r>
      <w:r w:rsidR="0012730D" w:rsidRPr="00CB1C44">
        <w:rPr>
          <w:rFonts w:ascii="Arial" w:hAnsi="Arial" w:cs="Arial"/>
          <w:lang w:val="en-US"/>
        </w:rPr>
        <w:t xml:space="preserve"> (Figure 2)</w:t>
      </w:r>
      <w:r w:rsidR="001B71C3" w:rsidRPr="00CB1C44">
        <w:rPr>
          <w:rFonts w:ascii="Arial" w:hAnsi="Arial" w:cs="Arial"/>
          <w:lang w:val="en-US"/>
        </w:rPr>
        <w:t>.</w:t>
      </w:r>
    </w:p>
    <w:p w14:paraId="3CBBE292" w14:textId="1B6A22D7" w:rsidR="00166CA2" w:rsidRPr="00CB1C44" w:rsidRDefault="00FC4D96" w:rsidP="00166CA2">
      <w:pPr>
        <w:spacing w:after="0" w:line="360" w:lineRule="auto"/>
        <w:jc w:val="center"/>
        <w:rPr>
          <w:rFonts w:ascii="Arial" w:hAnsi="Arial" w:cs="Arial"/>
          <w:lang w:val="en-US"/>
        </w:rPr>
      </w:pPr>
      <w:r w:rsidRPr="00CB1C44">
        <w:rPr>
          <w:rFonts w:ascii="Arial" w:hAnsi="Arial" w:cs="Arial"/>
          <w:noProof/>
          <w:lang w:eastAsia="pt-PT"/>
        </w:rPr>
        <w:drawing>
          <wp:inline distT="0" distB="0" distL="0" distR="0" wp14:anchorId="51C748E1" wp14:editId="1BF39653">
            <wp:extent cx="5071730" cy="2764465"/>
            <wp:effectExtent l="0" t="0" r="889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o_Figure2.tiff"/>
                    <pic:cNvPicPr/>
                  </pic:nvPicPr>
                  <pic:blipFill rotWithShape="1">
                    <a:blip r:embed="rId9" cstate="print">
                      <a:extLst>
                        <a:ext uri="{28A0092B-C50C-407E-A947-70E740481C1C}">
                          <a14:useLocalDpi xmlns:a14="http://schemas.microsoft.com/office/drawing/2010/main" val="0"/>
                        </a:ext>
                      </a:extLst>
                    </a:blip>
                    <a:srcRect r="6080" b="11226"/>
                    <a:stretch/>
                  </pic:blipFill>
                  <pic:spPr bwMode="auto">
                    <a:xfrm>
                      <a:off x="0" y="0"/>
                      <a:ext cx="5071730" cy="2764465"/>
                    </a:xfrm>
                    <a:prstGeom prst="rect">
                      <a:avLst/>
                    </a:prstGeom>
                    <a:ln>
                      <a:noFill/>
                    </a:ln>
                    <a:extLst>
                      <a:ext uri="{53640926-AAD7-44D8-BBD7-CCE9431645EC}">
                        <a14:shadowObscured xmlns:a14="http://schemas.microsoft.com/office/drawing/2010/main"/>
                      </a:ext>
                    </a:extLst>
                  </pic:spPr>
                </pic:pic>
              </a:graphicData>
            </a:graphic>
          </wp:inline>
        </w:drawing>
      </w:r>
    </w:p>
    <w:p w14:paraId="3F3A2624" w14:textId="4B476D15" w:rsidR="00166CA2" w:rsidRPr="00CB1C44" w:rsidRDefault="00166CA2" w:rsidP="00166CA2">
      <w:pPr>
        <w:spacing w:after="0"/>
        <w:jc w:val="both"/>
        <w:rPr>
          <w:sz w:val="24"/>
          <w:lang w:val="en-US"/>
        </w:rPr>
      </w:pPr>
      <w:r w:rsidRPr="00CB1C44">
        <w:rPr>
          <w:rFonts w:ascii="Arial" w:hAnsi="Arial" w:cs="Arial"/>
          <w:b/>
          <w:sz w:val="20"/>
          <w:szCs w:val="20"/>
          <w:lang w:val="en-US"/>
        </w:rPr>
        <w:t>Figure 2: Simplistic schematic representation of Nrf2 activation.</w:t>
      </w:r>
      <w:r w:rsidRPr="00CB1C44">
        <w:rPr>
          <w:rFonts w:ascii="Arial" w:hAnsi="Arial" w:cs="Arial"/>
          <w:sz w:val="20"/>
          <w:szCs w:val="20"/>
          <w:lang w:val="en-US"/>
        </w:rPr>
        <w:t xml:space="preserve"> Under </w:t>
      </w:r>
      <w:r w:rsidR="0034099D" w:rsidRPr="00CB1C44">
        <w:rPr>
          <w:rFonts w:ascii="Arial" w:hAnsi="Arial" w:cs="Arial"/>
          <w:sz w:val="20"/>
          <w:szCs w:val="20"/>
          <w:lang w:val="en-US"/>
        </w:rPr>
        <w:t>basal/</w:t>
      </w:r>
      <w:r w:rsidRPr="00CB1C44">
        <w:rPr>
          <w:rFonts w:ascii="Arial" w:hAnsi="Arial" w:cs="Arial"/>
          <w:sz w:val="20"/>
          <w:szCs w:val="20"/>
          <w:lang w:val="en-US"/>
        </w:rPr>
        <w:t xml:space="preserve">unstressed conditions Nrf2 is constantly ubiquitinated by Keap1–Cul3 complex resulting in Nrf2 recruitment for proteasomal degradation. </w:t>
      </w:r>
      <w:r w:rsidR="00E403ED" w:rsidRPr="00CB1C44">
        <w:rPr>
          <w:rFonts w:ascii="Arial" w:hAnsi="Arial" w:cs="Arial"/>
          <w:sz w:val="20"/>
          <w:szCs w:val="20"/>
          <w:lang w:val="en-US"/>
        </w:rPr>
        <w:t xml:space="preserve">Under stress </w:t>
      </w:r>
      <w:r w:rsidR="008E4884" w:rsidRPr="00CB1C44">
        <w:rPr>
          <w:rFonts w:ascii="Arial" w:hAnsi="Arial" w:cs="Arial"/>
          <w:sz w:val="20"/>
          <w:szCs w:val="20"/>
          <w:lang w:val="en-US"/>
        </w:rPr>
        <w:t>conditions</w:t>
      </w:r>
      <w:r w:rsidR="00E403ED" w:rsidRPr="00CB1C44">
        <w:rPr>
          <w:rFonts w:ascii="Arial" w:hAnsi="Arial" w:cs="Arial"/>
          <w:sz w:val="20"/>
          <w:szCs w:val="20"/>
          <w:lang w:val="en-US"/>
        </w:rPr>
        <w:t>, Nrf2 can dis</w:t>
      </w:r>
      <w:r w:rsidR="002A5FDF" w:rsidRPr="00CB1C44">
        <w:rPr>
          <w:rFonts w:ascii="Arial" w:hAnsi="Arial" w:cs="Arial"/>
          <w:sz w:val="20"/>
          <w:szCs w:val="20"/>
          <w:lang w:val="en-US"/>
        </w:rPr>
        <w:t>sociate</w:t>
      </w:r>
      <w:r w:rsidR="00E403ED" w:rsidRPr="00CB1C44">
        <w:rPr>
          <w:rFonts w:ascii="Arial" w:hAnsi="Arial" w:cs="Arial"/>
          <w:sz w:val="20"/>
          <w:szCs w:val="20"/>
          <w:lang w:val="en-US"/>
        </w:rPr>
        <w:t xml:space="preserve"> from Keap1</w:t>
      </w:r>
      <w:r w:rsidR="008E4884" w:rsidRPr="00CB1C44">
        <w:rPr>
          <w:rFonts w:ascii="Arial" w:hAnsi="Arial" w:cs="Arial"/>
          <w:sz w:val="20"/>
          <w:szCs w:val="20"/>
          <w:lang w:val="en-US"/>
        </w:rPr>
        <w:t xml:space="preserve">, </w:t>
      </w:r>
      <w:proofErr w:type="spellStart"/>
      <w:r w:rsidRPr="00CB1C44">
        <w:rPr>
          <w:rFonts w:ascii="Arial" w:hAnsi="Arial" w:cs="Arial"/>
          <w:sz w:val="20"/>
          <w:szCs w:val="20"/>
          <w:lang w:val="en-US"/>
        </w:rPr>
        <w:t>translocates</w:t>
      </w:r>
      <w:proofErr w:type="spellEnd"/>
      <w:r w:rsidRPr="00CB1C44">
        <w:rPr>
          <w:rFonts w:ascii="Arial" w:hAnsi="Arial" w:cs="Arial"/>
          <w:sz w:val="20"/>
          <w:szCs w:val="20"/>
          <w:lang w:val="en-US"/>
        </w:rPr>
        <w:t xml:space="preserve"> into the nucleus and promotes the transcription of antioxidant enzymes </w:t>
      </w:r>
      <w:r w:rsidR="002A5FDF" w:rsidRPr="00CB1C44">
        <w:rPr>
          <w:rFonts w:ascii="Arial" w:hAnsi="Arial" w:cs="Arial"/>
          <w:sz w:val="20"/>
          <w:szCs w:val="20"/>
          <w:lang w:val="en-US"/>
        </w:rPr>
        <w:t xml:space="preserve">after </w:t>
      </w:r>
      <w:r w:rsidRPr="00CB1C44">
        <w:rPr>
          <w:rFonts w:ascii="Arial" w:hAnsi="Arial" w:cs="Arial"/>
          <w:sz w:val="20"/>
          <w:szCs w:val="20"/>
          <w:lang w:val="en-US"/>
        </w:rPr>
        <w:t>binding to ARE</w:t>
      </w:r>
      <w:r w:rsidRPr="00CB1C44">
        <w:rPr>
          <w:sz w:val="24"/>
          <w:lang w:val="en-US"/>
        </w:rPr>
        <w:t>.</w:t>
      </w:r>
    </w:p>
    <w:p w14:paraId="37460BB6" w14:textId="77777777" w:rsidR="00166CA2" w:rsidRPr="00CB1C44" w:rsidRDefault="00166CA2" w:rsidP="00166CA2">
      <w:pPr>
        <w:spacing w:after="0" w:line="360" w:lineRule="auto"/>
        <w:jc w:val="both"/>
        <w:rPr>
          <w:rFonts w:ascii="Arial" w:hAnsi="Arial" w:cs="Arial"/>
          <w:lang w:val="en-US"/>
        </w:rPr>
      </w:pPr>
    </w:p>
    <w:p w14:paraId="533625BF" w14:textId="2B9E4432" w:rsidR="00B847A2" w:rsidRPr="00CB1C44" w:rsidRDefault="007C5858" w:rsidP="004038B5">
      <w:pPr>
        <w:spacing w:after="0" w:line="360" w:lineRule="auto"/>
        <w:jc w:val="both"/>
        <w:rPr>
          <w:rFonts w:ascii="Arial" w:hAnsi="Arial" w:cs="Arial"/>
          <w:lang w:val="en-US"/>
        </w:rPr>
      </w:pPr>
      <w:r w:rsidRPr="00CB1C44">
        <w:rPr>
          <w:rFonts w:ascii="Arial" w:hAnsi="Arial" w:cs="Arial"/>
          <w:lang w:val="en-US"/>
        </w:rPr>
        <w:t>ARE is defined as a cis-acting DNA enhancer motif and is positioned in the promoter of antioxidant genes</w:t>
      </w:r>
      <w:r w:rsidR="00832DA7" w:rsidRPr="00CB1C44">
        <w:rPr>
          <w:rFonts w:ascii="Arial" w:hAnsi="Arial" w:cs="Arial"/>
          <w:lang w:val="en-US"/>
        </w:rPr>
        <w:t>,</w:t>
      </w:r>
      <w:r w:rsidRPr="00CB1C44">
        <w:rPr>
          <w:rFonts w:ascii="Arial" w:hAnsi="Arial" w:cs="Arial"/>
          <w:lang w:val="en-US"/>
        </w:rPr>
        <w:t xml:space="preserve"> responsible for cell defense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{"citationItems":[{"id":"ITEM-1","itemData":{"DOI":"10.1042/BJ20030754","ISBN":"1470-8728 (Electronic)\\r0264-6021 (Linking)","ISSN":"1470-8728","PMID":"12816537","abstract":"NQO1 [NAD(P)H:quinone oxidoreductase 1] has an integral role in cellular responses to oxidative stress. The expression of NQO1 is up-regulated in the mouse following challenge with electrophilic chemicals, in an Nrf2 (NF-E2 p45-related factor 2)-dependent fashion, but the molecular basis for this observation remains unexplained. Through characterization of the murine nqo1 5'-upstream region, we now show that Nrf2 regulates this gene directly via an ARE (antioxidant response element) that lies within a 24 bp region spanning nt -444 to -421. A comprehensive mutation study of this ARE revealed that it does not conform to the currently accepted ARE consensus sequence [(5'-TMAnnRTGAYnnnGCRwwww-3', with essential nucleotides shown in capitals); two cytosine residues (shown in bold in the following sequence) that have been designated 'n' previously because they were thought to be redundant (5'-gagTcA C aGTgAGt C ggCAaaatt-3') have now been found to be essential for enhancer activity; two guanines (also shown in bold) previously regarded as essential for ARE function (5'-gagTcACaGT g AGtCg g CAaaatt-3') have proven to be dispensable]. Examination of wild-type and nrf2 (-/-) mouse embryonic fibroblasts demonstrated that Nrf2 is essential for both constitutive expression of NQO1 and its induction by sulphoraphane. Electrophoretic mobility-shift and chromatin immunoprecipitation assays revealed that Nrf2 associates, in low amounts, with the nqo1 ARE under constitutive conditions, and following sulphoraphane challenge of cells, Nrf2 is recruited to the ARE in substantially greater quantities, as a heterodimer with the small Maf (musculoaponeurotic fibrosarcoma virus) protein, MafK. Also, MafK was found to bind the nqo1 ARE in an Nrf2-independent fashion, and may contribute to transcriptional repression of the oxidoreductase gene. These findings allow a model for transcriptional control of nqo1 through the ARE to be proposed. Furthermore, our results indicate that distinct AREs have differential sequence requirements, and a universally applicable consensus sequence cannot be derived.","author":[{"dropping-particle":"","family":"Nioi","given":"Paul","non-dropping-particle":"","parse-names":false,"suffix":""},{"dropping-particle":"","family":"McMahon","given":"Michael","non-dropping-particle":"","parse-names":false,"suffix":""},{"dropping-particle":"","family":"Itoh","given":"Ken","non-dropping-particle":"","parse-names":false,"suffix":""},{"dropping-particle":"","family":"Yamamoto","given":"Masayuki","non-dropping-particle":"","parse-names":false,"suffix":""},{"dropping-particle":"","family":"Hayes","given":"John D","non-dropping-particle":"","parse-names":false,"suffix":""}],"container-title":"The Biochemical journal","id":"ITEM-1","issue":"Pt 2","issued":{"date-parts":[["2003"]]},"page":"337-48","title":"Identification of a novel Nrf2-regulated antioxidant response element (ARE) in the mouse NAD(P)H:quinone oxidoreductase 1 gene: reassessment of the ARE consensus sequence.","type":"article-journal","volume":"374"},"uris":["http://www.mendeley.com/documents/?uuid=cd064c9c-a4d8-4750-a57c-d8ff06eb3751"]}],"mendeley":{"formattedCitation":"(Nioi et al., 2003)","plainTextFormattedCitation":"(Nioi et al., 2003)","previouslyFormattedCitation":"(Nioi et al.,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(Nioi et al., 2003)</w:t>
      </w:r>
      <w:r w:rsidR="00844011" w:rsidRPr="00CB1C44">
        <w:rPr>
          <w:rFonts w:ascii="Arial" w:hAnsi="Arial" w:cs="Arial"/>
          <w:lang w:val="en-US"/>
        </w:rPr>
        <w:fldChar w:fldCharType="end"/>
      </w:r>
      <w:r w:rsidR="00FE0562" w:rsidRPr="00CB1C44">
        <w:rPr>
          <w:rFonts w:ascii="Arial" w:hAnsi="Arial" w:cs="Arial"/>
          <w:lang w:val="en-US"/>
        </w:rPr>
        <w:t xml:space="preserve">, as well as metabolic genes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{"citationItems":[{"id":"ITEM-1","itemData":{"DOI":"10.1093/nar/gks827","ISBN":"1362-4962 (Electronic)\\r0305-1048 (Linking)","ISSN":"03051048","PMID":"22965115","abstract":"NF-E2-related factor 2 (Nrf2) is a key transcription factor that is critical for cellular defense against oxidative and xenobiotic insults. Nrf2 heterodimerizes with small Maf (sMaf) proteins and binds to antioxidant response elements (AREs) to activate a battery of cytoprotective genes. However, it remains unclear to what extent the Nrf2-sMaf heterodimers contribute to ARE-dependent gene regulation on a genome-wide scale. We performed chromatin immunoprecipitation coupled with high-throughput sequencing and identified the binding sites of Nrf2 and MafG throughout the genome. Compared to sites occupied by Nrf2 alone, many sites co-occupied by Nrf2 and MafG exhibit high enrichment and are located in species-conserved genomic regions. The ARE motifs were significantly enriched among the recovered Nrf2-MafG-binding sites but not among the Nrf2-binding sites that did not display MafG binding. The majority of the Nrf2-regulated cytoprotective genes were found in the vicinity of Nrf2-MafG-binding sites. Additionally, sequences that regulate glucose metabolism and several amino acid transporters were identified as Nrf2-MafG target genes, suggesting diverse roles for the Nrf2-MafG heterodimer in stress response. These data clearly support the notion that Nrf2-sMaf heterodimers are complexes that regulate batteries of genes involved in various aspects of cytoprotective and metabolic functions through associated AREs.","author":[{"dropping-particle":"","family":"Hirotsu","given":"Yosuke","non-dropping-particle":"","parse-names":false,"suffix":""},{"dropping-particle":"","family":"Katsuoka","given":"Fumiki","non-dropping-particle":"","parse-names":false,"suffix":""},{"dropping-particle":"","family":"Funayama","given":"Ryo","non-dropping-particle":"","parse-names":false,"suffix":""},{"dropping-particle":"","family":"Nagashima","given":"Takeshi","non-dropping-particle":"","parse-names":false,"suffix":""},{"dropping-particle":"","family":"Nishida","given":"Yuichiro","non-dropping-particle":"","parse-names":false,"suffix":""},{"dropping-particle":"","family":"Nakayama","given":"Keiko","non-dropping-particle":"","parse-names":false,"suffix":""},{"dropping-particle":"","family":"Douglas Engel","given":"James","non-dropping-particle":"","parse-names":false,"suffix":""},{"dropping-particle":"","family":"Yamamoto","given":"Masayuki","non-dropping-particle":"","parse-names":false,"suffix":""}],"container-title":"Nucleic Acids Research","id":"ITEM-1","issue":"20","issued":{"date-parts":[["2012"]]},"page":"10228-10239","title":"Nrf2-MafG heterodimers contribute globally to antioxidant and metabolic networks","type":"article-journal","volume":"40"},"uris":["http://www.mendeley.com/documents/?uuid=151aa05f-4530-45c8-a721-0d102ceb64e8"]}],"mendeley":{"formattedCitation":"(Hirotsu et al., 2012)","plainTextFormattedCitation":"(Hirotsu et al., 2012)","previouslyFormattedCitation":"(Hirotsu et al., 2012)"},"properties":{"noteIndex":0},"schema":"https://github.com/citation-style-language/schema/raw/master/csl-citation.json"}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(Hirotsu et al., 2012)</w:t>
      </w:r>
      <w:r w:rsidR="00844011" w:rsidRPr="00CB1C44">
        <w:rPr>
          <w:rFonts w:ascii="Arial" w:hAnsi="Arial" w:cs="Arial"/>
          <w:lang w:val="en-US"/>
        </w:rPr>
        <w:fldChar w:fldCharType="end"/>
      </w:r>
      <w:r w:rsidR="00FE0562" w:rsidRPr="00CB1C44">
        <w:rPr>
          <w:rFonts w:ascii="Arial" w:hAnsi="Arial" w:cs="Arial"/>
          <w:lang w:val="en-US"/>
        </w:rPr>
        <w:t xml:space="preserve"> and enzymes that metabolize xenobiotics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{"citationItems":[{"id":"ITEM-1","itemData":{"DOI":"10.1093/nar/gkq212","ISBN":"1362-4962 (Electronic)\\r0305-1048 (Linking)","ISSN":"13624962","PMID":"20460467","abstract":"The Nrf2 (nuclear factor E2 p45-related factor 2) transcription factor responds to diverse oxidative and electrophilic environmental stresses by circumventing repression by Keap1, translocating to the nucleus, and activating cytoprotective genes. Nrf2 responses provide protection against chemical carcinogenesis, chronic inflammation, neurodegeneration, emphysema, asthma and sepsis in murine models. Nrf2 regulates the expression of a plethora of genes that detoxify oxidants and electrophiles and repair or remove damaged macromolecules, such as through proteasomal processing. However, many direct targets of Nrf2 remain undefined. Here, mouse embryonic fibroblasts (MEF) with either constitutive nuclear accumulation (Keap1(-/-)) or depletion (Nrf2(-/-)) of Nrf2 were utilized to perform chromatin-immunoprecipitation with parallel sequencing (ChIP-Seq) and global transcription profiling. This unique Nrf2 ChIP-Seq dataset is highly enriched for Nrf2-binding motifs. Integrating ChIP-Seq and microarray analyses, we identified 645 basal and 654 inducible direct targets of Nrf2, with 244 genes at the intersection. Modulated pathways in stress response and cell proliferation distinguish the inducible and basal programs. Results were confirmed in an in vivo stress model of cigarette smoke-exposed mice. This study reveals global circuitry of the Nrf2 stress response emphasizing Nrf2 as a central node in cell survival response.","author":[{"dropping-particle":"","family":"Malhotra","given":"Deepti","non-dropping-particle":"","parse-names":false,"suffix":""},{"dropping-particle":"","family":"Portales-Casamar","given":"Elodie","non-dropping-particle":"","parse-names":false,"suffix":""},{"dropping-particle":"","family":"Singh","given":"Anju","non-dropping-particle":"","parse-names":false,"suffix":""},{"dropping-particle":"","family":"Srivastava","given":"Siddhartha","non-dropping-particle":"","parse-names":false,"suffix":""},{"dropping-particle":"","family":"Arenillas","given":"David","non-dropping-particle":"","parse-names":false,"suffix":""},{"dropping-particle":"","family":"Happel","given":"Christine","non-dropping-particle":"","parse-names":false,"suffix":""},{"dropping-particle":"","family":"Shyr","given":"Casper","non-dropping-particle":"","parse-names":false,"suffix":""},{"dropping-particle":"","family":"Wakabayashi","given":"Nobunao","non-dropping-particle":"","parse-names":false,"suffix":""},{"dropping-particle":"","family":"Kensler","given":"Thomas W.","non-dropping-particle":"","parse-names":false,"suffix":""},{"dropping-particle":"","family":"Wasserman","given":"Wyeth W.","non-dropping-particle":"","parse-names":false,"suffix":""},{"dropping-particle":"","family":"Biswal","given":"Shyam","non-dropping-particle":"","parse-names":false,"suffix":""}],"container-title":"Nucleic Acids Research","id":"ITEM-1","issue":"17","issued":{"date-parts":[["2010"]]},"page":"5718-5734","title":"Global mapping of binding sites for Nrf2 identifies novel targets in cell survival response through chip-seq profiling and network analysis","type":"article-journal","volume":"38"},"uris":["http://www.mendeley.com/documents/?uuid=bdbfd0e5-b0de-44e6-a4fa-fa8ec7cadf19"]}],"mendeley":{"formattedCitation":"(Malhotra et al., 2010)","plainTextFormattedCitation":"(Malhotra et al., 2010)","previouslyFormattedCitation":"(Malhotra et al., 2010)"},"properties":{"noteIndex":0},"schema":"https://github.com/citation-style-language/schema/raw/master/csl-citation.json"}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(Malhotra et al., 2010)</w:t>
      </w:r>
      <w:r w:rsidR="00844011" w:rsidRPr="00CB1C44">
        <w:rPr>
          <w:rFonts w:ascii="Arial" w:hAnsi="Arial" w:cs="Arial"/>
          <w:lang w:val="en-US"/>
        </w:rPr>
        <w:fldChar w:fldCharType="end"/>
      </w:r>
      <w:r w:rsidRPr="00CB1C44">
        <w:rPr>
          <w:rFonts w:ascii="Arial" w:hAnsi="Arial" w:cs="Arial"/>
          <w:lang w:val="en-US"/>
        </w:rPr>
        <w:t>.</w:t>
      </w:r>
      <w:r w:rsidR="00832DA7" w:rsidRPr="00CB1C44">
        <w:rPr>
          <w:rFonts w:ascii="Arial" w:hAnsi="Arial" w:cs="Arial"/>
          <w:lang w:val="en-US"/>
        </w:rPr>
        <w:t xml:space="preserve"> </w:t>
      </w:r>
      <w:r w:rsidR="008040F0" w:rsidRPr="00CB1C44">
        <w:rPr>
          <w:rFonts w:ascii="Arial" w:hAnsi="Arial" w:cs="Arial"/>
          <w:lang w:val="en-US"/>
        </w:rPr>
        <w:t>Thus, binding of Nrf2 to ARE regulates the trans</w:t>
      </w:r>
      <w:r w:rsidR="00DC4856" w:rsidRPr="00CB1C44">
        <w:rPr>
          <w:rFonts w:ascii="Arial" w:hAnsi="Arial" w:cs="Arial"/>
          <w:lang w:val="en-US"/>
        </w:rPr>
        <w:t>criptional activation of important</w:t>
      </w:r>
      <w:r w:rsidR="008040F0" w:rsidRPr="00CB1C44">
        <w:rPr>
          <w:rFonts w:ascii="Arial" w:hAnsi="Arial" w:cs="Arial"/>
          <w:lang w:val="en-US"/>
        </w:rPr>
        <w:t xml:space="preserve"> </w:t>
      </w:r>
      <w:r w:rsidR="00E27C76" w:rsidRPr="00CB1C44">
        <w:rPr>
          <w:rFonts w:ascii="Arial" w:hAnsi="Arial" w:cs="Arial"/>
          <w:lang w:val="en-US"/>
        </w:rPr>
        <w:t xml:space="preserve">antioxidant </w:t>
      </w:r>
      <w:r w:rsidR="008040F0" w:rsidRPr="00CB1C44">
        <w:rPr>
          <w:rFonts w:ascii="Arial" w:hAnsi="Arial" w:cs="Arial"/>
          <w:lang w:val="en-US"/>
        </w:rPr>
        <w:t>enzymes such as NAD(P)</w:t>
      </w:r>
      <w:proofErr w:type="spellStart"/>
      <w:r w:rsidR="008040F0" w:rsidRPr="00CB1C44">
        <w:rPr>
          <w:rFonts w:ascii="Arial" w:hAnsi="Arial" w:cs="Arial"/>
          <w:lang w:val="en-US"/>
        </w:rPr>
        <w:t>H:quinone</w:t>
      </w:r>
      <w:proofErr w:type="spellEnd"/>
      <w:r w:rsidR="008040F0" w:rsidRPr="00CB1C44">
        <w:rPr>
          <w:rFonts w:ascii="Arial" w:hAnsi="Arial" w:cs="Arial"/>
          <w:lang w:val="en-US"/>
        </w:rPr>
        <w:t xml:space="preserve"> dehydrogenase 1 (NQO1), </w:t>
      </w:r>
      <w:r w:rsidR="00B16BC4" w:rsidRPr="00CB1C44">
        <w:rPr>
          <w:rFonts w:ascii="Arial" w:hAnsi="Arial" w:cs="Arial"/>
          <w:lang w:val="en-US"/>
        </w:rPr>
        <w:t>s</w:t>
      </w:r>
      <w:r w:rsidR="008040F0" w:rsidRPr="00CB1C44">
        <w:rPr>
          <w:rFonts w:ascii="Arial" w:hAnsi="Arial" w:cs="Arial"/>
          <w:lang w:val="en-US"/>
        </w:rPr>
        <w:t>uperoxide d</w:t>
      </w:r>
      <w:r w:rsidR="008A5840" w:rsidRPr="00CB1C44">
        <w:rPr>
          <w:rFonts w:ascii="Arial" w:hAnsi="Arial" w:cs="Arial"/>
          <w:lang w:val="en-US"/>
        </w:rPr>
        <w:t>ismutase 1</w:t>
      </w:r>
      <w:r w:rsidR="008040F0" w:rsidRPr="00CB1C44">
        <w:rPr>
          <w:rFonts w:ascii="Arial" w:hAnsi="Arial" w:cs="Arial"/>
          <w:lang w:val="en-US"/>
        </w:rPr>
        <w:t xml:space="preserve"> </w:t>
      </w:r>
      <w:r w:rsidR="008A5840" w:rsidRPr="00CB1C44">
        <w:rPr>
          <w:rFonts w:ascii="Arial" w:hAnsi="Arial" w:cs="Arial"/>
          <w:lang w:val="en-US"/>
        </w:rPr>
        <w:t>(SOD1, Cu/Zn-SOD</w:t>
      </w:r>
      <w:r w:rsidR="008040F0" w:rsidRPr="00CB1C44">
        <w:rPr>
          <w:rFonts w:ascii="Arial" w:hAnsi="Arial" w:cs="Arial"/>
          <w:lang w:val="en-US"/>
        </w:rPr>
        <w:t xml:space="preserve">), </w:t>
      </w:r>
      <w:r w:rsidR="00B16BC4" w:rsidRPr="00CB1C44">
        <w:rPr>
          <w:rFonts w:ascii="Arial" w:hAnsi="Arial" w:cs="Arial"/>
          <w:lang w:val="en-US"/>
        </w:rPr>
        <w:t>g</w:t>
      </w:r>
      <w:r w:rsidR="008040F0" w:rsidRPr="00CB1C44">
        <w:rPr>
          <w:rFonts w:ascii="Arial" w:hAnsi="Arial" w:cs="Arial"/>
          <w:lang w:val="en-US"/>
        </w:rPr>
        <w:t>lutathione peroxidase (G</w:t>
      </w:r>
      <w:r w:rsidR="00705EF3" w:rsidRPr="00CB1C44">
        <w:rPr>
          <w:rFonts w:ascii="Arial" w:hAnsi="Arial" w:cs="Arial"/>
          <w:lang w:val="en-US"/>
        </w:rPr>
        <w:t>SH-</w:t>
      </w:r>
      <w:r w:rsidR="008040F0" w:rsidRPr="00CB1C44">
        <w:rPr>
          <w:rFonts w:ascii="Arial" w:hAnsi="Arial" w:cs="Arial"/>
          <w:lang w:val="en-US"/>
        </w:rPr>
        <w:t xml:space="preserve">Px), </w:t>
      </w:r>
      <w:r w:rsidR="00B16BC4" w:rsidRPr="00CB1C44">
        <w:rPr>
          <w:rFonts w:ascii="Arial" w:hAnsi="Arial" w:cs="Arial"/>
          <w:lang w:val="en-US"/>
        </w:rPr>
        <w:t>g</w:t>
      </w:r>
      <w:r w:rsidR="008040F0" w:rsidRPr="00CB1C44">
        <w:rPr>
          <w:rFonts w:ascii="Arial" w:hAnsi="Arial" w:cs="Arial"/>
          <w:lang w:val="en-US"/>
        </w:rPr>
        <w:t>lutathione reductase (G</w:t>
      </w:r>
      <w:r w:rsidR="00705EF3" w:rsidRPr="00CB1C44">
        <w:rPr>
          <w:rFonts w:ascii="Arial" w:hAnsi="Arial" w:cs="Arial"/>
          <w:lang w:val="en-US"/>
        </w:rPr>
        <w:t>SH-</w:t>
      </w:r>
      <w:r w:rsidR="008040F0" w:rsidRPr="00CB1C44">
        <w:rPr>
          <w:rFonts w:ascii="Arial" w:hAnsi="Arial" w:cs="Arial"/>
          <w:lang w:val="en-US"/>
        </w:rPr>
        <w:t xml:space="preserve">R), </w:t>
      </w:r>
      <w:r w:rsidR="00C5529F" w:rsidRPr="00CB1C44">
        <w:rPr>
          <w:rFonts w:ascii="Arial" w:hAnsi="Arial" w:cs="Arial"/>
          <w:lang w:val="en-US"/>
        </w:rPr>
        <w:t>g</w:t>
      </w:r>
      <w:r w:rsidR="00357568" w:rsidRPr="00CB1C44">
        <w:rPr>
          <w:rFonts w:ascii="Arial" w:hAnsi="Arial" w:cs="Arial"/>
          <w:lang w:val="en-US"/>
        </w:rPr>
        <w:t>lutathione S-tran</w:t>
      </w:r>
      <w:r w:rsidR="00C5529F" w:rsidRPr="00CB1C44">
        <w:rPr>
          <w:rFonts w:ascii="Arial" w:hAnsi="Arial" w:cs="Arial"/>
          <w:lang w:val="en-US"/>
        </w:rPr>
        <w:t>s</w:t>
      </w:r>
      <w:r w:rsidR="00357568" w:rsidRPr="00CB1C44">
        <w:rPr>
          <w:rFonts w:ascii="Arial" w:hAnsi="Arial" w:cs="Arial"/>
          <w:lang w:val="en-US"/>
        </w:rPr>
        <w:t xml:space="preserve">ferase (GSH-T), </w:t>
      </w:r>
      <w:r w:rsidR="00B16BC4" w:rsidRPr="00CB1C44">
        <w:rPr>
          <w:rFonts w:ascii="Arial" w:hAnsi="Arial" w:cs="Arial"/>
          <w:lang w:val="en-US"/>
        </w:rPr>
        <w:t>h</w:t>
      </w:r>
      <w:r w:rsidR="008040F0" w:rsidRPr="00CB1C44">
        <w:rPr>
          <w:rFonts w:ascii="Arial" w:hAnsi="Arial" w:cs="Arial"/>
          <w:lang w:val="en-US"/>
        </w:rPr>
        <w:t>eme oxygenase-1 (HO-1),</w:t>
      </w:r>
      <w:r w:rsidR="00357568" w:rsidRPr="00CB1C44">
        <w:rPr>
          <w:rFonts w:ascii="Arial" w:hAnsi="Arial" w:cs="Arial"/>
          <w:lang w:val="en-US"/>
        </w:rPr>
        <w:t xml:space="preserve"> </w:t>
      </w:r>
      <w:r w:rsidR="00C5529F" w:rsidRPr="00CB1C44">
        <w:rPr>
          <w:rFonts w:ascii="Arial" w:hAnsi="Arial" w:cs="Arial"/>
          <w:lang w:val="en-US"/>
        </w:rPr>
        <w:t>g</w:t>
      </w:r>
      <w:r w:rsidR="00357568" w:rsidRPr="00CB1C44">
        <w:rPr>
          <w:rFonts w:ascii="Arial" w:hAnsi="Arial" w:cs="Arial"/>
          <w:lang w:val="en-US"/>
        </w:rPr>
        <w:t>lucose-6-phosphate dehydrogenase (G6PD),</w:t>
      </w:r>
      <w:r w:rsidR="00B25303" w:rsidRPr="00CB1C44">
        <w:rPr>
          <w:rFonts w:ascii="Arial" w:hAnsi="Arial" w:cs="Arial"/>
          <w:lang w:val="en-US"/>
        </w:rPr>
        <w:t xml:space="preserve"> glutamate-cysteine ligase catalytic </w:t>
      </w:r>
      <w:r w:rsidR="00B25303" w:rsidRPr="00CB1C44">
        <w:rPr>
          <w:rFonts w:ascii="Arial" w:hAnsi="Arial" w:cs="Arial"/>
          <w:lang w:val="en-US"/>
        </w:rPr>
        <w:lastRenderedPageBreak/>
        <w:t>subunit (</w:t>
      </w:r>
      <w:proofErr w:type="spellStart"/>
      <w:r w:rsidR="00B25303" w:rsidRPr="00CB1C44">
        <w:rPr>
          <w:rFonts w:ascii="Arial" w:hAnsi="Arial" w:cs="Arial"/>
          <w:lang w:val="en-US"/>
        </w:rPr>
        <w:t>GCLc</w:t>
      </w:r>
      <w:proofErr w:type="spellEnd"/>
      <w:r w:rsidR="00B25303" w:rsidRPr="00CB1C44">
        <w:rPr>
          <w:rFonts w:ascii="Arial" w:hAnsi="Arial" w:cs="Arial"/>
          <w:lang w:val="en-US"/>
        </w:rPr>
        <w:t xml:space="preserve">), glutamate-cysteine ligase modifier subunit (GCLM), </w:t>
      </w:r>
      <w:r w:rsidR="00C5529F" w:rsidRPr="00CB1C44">
        <w:rPr>
          <w:rFonts w:ascii="Arial" w:hAnsi="Arial" w:cs="Arial"/>
          <w:lang w:val="en-US"/>
        </w:rPr>
        <w:t>s</w:t>
      </w:r>
      <w:r w:rsidR="00357568" w:rsidRPr="00CB1C44">
        <w:rPr>
          <w:rFonts w:ascii="Arial" w:hAnsi="Arial" w:cs="Arial"/>
          <w:lang w:val="en-US"/>
        </w:rPr>
        <w:t xml:space="preserve">ulfotransferases (SULFs), </w:t>
      </w:r>
      <w:r w:rsidR="00C5529F" w:rsidRPr="00CB1C44">
        <w:rPr>
          <w:rFonts w:ascii="Arial" w:hAnsi="Arial" w:cs="Arial"/>
          <w:lang w:val="en-US"/>
        </w:rPr>
        <w:t>t</w:t>
      </w:r>
      <w:r w:rsidR="00357568" w:rsidRPr="00CB1C44">
        <w:rPr>
          <w:rFonts w:ascii="Arial" w:hAnsi="Arial" w:cs="Arial"/>
          <w:lang w:val="en-US"/>
        </w:rPr>
        <w:t>hioredoxin reductase (TR)</w:t>
      </w:r>
      <w:r w:rsidR="00C5529F" w:rsidRPr="00CB1C44">
        <w:rPr>
          <w:rFonts w:ascii="Arial" w:hAnsi="Arial" w:cs="Arial"/>
          <w:lang w:val="en-US"/>
        </w:rPr>
        <w:t xml:space="preserve"> or</w:t>
      </w:r>
      <w:r w:rsidR="00357568" w:rsidRPr="00CB1C44">
        <w:rPr>
          <w:rFonts w:ascii="Arial" w:hAnsi="Arial" w:cs="Arial"/>
          <w:lang w:val="en-US"/>
        </w:rPr>
        <w:t xml:space="preserve"> UDP-glucose dehydrogenase (UGDH)</w:t>
      </w:r>
      <w:r w:rsidR="00B25303"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{"citationItems":[{"id":"ITEM-1","itemData":{"DOI":"10.3390/molecules190710074","ISBN":"1420-3049 (Electronic)\r1420-3049 (Linking)","ISSN":"14203049","PMID":"25014534","abstract":"Extracellular and intracellular oxidants or electrophiles are key contributors to the damages in cellular macromolecules, such as DNA, proteins and lipids. Nrf2 is a master transcription factor that modulates a cellular antioxidant response program and plays an important role in the protection against oxidants and electrophiles. Keap1 is a regulator of Nrf2 by serving as a substrate adaptor for Cullin3-dependent E3 ubiquitin ligase. While Nrf2 activation is a feasible strategy for treatment of age-related diseases, aberrant Nrf2 activation also confers a selective growth advantage of tumor cells during chemotherapy or radiotherapy. In the present review, we provide an overview of the Keap1-Nrf2-ARE system, the domain organization of Nrf2 and Keap1, and the regulatory mechanisms of Nrf2 proteolysis by Keap1. We also discuss how Nrf2 prevents tumor promotion, hampers the sensitivity of selected tumors against chemotherapy or radiotherapy, and reprograms the metabolism to facilitate the tumor proliferation. Finally, we illustrate the current status in the development of Nrf2 chemical activators and inhibitors for the use of potential chemopreventive agents and chemotherapeutic adjuvants, respectively.","author":[{"dropping-particle":"","family":"Keum","given":"Young Sam","non-dropping-particle":"","parse-names":false,"suffix":""},{"dropping-particle":"","family":"Choi","given":"Bu Young","non-dropping-particle":"","parse-names":false,"suffix":""}],"container-title":"Molecules","id":"ITEM-1","issue":"7","issued":{"date-parts":[["2014"]]},"page":"10074-10089","title":"Molecular and chemical regulation of the keap1-Nrf2 signaling pathway","type":"article","volume":"19"},"uris":["http://www.mendeley.com/documents/?uuid=a276a2af-720e-4310-af70-e08b411f3a63"]},{"id":"ITEM-2","itemData":{"DOI":"10.1007/s00018-016-2223-0","ISSN":"14209071","PMID":"27100828","abstract":"The multifunctional regulator nuclear factor erythroid 2-related factor (Nrf2) is considered not only as a cytoprotective factor regulating the expression of genes coding for anti-oxidant, anti-inflammatory and detoxifying proteins, but it is also a powerful modulator of species longevity. The vertebrate Nrf2 belongs to Cap 'n' Collar (Cnc) bZIP family of transcription factors and shares a high homology with SKN-1 from Caenorhabditis elegans or CncC found in Drosophila melanogaster. The major characteristics of Nrf2 are to some extent mimicked by Nrf2-dependent genes and their proteins including heme oxygenase-1 (HO-1), which besides removing toxic heme, produces biliverdin, iron ions and carbon monoxide. HO-1 and their products exert beneficial effects through the protection against oxidative injury, regulation of apoptosis, modulation of inflammation as well as contribution to angiogenesis. On the other hand, the disturbances in the proper HO-1 level are associated with the pathogenesis of some age-dependent disorders, including neurodegeneration, cancer or macular degeneration. This review summarizes our knowledge about Nrf2 and HO-1 across different phyla suggesting their conservative role as stress-protective and anti-aging factors.","author":[{"dropping-particle":"","family":"Loboda","given":"Agnieszka","non-dropping-particle":"","parse-names":false,"suffix":""},{"dropping-particle":"","family":"Damulewicz","given":"Milena","non-dropping-particle":"","parse-names":false,"suffix":""},{"dropping-particle":"","family":"Pyza","given":"Elzbieta","non-dropping-particle":"","parse-names":false,"suffix":""},{"dropping-particle":"","family":"Jozkowicz","given":"Alicja","non-dropping-particle":"","parse-names":false,"suffix":""},{"dropping-particle":"","family":"Dulak","given":"Jozef","non-dropping-particle":"","parse-names":false,"suffix":""}],"container-title":"Cellular and Molecular Life Sciences","id":"ITEM-2","issue":"17","issued":{"date-parts":[["2016"]]},"page":"1-27","publisher":"Springer International Publishing","title":"Role of Nrf2/HO-1 system in development, oxidative stress response and diseases: an evolutionarily conserved mechanism","type":"article-journal","volume":"73"},"uris":["http://www.mendeley.com/documents/?uuid=1e6af86f-fe17-49ae-87ec-d19843606a7d"]}],"mendeley":{"formattedCitation":"(Keum and Choi, 2014; Loboda et al., 2016)","plainTextFormattedCitation":"(Keum and Choi, 2014; Loboda et al., 2016)","previouslyFormattedCitation":"(Keum and Choi, 2014; Loboda et al., 2016)"},"properties":{"noteIndex":0},"schema":"https://github.com/citation-style-language/schema/raw/master/csl-citation.json"}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(Keum and Choi, 2014; Loboda et al., 2016)</w:t>
      </w:r>
      <w:r w:rsidR="00844011" w:rsidRPr="00CB1C44">
        <w:rPr>
          <w:rFonts w:ascii="Arial" w:hAnsi="Arial" w:cs="Arial"/>
          <w:lang w:val="en-US"/>
        </w:rPr>
        <w:fldChar w:fldCharType="end"/>
      </w:r>
      <w:r w:rsidR="008040F0" w:rsidRPr="00CB1C44">
        <w:rPr>
          <w:rFonts w:ascii="Arial" w:hAnsi="Arial" w:cs="Arial"/>
          <w:lang w:val="en-US"/>
        </w:rPr>
        <w:t xml:space="preserve">. </w:t>
      </w:r>
      <w:r w:rsidR="00B16BC4" w:rsidRPr="00CB1C44">
        <w:rPr>
          <w:rFonts w:ascii="Arial" w:hAnsi="Arial" w:cs="Arial"/>
          <w:lang w:val="en-US"/>
        </w:rPr>
        <w:t>Of relevance</w:t>
      </w:r>
      <w:r w:rsidR="000657E2" w:rsidRPr="00CB1C44">
        <w:rPr>
          <w:rFonts w:ascii="Arial" w:hAnsi="Arial" w:cs="Arial"/>
          <w:lang w:val="en-US"/>
        </w:rPr>
        <w:t xml:space="preserve">, Nrf2 </w:t>
      </w:r>
      <w:r w:rsidR="00A23C22" w:rsidRPr="00CB1C44">
        <w:rPr>
          <w:rFonts w:ascii="Arial" w:hAnsi="Arial" w:cs="Arial"/>
          <w:lang w:val="en-US"/>
        </w:rPr>
        <w:t xml:space="preserve">basal </w:t>
      </w:r>
      <w:r w:rsidR="000657E2" w:rsidRPr="00CB1C44">
        <w:rPr>
          <w:rFonts w:ascii="Arial" w:hAnsi="Arial" w:cs="Arial"/>
          <w:lang w:val="en-US"/>
        </w:rPr>
        <w:t>activity</w:t>
      </w:r>
      <w:r w:rsidR="00A23C22" w:rsidRPr="00CB1C44">
        <w:rPr>
          <w:rFonts w:ascii="Arial" w:hAnsi="Arial" w:cs="Arial"/>
          <w:lang w:val="en-US"/>
        </w:rPr>
        <w:t>, as well as Keap1 detachment and nuclear accumulation are</w:t>
      </w:r>
      <w:r w:rsidR="000657E2" w:rsidRPr="00CB1C44">
        <w:rPr>
          <w:rFonts w:ascii="Arial" w:hAnsi="Arial" w:cs="Arial"/>
          <w:lang w:val="en-US"/>
        </w:rPr>
        <w:t xml:space="preserve"> tightly controlled and regulated by different chemical and molecular mechanisms in accordance</w:t>
      </w:r>
      <w:r w:rsidR="00A23C22" w:rsidRPr="00CB1C44">
        <w:rPr>
          <w:rFonts w:ascii="Arial" w:hAnsi="Arial" w:cs="Arial"/>
          <w:lang w:val="en-US"/>
        </w:rPr>
        <w:t xml:space="preserve"> with </w:t>
      </w:r>
      <w:r w:rsidR="00C5529F" w:rsidRPr="00CB1C44">
        <w:rPr>
          <w:rFonts w:ascii="Arial" w:hAnsi="Arial" w:cs="Arial"/>
          <w:lang w:val="en-US"/>
        </w:rPr>
        <w:t xml:space="preserve">the </w:t>
      </w:r>
      <w:r w:rsidR="00A23C22" w:rsidRPr="00CB1C44">
        <w:rPr>
          <w:rFonts w:ascii="Arial" w:hAnsi="Arial" w:cs="Arial"/>
          <w:lang w:val="en-US"/>
        </w:rPr>
        <w:t>cell environment.</w:t>
      </w:r>
      <w:r w:rsidR="00FC2D54" w:rsidRPr="00CB1C44">
        <w:rPr>
          <w:rFonts w:ascii="Arial" w:hAnsi="Arial" w:cs="Arial"/>
          <w:lang w:val="en-US"/>
        </w:rPr>
        <w:t xml:space="preserve"> </w:t>
      </w:r>
    </w:p>
    <w:p w14:paraId="68CE3C49" w14:textId="473F3EEE" w:rsidR="00A6384B" w:rsidRPr="00CB1C44" w:rsidRDefault="00A6384B" w:rsidP="004038B5">
      <w:pPr>
        <w:spacing w:after="0" w:line="360" w:lineRule="auto"/>
        <w:jc w:val="both"/>
        <w:rPr>
          <w:rFonts w:ascii="Arial" w:hAnsi="Arial" w:cs="Arial"/>
          <w:lang w:val="en-US"/>
        </w:rPr>
      </w:pPr>
    </w:p>
    <w:p w14:paraId="5F5304D3" w14:textId="3DE38470" w:rsidR="00AE3434" w:rsidRPr="00CB1C44" w:rsidRDefault="00E924CE" w:rsidP="004038B5">
      <w:pPr>
        <w:spacing w:after="0" w:line="360" w:lineRule="auto"/>
        <w:jc w:val="both"/>
        <w:outlineLvl w:val="0"/>
        <w:rPr>
          <w:rFonts w:ascii="Arial" w:hAnsi="Arial" w:cs="Arial"/>
          <w:b/>
          <w:lang w:val="en-US"/>
        </w:rPr>
      </w:pPr>
      <w:r w:rsidRPr="00CB1C44">
        <w:rPr>
          <w:rFonts w:ascii="Arial" w:hAnsi="Arial" w:cs="Arial"/>
          <w:b/>
          <w:lang w:val="en-US"/>
        </w:rPr>
        <w:t>2</w:t>
      </w:r>
      <w:r w:rsidR="00CB385C" w:rsidRPr="00CB1C44">
        <w:rPr>
          <w:rFonts w:ascii="Arial" w:hAnsi="Arial" w:cs="Arial"/>
          <w:b/>
          <w:lang w:val="en-US"/>
        </w:rPr>
        <w:t>.1</w:t>
      </w:r>
      <w:r w:rsidR="00AE3434" w:rsidRPr="00CB1C44">
        <w:rPr>
          <w:rFonts w:ascii="Arial" w:hAnsi="Arial" w:cs="Arial"/>
          <w:b/>
          <w:lang w:val="en-US"/>
        </w:rPr>
        <w:t xml:space="preserve"> Keap1-dependent </w:t>
      </w:r>
      <w:r w:rsidR="009C5C07" w:rsidRPr="00CB1C44">
        <w:rPr>
          <w:rFonts w:ascii="Arial" w:hAnsi="Arial" w:cs="Arial"/>
          <w:b/>
          <w:lang w:val="en-US"/>
        </w:rPr>
        <w:t>regulation of Nrf2</w:t>
      </w:r>
    </w:p>
    <w:p w14:paraId="545C2C7C" w14:textId="2A400225" w:rsidR="007B0232" w:rsidRPr="00CB1C44" w:rsidRDefault="00E263D0" w:rsidP="004038B5">
      <w:pPr>
        <w:spacing w:after="0" w:line="360" w:lineRule="auto"/>
        <w:jc w:val="both"/>
        <w:rPr>
          <w:rFonts w:ascii="Arial" w:hAnsi="Arial" w:cs="Arial"/>
          <w:lang w:val="en-US"/>
        </w:rPr>
      </w:pPr>
      <w:r w:rsidRPr="00CB1C44">
        <w:rPr>
          <w:rFonts w:ascii="Arial" w:hAnsi="Arial" w:cs="Arial"/>
          <w:lang w:val="en-US"/>
        </w:rPr>
        <w:t>Keap1</w:t>
      </w:r>
      <w:r w:rsidR="00B16BC4" w:rsidRPr="00CB1C44">
        <w:rPr>
          <w:rFonts w:ascii="Arial" w:hAnsi="Arial" w:cs="Arial"/>
          <w:lang w:val="en-US"/>
        </w:rPr>
        <w:t>-</w:t>
      </w:r>
      <w:r w:rsidRPr="00CB1C44">
        <w:rPr>
          <w:rFonts w:ascii="Arial" w:hAnsi="Arial" w:cs="Arial"/>
          <w:lang w:val="en-US"/>
        </w:rPr>
        <w:t xml:space="preserve">Nrf2 interaction </w:t>
      </w:r>
      <w:r w:rsidR="00E924CE" w:rsidRPr="00CB1C44">
        <w:rPr>
          <w:rFonts w:ascii="Arial" w:hAnsi="Arial" w:cs="Arial"/>
          <w:lang w:val="en-US"/>
        </w:rPr>
        <w:t>restrict</w:t>
      </w:r>
      <w:r w:rsidRPr="00CB1C44">
        <w:rPr>
          <w:rFonts w:ascii="Arial" w:hAnsi="Arial" w:cs="Arial"/>
          <w:lang w:val="en-US"/>
        </w:rPr>
        <w:t>s</w:t>
      </w:r>
      <w:r w:rsidR="00E924CE" w:rsidRPr="00CB1C44">
        <w:rPr>
          <w:rFonts w:ascii="Arial" w:hAnsi="Arial" w:cs="Arial"/>
          <w:lang w:val="en-US"/>
        </w:rPr>
        <w:t xml:space="preserve"> th</w:t>
      </w:r>
      <w:r w:rsidRPr="00CB1C44">
        <w:rPr>
          <w:rFonts w:ascii="Arial" w:hAnsi="Arial" w:cs="Arial"/>
          <w:lang w:val="en-US"/>
        </w:rPr>
        <w:t>e</w:t>
      </w:r>
      <w:r w:rsidR="00DC322A" w:rsidRPr="00CB1C44">
        <w:rPr>
          <w:rFonts w:ascii="Arial" w:hAnsi="Arial" w:cs="Arial"/>
          <w:lang w:val="en-US"/>
        </w:rPr>
        <w:t xml:space="preserve"> transcription factor in</w:t>
      </w:r>
      <w:r w:rsidR="00B16BC4" w:rsidRPr="00CB1C44">
        <w:rPr>
          <w:rFonts w:ascii="Arial" w:hAnsi="Arial" w:cs="Arial"/>
          <w:lang w:val="en-US"/>
        </w:rPr>
        <w:t xml:space="preserve"> the</w:t>
      </w:r>
      <w:r w:rsidR="00DC322A" w:rsidRPr="00CB1C44">
        <w:rPr>
          <w:rFonts w:ascii="Arial" w:hAnsi="Arial" w:cs="Arial"/>
          <w:lang w:val="en-US"/>
        </w:rPr>
        <w:t xml:space="preserve"> cytosol </w:t>
      </w:r>
      <w:r w:rsidRPr="00CB1C44">
        <w:rPr>
          <w:rFonts w:ascii="Arial" w:hAnsi="Arial" w:cs="Arial"/>
          <w:lang w:val="en-US"/>
        </w:rPr>
        <w:t xml:space="preserve">and </w:t>
      </w:r>
      <w:r w:rsidR="00FB3545" w:rsidRPr="00CB1C44">
        <w:rPr>
          <w:rFonts w:ascii="Arial" w:hAnsi="Arial" w:cs="Arial"/>
          <w:lang w:val="en-US"/>
        </w:rPr>
        <w:t>regulates</w:t>
      </w:r>
      <w:r w:rsidR="00A74F69" w:rsidRPr="00CB1C44">
        <w:rPr>
          <w:rFonts w:ascii="Arial" w:hAnsi="Arial" w:cs="Arial"/>
          <w:lang w:val="en-US"/>
        </w:rPr>
        <w:t xml:space="preserve"> </w:t>
      </w:r>
      <w:r w:rsidR="00DB02F5" w:rsidRPr="00CB1C44">
        <w:rPr>
          <w:rFonts w:ascii="Arial" w:hAnsi="Arial" w:cs="Arial"/>
          <w:lang w:val="en-US"/>
        </w:rPr>
        <w:t xml:space="preserve">Nrf2 levels by </w:t>
      </w:r>
      <w:r w:rsidR="001A1F7A" w:rsidRPr="00CB1C44">
        <w:rPr>
          <w:rFonts w:ascii="Arial" w:hAnsi="Arial" w:cs="Arial"/>
          <w:lang w:val="en-US"/>
        </w:rPr>
        <w:t xml:space="preserve">promoting </w:t>
      </w:r>
      <w:r w:rsidR="006757CB" w:rsidRPr="00CB1C44">
        <w:rPr>
          <w:rFonts w:ascii="Arial" w:hAnsi="Arial" w:cs="Arial"/>
          <w:lang w:val="en-US"/>
        </w:rPr>
        <w:t xml:space="preserve">its </w:t>
      </w:r>
      <w:r w:rsidR="00DB02F5" w:rsidRPr="00CB1C44">
        <w:rPr>
          <w:rFonts w:ascii="Arial" w:hAnsi="Arial" w:cs="Arial"/>
          <w:lang w:val="en-US"/>
        </w:rPr>
        <w:t>ubiquitin-mediated proteolysis</w:t>
      </w:r>
      <w:r w:rsidR="00E96F1C" w:rsidRPr="00CB1C44">
        <w:rPr>
          <w:rFonts w:ascii="Arial" w:hAnsi="Arial" w:cs="Arial"/>
          <w:lang w:val="en-US"/>
        </w:rPr>
        <w:t>, as described previously</w:t>
      </w:r>
      <w:r w:rsidR="00FB3545"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{"citationItems":[{"id":"ITEM-1","itemData":{"DOI":"10.1101/gad.13.1.76","ISBN":"0890-9369 (Print)\\n0890-9369 (Linking)","ISSN":"08909369","PMID":"9887101","abstract":"Transcription factor Nrf2 is essential for the antioxidant responsive element (ARE)-mediated induction of phase II detoxifying and oxidative stress enzyme genes. Detailed analysis of differential Nrf2 activity displayed in transfected cell lines ultimately led to the identification of a new protein, which we named Keap1, that suppresses Nrf2 transcriptional activity by specific binding to its evolutionarily conserved amino-terminal regulatory domain. The closest homolog of Keap1 is a Drosophila actin-binding protein called Kelch, implying that Keap1 might be a Nrf2 cytoplasmic effector. We then showed that electrophilic agents antagonize Keap1 inhibition of Nrf2 activity in vivo, allowing Nrf2 to traverse from the cytoplasm to the nucleus and potentiate the ARE response. We postulate that Keap1 and Nrf2 constitute a crucial cellular sensor for oxidative stress, and together mediate a key step in the signaling pathway that leads to transcriptional activation by this novel Nrf2 nuclear shuttling mechanism. The activation of Nrf2 leads in turn to the induction of phase II enzyme and antioxidative stress genes in response to electrophiles and reactive oxygen species.","author":[{"dropping-particle":"","family":"Itoh","given":"Ken","non-dropping-particle":"","parse-names":false,"suffix":""},{"dropping-particle":"","family":"Wakabayashi","given":"Nobunao","non-dropping-particle":"","parse-names":false,"suffix":""},{"dropping-particle":"","family":"Katoh","given":"Yasutake","non-dropping-particle":"","parse-names":false,"suffix":""},{"dropping-particle":"","family":"Ishii","given":"Tetsuro","non-dropping-particle":"","parse-names":false,"suffix":""},{"dropping-particle":"","family":"Igarashi","given":"Kazuhiko","non-dropping-particle":"","parse-names":false,"suffix":""},{"dropping-particle":"","family":"Engel","given":"James Douglas","non-dropping-particle":"","parse-names":false,"suffix":""},{"dropping-particle":"","family":"Yamamoto","given":"Masayuki","non-dropping-particle":"","parse-names":false,"suffix":""}],"container-title":"Genes and Development","id":"ITEM-1","issue":"1","issued":{"date-parts":[["1999"]]},"page":"76-86","title":"Keap1 represses nuclear activation of antioxidant responsive elements by Nrf2 through binding to the amino-terminal Neh2 domain","type":"article-journal","volume":"13"},"uris":["http://www.mendeley.com/documents/?uuid=a9ee8a58-139f-4d6e-bf9d-08f84d567a03"]}],"mendeley":{"formattedCitation":"(Itoh et al., 1999)","plainTextFormattedCitation":"(Itoh et al., 1999)","previouslyFormattedCitation":"(Itoh et al., 1999)"},"properties":{"noteIndex":0},"schema":"https://github.com/citation-style-language/schema/raw/master/csl-citation.json"}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(Itoh et al., 1999)</w:t>
      </w:r>
      <w:r w:rsidR="00844011" w:rsidRPr="00CB1C44">
        <w:rPr>
          <w:rFonts w:ascii="Arial" w:hAnsi="Arial" w:cs="Arial"/>
          <w:lang w:val="en-US"/>
        </w:rPr>
        <w:fldChar w:fldCharType="end"/>
      </w:r>
      <w:r w:rsidR="00DB02F5" w:rsidRPr="00CB1C44">
        <w:rPr>
          <w:rFonts w:ascii="Arial" w:hAnsi="Arial" w:cs="Arial"/>
          <w:lang w:val="en-US"/>
        </w:rPr>
        <w:t xml:space="preserve">. </w:t>
      </w:r>
      <w:r w:rsidRPr="00CB1C44">
        <w:rPr>
          <w:rFonts w:ascii="Arial" w:hAnsi="Arial" w:cs="Arial"/>
          <w:lang w:val="en-US"/>
        </w:rPr>
        <w:t>T</w:t>
      </w:r>
      <w:r w:rsidR="00DC322A" w:rsidRPr="00CB1C44">
        <w:rPr>
          <w:rFonts w:ascii="Arial" w:hAnsi="Arial" w:cs="Arial"/>
          <w:lang w:val="en-US"/>
        </w:rPr>
        <w:t>he BTB domain of Keap1</w:t>
      </w:r>
      <w:r w:rsidR="0033012D" w:rsidRPr="00CB1C44">
        <w:rPr>
          <w:rFonts w:ascii="Arial" w:hAnsi="Arial" w:cs="Arial"/>
          <w:lang w:val="en-US"/>
        </w:rPr>
        <w:t>,</w:t>
      </w:r>
      <w:r w:rsidR="00DC322A" w:rsidRPr="00CB1C44">
        <w:rPr>
          <w:rFonts w:ascii="Arial" w:hAnsi="Arial" w:cs="Arial"/>
          <w:lang w:val="en-US"/>
        </w:rPr>
        <w:t xml:space="preserve"> </w:t>
      </w:r>
      <w:r w:rsidR="0033012D" w:rsidRPr="00CB1C44">
        <w:rPr>
          <w:rFonts w:ascii="Arial" w:hAnsi="Arial" w:cs="Arial"/>
          <w:lang w:val="en-US"/>
        </w:rPr>
        <w:t xml:space="preserve">which </w:t>
      </w:r>
      <w:r w:rsidR="009B5879" w:rsidRPr="00CB1C44">
        <w:rPr>
          <w:rFonts w:ascii="Arial" w:hAnsi="Arial" w:cs="Arial"/>
          <w:lang w:val="en-US"/>
        </w:rPr>
        <w:t>facilitate</w:t>
      </w:r>
      <w:r w:rsidR="009610DD" w:rsidRPr="00CB1C44">
        <w:rPr>
          <w:rFonts w:ascii="Arial" w:hAnsi="Arial" w:cs="Arial"/>
          <w:lang w:val="en-US"/>
        </w:rPr>
        <w:t>s</w:t>
      </w:r>
      <w:r w:rsidR="009B5879" w:rsidRPr="00CB1C44">
        <w:rPr>
          <w:rFonts w:ascii="Arial" w:hAnsi="Arial" w:cs="Arial"/>
          <w:lang w:val="en-US"/>
        </w:rPr>
        <w:t xml:space="preserve"> the interaction with Cul3, </w:t>
      </w:r>
      <w:r w:rsidR="00C029D9" w:rsidRPr="00CB1C44">
        <w:rPr>
          <w:rFonts w:ascii="Arial" w:hAnsi="Arial" w:cs="Arial"/>
          <w:lang w:val="en-US"/>
        </w:rPr>
        <w:t>is an adaptor to Cul3-type E3 ubiquitin ligase complex, driving Nrf2</w:t>
      </w:r>
      <w:r w:rsidR="0098097D" w:rsidRPr="00CB1C44">
        <w:rPr>
          <w:rFonts w:ascii="Arial" w:hAnsi="Arial" w:cs="Arial"/>
          <w:lang w:val="en-US"/>
        </w:rPr>
        <w:t xml:space="preserve"> to</w:t>
      </w:r>
      <w:r w:rsidR="00C029D9" w:rsidRPr="00CB1C44">
        <w:rPr>
          <w:rFonts w:ascii="Arial" w:hAnsi="Arial" w:cs="Arial"/>
          <w:lang w:val="en-US"/>
        </w:rPr>
        <w:t xml:space="preserve"> ubiquitination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{"citationItems":[{"id":"ITEM-1","itemData":{"DOI":"10.1128/MCB.24.19.8477-8486.2004","ISBN":"0270-7306","ISSN":"0270-7306","PMID":"15367669","abstract":"The Nrf2 transcription factor promotes survival following cellular insults that trigger oxidative damage. Nrf2 activity is opposed by the BTB/POZ domain protein Keap1. Keap1 is proposed to regulate Nrf2 activity strictly through its capacity to inhibit Nrf2 nuclear import. Recent work suggests that inhibition of Nrf2 may also depend upon ubiquitin-mediated proteolysis. To address the contribution of Keap1-dependent sequestration versus Nrf2 proteolysis, we identified the E3 ligase that regulates Nrf2 ubiquitination. We demonstrate that Keap1 is not solely a cytosolic anchor; rather, Keap1 is an adaptor that bridges Nrf2 to Cul3. We demonstrate that Cul3-Keap1 complexes regulate Nrf2 polyubiquitination both in vitro and in vivo. Inhibition of either Keap1 or Cul3 increases Nrf2 nuclear accumulation, leading to promiscuous activation of Nrf2-dependent gene expression. Our data demonstrate that Keap1 restrains Nrf2 activity via its capacity to target Nrf2 to a cytoplasmic Cul3-based E3 ligase and suggest a model in which Keap1 coordinately regulates both Nrf2 accumulation and access to target genes.","author":[{"dropping-particle":"","family":"Cullinan","given":"Sara B","non-dropping-particle":"","parse-names":false,"suffix":""},{"dropping-particle":"","family":"Gordan","given":"John D","non-dropping-particle":"","parse-names":false,"suffix":""},{"dropping-particle":"","family":"Jin","given":"Jianping","non-dropping-particle":"","parse-names":false,"suffix":""},{"dropping-particle":"","family":"Harper","given":"J Wade","non-dropping-particle":"","parse-names":false,"suffix":""},{"dropping-particle":"","family":"Diehl","given":"J Alan","non-dropping-particle":"","parse-names":false,"suffix":""}],"container-title":"Molecular and cellular biology","id":"ITEM-1","issue":"19","issued":{"date-parts":[["2004"]]},"page":"8477-86","title":"The Keap1-BTB protein is an adaptor that bridges Nrf2 to a Cul3-based E3 ligase: oxidative stress sensing by a Cul3-Keap1 ligase.","type":"article-journal","volume":"24"},"uris":["http://www.mendeley.com/documents/?uuid=6dcfa0a4-b9f9-464a-be16-9dab5062f591"]}],"mendeley":{"formattedCitation":"(Cullinan et al., 2004)","plainTextFormattedCitation":"(Cullinan et al., 2004)","previouslyFormattedCitation":"(Cullinan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(Cullinan et al., 2004)</w:t>
      </w:r>
      <w:r w:rsidR="00844011" w:rsidRPr="00CB1C44">
        <w:rPr>
          <w:rFonts w:ascii="Arial" w:hAnsi="Arial" w:cs="Arial"/>
          <w:lang w:val="en-US"/>
        </w:rPr>
        <w:fldChar w:fldCharType="end"/>
      </w:r>
      <w:r w:rsidR="00C029D9" w:rsidRPr="00CB1C44">
        <w:rPr>
          <w:rFonts w:ascii="Arial" w:hAnsi="Arial" w:cs="Arial"/>
          <w:lang w:val="en-US"/>
        </w:rPr>
        <w:t xml:space="preserve">. This system allows the poly-ubiquitination in the </w:t>
      </w:r>
      <w:r w:rsidR="000175FC" w:rsidRPr="00CB1C44">
        <w:rPr>
          <w:rFonts w:ascii="Arial" w:hAnsi="Arial" w:cs="Arial"/>
          <w:lang w:val="en-US"/>
        </w:rPr>
        <w:t xml:space="preserve">sequence of </w:t>
      </w:r>
      <w:r w:rsidR="00C029D9" w:rsidRPr="00CB1C44">
        <w:rPr>
          <w:rFonts w:ascii="Arial" w:hAnsi="Arial" w:cs="Arial"/>
          <w:lang w:val="en-US"/>
        </w:rPr>
        <w:t xml:space="preserve">lysine </w:t>
      </w:r>
      <w:r w:rsidR="000175FC" w:rsidRPr="00CB1C44">
        <w:rPr>
          <w:rFonts w:ascii="Arial" w:hAnsi="Arial" w:cs="Arial"/>
          <w:lang w:val="en-US"/>
        </w:rPr>
        <w:t xml:space="preserve">(Lys, K) </w:t>
      </w:r>
      <w:r w:rsidR="00C029D9" w:rsidRPr="00CB1C44">
        <w:rPr>
          <w:rFonts w:ascii="Arial" w:hAnsi="Arial" w:cs="Arial"/>
          <w:lang w:val="en-US"/>
        </w:rPr>
        <w:t>residues located in the ETGE-DLG intervening region of Nrf2</w:t>
      </w:r>
      <w:r w:rsidR="009B48A1" w:rsidRPr="00CB1C44">
        <w:rPr>
          <w:rFonts w:ascii="Arial" w:hAnsi="Arial" w:cs="Arial"/>
          <w:lang w:val="en-US"/>
        </w:rPr>
        <w:t>’</w:t>
      </w:r>
      <w:r w:rsidR="00C30AE7" w:rsidRPr="00CB1C44">
        <w:rPr>
          <w:rFonts w:ascii="Arial" w:hAnsi="Arial" w:cs="Arial"/>
          <w:lang w:val="en-US"/>
        </w:rPr>
        <w:t>s</w:t>
      </w:r>
      <w:r w:rsidR="00C029D9" w:rsidRPr="00CB1C44">
        <w:rPr>
          <w:rFonts w:ascii="Arial" w:hAnsi="Arial" w:cs="Arial"/>
          <w:lang w:val="en-US"/>
        </w:rPr>
        <w:t xml:space="preserve"> Neh2 domain</w:t>
      </w:r>
      <w:r w:rsidR="004F0C8A"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{"citationItems":[{"id":"ITEM-1","itemData":{"DOI":"10.1128/MCB.25.1.162-171.2005","ISBN":"0270-7306","ISSN":"0270-7306","PMID":"15601839","abstract":"The concentrations and functions of many eukaryotic proteins are regulated by the ubiquitin pathway, which consists of ubiquitin activation (E1), conjugation (E2), and ligation (E3). Cullins are a family of evolutionarily conserved proteins that assemble by far the largest family of E3 ligase complexes. Cullins, via a conserved C-terminal domain, bind with the RING finger protein Roc1 to recruit the catalytic function of E2. Via a distinct N-terminal domain, individual cullins bind to a protein motif present in multiple proteins to recruit specific substrates. Cullin 3 (Cul3), but not other cullins, binds directly with BTB domains to constitute a potentially large number of BTB-CUL3-ROC1 E3 ubiquitin ligases. Here we report that the human BTB-Kelch protein Keap1, a negative regulator of the antioxidative transcription factor Nrf2, binds to CUL3 and Nrf2 via its BTB and Kelch domains, respectively. The KEAP1-CUL3-ROC1 complex promoted NRF2 ubiquitination in vitro and knocking down Keap1 or CUL3 by short interfering RNA resulted in NRF2 protein accumulation in vivo. We suggest that Keap1 negatively regulates Nrf2 function in part by targeting Nrf2 for ubiquitination by the CUL3-ROC1 ligase and subsequent degradation by the proteasome. Blocking NRF2 degradation in cells expressing both KEAP1 and NRF2 by either inhibiting the proteasome activity or knocking down Cul3, resulted in NRF2 accumulation in the cytoplasm. These results may reconcile previously observed cytoplasmic sequestration of NRF2 by KEAP1 and suggest a possible regulatory step between KEAP1-NRF2 binding and NRF2 degradation.","author":[{"dropping-particle":"","family":"Furukawa","given":"Manabu","non-dropping-particle":"","parse-names":false,"suffix":""},{"dropping-particle":"","family":"Xiong","given":"Yue","non-dropping-particle":"","parse-names":false,"suffix":""}],"container-title":"Molecular and cellular biology","id":"ITEM-1","issue":"1","issued":{"date-parts":[["2005"]]},"page":"162-171","title":"BTB protein Keap1 targets antioxidant transcription factor Nrf2 for ubiquitination by the Cullin 3-Roc1 ligase.","type":"article-journal","volume":"25"},"uris":["http://www.mendeley.com/documents/?uuid=f6726ba7-5a45-4c03-a1b8-c7da88097eb4"]}],"mendeley":{"formattedCitation":"(Furukawa and Xiong, 2005)","plainTextFormattedCitation":"(Furukawa and Xiong, 2005)","previouslyFormattedCitation":"(Furukawa and Xiong, 2005)"},"properties":{"noteIndex":0},"schema":"https://github.com/citation-style-language/schema/raw/master/csl-citation.json"}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(Furukawa and Xiong, 2005)</w:t>
      </w:r>
      <w:r w:rsidR="00844011" w:rsidRPr="00CB1C44">
        <w:rPr>
          <w:rFonts w:ascii="Arial" w:hAnsi="Arial" w:cs="Arial"/>
          <w:lang w:val="en-US"/>
        </w:rPr>
        <w:fldChar w:fldCharType="end"/>
      </w:r>
      <w:r w:rsidR="00C029D9" w:rsidRPr="00CB1C44">
        <w:rPr>
          <w:rFonts w:ascii="Arial" w:hAnsi="Arial" w:cs="Arial"/>
          <w:lang w:val="en-US"/>
        </w:rPr>
        <w:t>.</w:t>
      </w:r>
      <w:r w:rsidR="004F0C8A" w:rsidRPr="00CB1C44">
        <w:rPr>
          <w:rFonts w:ascii="Arial" w:hAnsi="Arial" w:cs="Arial"/>
          <w:lang w:val="en-US"/>
        </w:rPr>
        <w:t xml:space="preserve"> Th</w:t>
      </w:r>
      <w:r w:rsidR="00AB1E7E" w:rsidRPr="00CB1C44">
        <w:rPr>
          <w:rFonts w:ascii="Arial" w:hAnsi="Arial" w:cs="Arial"/>
          <w:lang w:val="en-US"/>
        </w:rPr>
        <w:t>erefore</w:t>
      </w:r>
      <w:r w:rsidR="004F0C8A" w:rsidRPr="00CB1C44">
        <w:rPr>
          <w:rFonts w:ascii="Arial" w:hAnsi="Arial" w:cs="Arial"/>
          <w:lang w:val="en-US"/>
        </w:rPr>
        <w:t>, the poly</w:t>
      </w:r>
      <w:r w:rsidR="00376EA2" w:rsidRPr="00CB1C44">
        <w:rPr>
          <w:rFonts w:ascii="Arial" w:hAnsi="Arial" w:cs="Arial"/>
          <w:lang w:val="en-US"/>
        </w:rPr>
        <w:t>-</w:t>
      </w:r>
      <w:r w:rsidR="004F0C8A" w:rsidRPr="00CB1C44">
        <w:rPr>
          <w:rFonts w:ascii="Arial" w:hAnsi="Arial" w:cs="Arial"/>
          <w:lang w:val="en-US"/>
        </w:rPr>
        <w:t>ubiquitinated Nrf2 can be</w:t>
      </w:r>
      <w:r w:rsidR="008C6D7D" w:rsidRPr="00CB1C44">
        <w:rPr>
          <w:rFonts w:ascii="Arial" w:hAnsi="Arial" w:cs="Arial"/>
          <w:lang w:val="en-US"/>
        </w:rPr>
        <w:t xml:space="preserve"> </w:t>
      </w:r>
      <w:r w:rsidR="00EE752D" w:rsidRPr="00CB1C44">
        <w:rPr>
          <w:rFonts w:ascii="Arial" w:hAnsi="Arial" w:cs="Arial"/>
          <w:lang w:val="en-US"/>
        </w:rPr>
        <w:t xml:space="preserve">degraded by the 26S proteasome </w:t>
      </w:r>
      <w:r w:rsidR="00EE752D"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{"citationItems":[{"id":"ITEM-1","itemData":{"DOI":"10.1128/MCB.24.16.7130","ISBN":"0270-7306 (Print)\\r0270-7306 (Linking)","ISSN":"0270-7306","PMID":"15282312","abstract":"Transcription factor Nrf2 is a major regulator of genes encoding phase 2 detoxifying enzymes and antioxidant stress proteins in response to electrophilic agents and oxidative stress. In the absence of such stimuli, Nrf2 is inactive owing to its cytoplasmic retention by Keap1 and rapid degradation through the proteasome system. We examined the contribution of Keap1 to the rapid turnover of Nrf2 (half-life of less than 20 min) and found that a direct association between Keap1 and Nrf2 is required for Nrf2 degradation. In a series of domain function analyses of Keap1, we found that both the BTB and intervening-region (IVR) domains are crucial for Nrf2 degradation, implying that these two domains act to recruit ubiquitin-proteasome factors. Indeed, Cullin 3 (Cul3), a subunit of the E3 ligase complex, was found to interact specifically with Keap1 in vivo. Keap1 associates with the N-terminal region of Cul3 through the IVR domain and promotes the ubiquitination of Nrf2 in cooperation with the Cul3-Roc1 complex. These results thus provide solid evidence that Keap1 functions as an adaptor of Cul3-based E3 ligase. To our knowledge, Nrf2 and Keap1 are the first reported mammalian substrate and adaptor, respectively, of the Cul3-based E3 ligase system.","author":[{"dropping-particle":"","family":"Kobayashi","given":"Akira","non-dropping-particle":"","parse-names":false,"suffix":""},{"dropping-particle":"","family":"Kang","given":"Moon-Il","non-dropping-particle":"","parse-names":false,"suffix":""},{"dropping-particle":"","family":"Okawa","given":"Hiromi","non-dropping-particle":"","parse-names":false,"suffix":""},{"dropping-particle":"","family":"Ohtsuji","given":"Makiko","non-dropping-particle":"","parse-names":false,"suffix":""},{"dropping-particle":"","family":"Zenke","given":"Yukari","non-dropping-particle":"","parse-names":false,"suffix":""},{"dropping-particle":"","family":"Chiba","given":"Tomoki","non-dropping-particle":"","parse-names":false,"suffix":""},{"dropping-particle":"","family":"Igarashi","given":"Kazuhiko","non-dropping-particle":"","parse-names":false,"suffix":""},{"dropping-particle":"","family":"Yamamoto","given":"Masayuki","non-dropping-particle":"","parse-names":false,"suffix":""}],"container-title":"Molecular and Cellular Biology","id":"ITEM-1","issue":"16","issued":{"date-parts":[["2004"]]},"page":"7130-9","title":"Oxidative stress sensor Keap1 functions as an adaptor for Cul3-based E3 ligase to regulate proteasomal degradation of Nrf2","type":"article-journal","volume":"24"},"uris":["http://www.mendeley.com/documents/?uuid=a386f0e2-8ae8-4a22-ad86-3f272d163d5a"]}],"mendeley":{"formattedCitation":"(Kobayashi et al., 2004)","plainTextFormattedCitation":"(Kobayashi et al., 2004)","previouslyFormattedCitation":"(Kobayashi et al., 2004)"},"properties":{"noteIndex":0},"schema":"https://github.com/citation-style-language/schema/raw/master/csl-citation.json"}</w:instrText>
      </w:r>
      <w:r w:rsidR="00EE752D" w:rsidRPr="00CB1C44">
        <w:rPr>
          <w:rFonts w:ascii="Arial" w:hAnsi="Arial" w:cs="Arial"/>
          <w:lang w:val="en-US"/>
        </w:rPr>
        <w:fldChar w:fldCharType="separate"/>
      </w:r>
      <w:r w:rsidR="00DD645C" w:rsidRPr="00CB1C44">
        <w:rPr>
          <w:rFonts w:ascii="Arial" w:hAnsi="Arial" w:cs="Arial"/>
          <w:noProof/>
          <w:lang w:val="en-US"/>
        </w:rPr>
        <w:t>(Kobayashi et al., 2004)</w:t>
      </w:r>
      <w:r w:rsidR="00EE752D" w:rsidRPr="00CB1C44">
        <w:rPr>
          <w:rFonts w:ascii="Arial" w:hAnsi="Arial" w:cs="Arial"/>
          <w:lang w:val="en-US"/>
        </w:rPr>
        <w:fldChar w:fldCharType="end"/>
      </w:r>
      <w:r w:rsidR="00EE752D" w:rsidRPr="00CB1C44">
        <w:rPr>
          <w:rFonts w:ascii="Arial" w:hAnsi="Arial" w:cs="Arial"/>
          <w:lang w:val="en-US"/>
        </w:rPr>
        <w:t>, dissociating</w:t>
      </w:r>
      <w:r w:rsidR="00376EA2" w:rsidRPr="00CB1C44">
        <w:rPr>
          <w:rFonts w:ascii="Arial" w:hAnsi="Arial" w:cs="Arial"/>
          <w:lang w:val="en-US"/>
        </w:rPr>
        <w:t xml:space="preserve"> </w:t>
      </w:r>
      <w:r w:rsidR="008C6D7D" w:rsidRPr="00CB1C44">
        <w:rPr>
          <w:rFonts w:ascii="Arial" w:hAnsi="Arial" w:cs="Arial"/>
          <w:lang w:val="en-US"/>
        </w:rPr>
        <w:t xml:space="preserve">from Keap1, which can </w:t>
      </w:r>
      <w:r w:rsidR="00A2783F" w:rsidRPr="00CB1C44">
        <w:rPr>
          <w:rFonts w:ascii="Arial" w:hAnsi="Arial" w:cs="Arial"/>
          <w:lang w:val="en-US"/>
        </w:rPr>
        <w:t xml:space="preserve">further </w:t>
      </w:r>
      <w:r w:rsidR="008C6D7D" w:rsidRPr="00CB1C44">
        <w:rPr>
          <w:rFonts w:ascii="Arial" w:hAnsi="Arial" w:cs="Arial"/>
          <w:lang w:val="en-US"/>
        </w:rPr>
        <w:t>be re</w:t>
      </w:r>
      <w:r w:rsidR="009F14B8" w:rsidRPr="00CB1C44">
        <w:rPr>
          <w:rFonts w:ascii="Arial" w:hAnsi="Arial" w:cs="Arial"/>
          <w:lang w:val="en-US"/>
        </w:rPr>
        <w:t>-</w:t>
      </w:r>
      <w:r w:rsidR="008C6D7D" w:rsidRPr="00CB1C44">
        <w:rPr>
          <w:rFonts w:ascii="Arial" w:hAnsi="Arial" w:cs="Arial"/>
          <w:lang w:val="en-US"/>
        </w:rPr>
        <w:t>use to bind newly-translated Nrf2</w:t>
      </w:r>
      <w:r w:rsidR="00EE752D" w:rsidRPr="00CB1C44">
        <w:rPr>
          <w:rFonts w:ascii="Arial" w:hAnsi="Arial" w:cs="Arial"/>
          <w:lang w:val="en-US"/>
        </w:rPr>
        <w:t xml:space="preserve">, </w:t>
      </w:r>
      <w:r w:rsidR="00A2783F" w:rsidRPr="00CB1C44">
        <w:rPr>
          <w:rFonts w:ascii="Arial" w:hAnsi="Arial" w:cs="Arial"/>
          <w:lang w:val="en-US"/>
        </w:rPr>
        <w:t xml:space="preserve">thus </w:t>
      </w:r>
      <w:r w:rsidR="009610DD" w:rsidRPr="00CB1C44">
        <w:rPr>
          <w:rFonts w:ascii="Arial" w:hAnsi="Arial" w:cs="Arial"/>
          <w:lang w:val="en-US"/>
        </w:rPr>
        <w:t>regulat</w:t>
      </w:r>
      <w:r w:rsidR="00A2783F" w:rsidRPr="00CB1C44">
        <w:rPr>
          <w:rFonts w:ascii="Arial" w:hAnsi="Arial" w:cs="Arial"/>
          <w:lang w:val="en-US"/>
        </w:rPr>
        <w:t>ing</w:t>
      </w:r>
      <w:r w:rsidR="009610DD" w:rsidRPr="00CB1C44">
        <w:rPr>
          <w:rFonts w:ascii="Arial" w:hAnsi="Arial" w:cs="Arial"/>
          <w:lang w:val="en-US"/>
        </w:rPr>
        <w:t xml:space="preserve"> basal </w:t>
      </w:r>
      <w:r w:rsidR="00A2783F" w:rsidRPr="00CB1C44">
        <w:rPr>
          <w:rFonts w:ascii="Arial" w:hAnsi="Arial" w:cs="Arial"/>
          <w:lang w:val="en-US"/>
        </w:rPr>
        <w:t xml:space="preserve">cellular </w:t>
      </w:r>
      <w:r w:rsidR="009610DD" w:rsidRPr="00CB1C44">
        <w:rPr>
          <w:rFonts w:ascii="Arial" w:hAnsi="Arial" w:cs="Arial"/>
          <w:lang w:val="en-US"/>
        </w:rPr>
        <w:t>levels of this transcription factor</w:t>
      </w:r>
      <w:r w:rsidR="00AB0DF6" w:rsidRPr="00CB1C44">
        <w:rPr>
          <w:rFonts w:ascii="Arial" w:hAnsi="Arial" w:cs="Arial"/>
          <w:lang w:val="en-US"/>
        </w:rPr>
        <w:t xml:space="preserve"> (Figure 3)</w:t>
      </w:r>
      <w:r w:rsidR="009610DD" w:rsidRPr="00CB1C44">
        <w:rPr>
          <w:rFonts w:ascii="Arial" w:hAnsi="Arial" w:cs="Arial"/>
          <w:lang w:val="en-US"/>
        </w:rPr>
        <w:t xml:space="preserve">. </w:t>
      </w:r>
      <w:r w:rsidR="0073443C" w:rsidRPr="00CB1C44">
        <w:rPr>
          <w:rFonts w:ascii="Arial" w:hAnsi="Arial" w:cs="Arial"/>
          <w:lang w:val="en-US"/>
        </w:rPr>
        <w:t xml:space="preserve">In </w:t>
      </w:r>
      <w:r w:rsidR="000175FC" w:rsidRPr="00CB1C44">
        <w:rPr>
          <w:rFonts w:ascii="Arial" w:hAnsi="Arial" w:cs="Arial"/>
          <w:lang w:val="en-US"/>
        </w:rPr>
        <w:t>the</w:t>
      </w:r>
      <w:r w:rsidR="0073443C" w:rsidRPr="00CB1C44">
        <w:rPr>
          <w:rFonts w:ascii="Arial" w:hAnsi="Arial" w:cs="Arial"/>
          <w:lang w:val="en-US"/>
        </w:rPr>
        <w:t xml:space="preserve"> context of oxidative stress, </w:t>
      </w:r>
      <w:r w:rsidR="00606BB0" w:rsidRPr="00CB1C44">
        <w:rPr>
          <w:rFonts w:ascii="Arial" w:hAnsi="Arial" w:cs="Arial"/>
          <w:lang w:val="en-US"/>
        </w:rPr>
        <w:t>Keap1</w:t>
      </w:r>
      <w:r w:rsidR="0073443C" w:rsidRPr="00CB1C44">
        <w:rPr>
          <w:rFonts w:ascii="Arial" w:hAnsi="Arial" w:cs="Arial"/>
          <w:lang w:val="en-US"/>
        </w:rPr>
        <w:t xml:space="preserve">, </w:t>
      </w:r>
      <w:r w:rsidR="00606BB0" w:rsidRPr="00CB1C44">
        <w:rPr>
          <w:rFonts w:ascii="Arial" w:hAnsi="Arial" w:cs="Arial"/>
          <w:lang w:val="en-US"/>
        </w:rPr>
        <w:t>a cysteine-rich protein</w:t>
      </w:r>
      <w:r w:rsidR="00E924CE" w:rsidRPr="00CB1C44">
        <w:rPr>
          <w:rFonts w:ascii="Arial" w:hAnsi="Arial" w:cs="Arial"/>
          <w:lang w:val="en-US"/>
        </w:rPr>
        <w:t>,</w:t>
      </w:r>
      <w:r w:rsidR="0073443C" w:rsidRPr="00CB1C44">
        <w:rPr>
          <w:rFonts w:ascii="Arial" w:hAnsi="Arial" w:cs="Arial"/>
          <w:lang w:val="en-US"/>
        </w:rPr>
        <w:t xml:space="preserve"> </w:t>
      </w:r>
      <w:r w:rsidR="00606BB0" w:rsidRPr="00CB1C44">
        <w:rPr>
          <w:rFonts w:ascii="Arial" w:hAnsi="Arial" w:cs="Arial"/>
          <w:lang w:val="en-US"/>
        </w:rPr>
        <w:t>is capable to sense oxidative stress</w:t>
      </w:r>
      <w:r w:rsidR="0073443C" w:rsidRPr="00CB1C44">
        <w:rPr>
          <w:rFonts w:ascii="Arial" w:hAnsi="Arial" w:cs="Arial"/>
          <w:lang w:val="en-US"/>
        </w:rPr>
        <w:t xml:space="preserve"> through the possible oxidation of </w:t>
      </w:r>
      <w:r w:rsidR="006E27F1" w:rsidRPr="00CB1C44">
        <w:rPr>
          <w:rFonts w:ascii="Arial" w:hAnsi="Arial" w:cs="Arial"/>
          <w:lang w:val="en-US"/>
        </w:rPr>
        <w:t xml:space="preserve">its </w:t>
      </w:r>
      <w:r w:rsidR="0073443C" w:rsidRPr="00CB1C44">
        <w:rPr>
          <w:rFonts w:ascii="Arial" w:hAnsi="Arial" w:cs="Arial"/>
          <w:lang w:val="en-US"/>
        </w:rPr>
        <w:t>27 cysteine residues</w:t>
      </w:r>
      <w:r w:rsidR="00606BB0" w:rsidRPr="00CB1C44">
        <w:rPr>
          <w:rFonts w:ascii="Arial" w:hAnsi="Arial" w:cs="Arial"/>
          <w:lang w:val="en-US"/>
        </w:rPr>
        <w:t>,</w:t>
      </w:r>
      <w:r w:rsidR="008B2249" w:rsidRPr="00CB1C44">
        <w:rPr>
          <w:rFonts w:ascii="Arial" w:hAnsi="Arial" w:cs="Arial"/>
          <w:lang w:val="en-US"/>
        </w:rPr>
        <w:t xml:space="preserve"> </w:t>
      </w:r>
      <w:r w:rsidR="003F6E3E" w:rsidRPr="00CB1C44">
        <w:rPr>
          <w:rFonts w:ascii="Arial" w:hAnsi="Arial" w:cs="Arial"/>
          <w:lang w:val="en-US"/>
        </w:rPr>
        <w:t xml:space="preserve">particularly </w:t>
      </w:r>
      <w:r w:rsidR="00737A31" w:rsidRPr="00CB1C44">
        <w:rPr>
          <w:rFonts w:ascii="Arial" w:hAnsi="Arial" w:cs="Arial"/>
          <w:lang w:val="en-US"/>
        </w:rPr>
        <w:t>the</w:t>
      </w:r>
      <w:r w:rsidR="003F6E3E" w:rsidRPr="00CB1C44">
        <w:rPr>
          <w:rFonts w:ascii="Arial" w:hAnsi="Arial" w:cs="Arial"/>
          <w:lang w:val="en-US"/>
        </w:rPr>
        <w:t xml:space="preserve"> 8 cysteine residues i</w:t>
      </w:r>
      <w:r w:rsidR="00737A31" w:rsidRPr="00CB1C44">
        <w:rPr>
          <w:rFonts w:ascii="Arial" w:hAnsi="Arial" w:cs="Arial"/>
          <w:lang w:val="en-US"/>
        </w:rPr>
        <w:t>n the IVR region,</w:t>
      </w:r>
      <w:r w:rsidR="00AB76FB" w:rsidRPr="00CB1C44">
        <w:rPr>
          <w:rFonts w:ascii="Arial" w:hAnsi="Arial" w:cs="Arial"/>
          <w:lang w:val="en-US"/>
        </w:rPr>
        <w:t xml:space="preserve"> further leading to conformation</w:t>
      </w:r>
      <w:r w:rsidR="000175FC" w:rsidRPr="00CB1C44">
        <w:rPr>
          <w:rFonts w:ascii="Arial" w:hAnsi="Arial" w:cs="Arial"/>
          <w:lang w:val="en-US"/>
        </w:rPr>
        <w:t>al</w:t>
      </w:r>
      <w:r w:rsidR="00AB76FB" w:rsidRPr="00CB1C44">
        <w:rPr>
          <w:rFonts w:ascii="Arial" w:hAnsi="Arial" w:cs="Arial"/>
          <w:lang w:val="en-US"/>
        </w:rPr>
        <w:t xml:space="preserve"> chang</w:t>
      </w:r>
      <w:r w:rsidR="000175FC" w:rsidRPr="00CB1C44">
        <w:rPr>
          <w:rFonts w:ascii="Arial" w:hAnsi="Arial" w:cs="Arial"/>
          <w:lang w:val="en-US"/>
        </w:rPr>
        <w:t>es</w:t>
      </w:r>
      <w:r w:rsidR="00AB76FB" w:rsidRPr="00CB1C44">
        <w:rPr>
          <w:rFonts w:ascii="Arial" w:hAnsi="Arial" w:cs="Arial"/>
          <w:lang w:val="en-US"/>
        </w:rPr>
        <w:t xml:space="preserve"> </w:t>
      </w:r>
      <w:r w:rsidR="00606BB0" w:rsidRPr="00CB1C44">
        <w:rPr>
          <w:rFonts w:ascii="Arial" w:hAnsi="Arial" w:cs="Arial"/>
          <w:lang w:val="en-US"/>
        </w:rPr>
        <w:t xml:space="preserve">and release </w:t>
      </w:r>
      <w:r w:rsidR="00AB76FB" w:rsidRPr="00CB1C44">
        <w:rPr>
          <w:rFonts w:ascii="Arial" w:hAnsi="Arial" w:cs="Arial"/>
          <w:lang w:val="en-US"/>
        </w:rPr>
        <w:t xml:space="preserve">of </w:t>
      </w:r>
      <w:r w:rsidR="00606BB0" w:rsidRPr="00CB1C44">
        <w:rPr>
          <w:rFonts w:ascii="Arial" w:hAnsi="Arial" w:cs="Arial"/>
          <w:lang w:val="en-US"/>
        </w:rPr>
        <w:t xml:space="preserve">Nrf2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{"citationItems":[{"id":"ITEM-1","itemData":{"DOI":"10.1093/oxfordjournals.molbev.a026406","ISBN":"0737-4038","ISSN":"0737-4038","PMID":"10908643","abstract":"The occurrence and relative positions of cysteine residues were investigated in proteins of various species. Considering random mathematical occurrence for an amino acid coded by two codons (3. 28%), cysteine is underrepresented in all organisms investigated. Representation of cysteine appears to correlate positively with the complexity of the organism, ranging between 2.26% in mammals and 0. 5% in some members of the Archeabacteria order. This observation, together with the results obtained from comparison of cysteine content of various ribosomal proteins, indicates that evolution takes advantage of increased use of cysteine residues. In all organisms studied except plants, two cysteines are frequently found two amino acid residues apart (C-(X)(2)-C motif). Such a motif is known to be present in a variety of metal-binding proteins and oxidoreductases. Remarkably, more than 21% of all of cysteines were found within the C-(X)(2)-C motifs in ARCHEA.: This observation may indicate that cysteine appeared in ancient metal-binding proteins first and was introduced into other proteins later.","author":[{"dropping-particle":"","family":"Miseta","given":"A","non-dropping-particle":"","parse-names":false,"suffix":""},{"dropping-particle":"","family":"Csutora","given":"P","non-dropping-particle":"","parse-names":false,"suffix":""}],"container-title":"Molecular biology and evolution","id":"ITEM-1","issue":"8","issued":{"date-parts":[["2000"]]},"page":"1232-9","title":"Relationship between the occurrence of cysteine in proteins and the complexity of organisms.","type":"article-journal","volume":"17"},"uris":["http://www.mendeley.com/documents/?uuid=46a4229d-26ab-4e38-b971-1cf2fde98d5b"]}],"mendeley":{"formattedCitation":"(Miseta and Csutora, 2000)","plainTextFormattedCitation":"(Miseta and Csutora, 2000)","previouslyFormattedCitation":"(Miseta and Csutora, 2000)"},"properties":{"noteIndex":0},"schema":"https://github.com/citation-style-language/schema/raw/master/csl-citation.json"}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(Miseta and Csutora, 2000)</w:t>
      </w:r>
      <w:r w:rsidR="00844011" w:rsidRPr="00CB1C44">
        <w:rPr>
          <w:rFonts w:ascii="Arial" w:hAnsi="Arial" w:cs="Arial"/>
          <w:lang w:val="en-US"/>
        </w:rPr>
        <w:fldChar w:fldCharType="end"/>
      </w:r>
      <w:r w:rsidR="00606BB0" w:rsidRPr="00CB1C44">
        <w:rPr>
          <w:rFonts w:ascii="Arial" w:hAnsi="Arial" w:cs="Arial"/>
          <w:lang w:val="en-US"/>
        </w:rPr>
        <w:t>. Moreover, m</w:t>
      </w:r>
      <w:r w:rsidR="00525F59" w:rsidRPr="00CB1C44">
        <w:rPr>
          <w:rFonts w:ascii="Arial" w:hAnsi="Arial" w:cs="Arial"/>
          <w:lang w:val="en-US"/>
        </w:rPr>
        <w:t>any Nrf2 inducers</w:t>
      </w:r>
      <w:r w:rsidR="00060DDA" w:rsidRPr="00CB1C44">
        <w:rPr>
          <w:rFonts w:ascii="Arial" w:hAnsi="Arial" w:cs="Arial"/>
          <w:lang w:val="en-US"/>
        </w:rPr>
        <w:t xml:space="preserve"> are electrophilic, being able to react with nucleophilic thiols</w:t>
      </w:r>
      <w:r w:rsidR="00A12738" w:rsidRPr="00CB1C44">
        <w:rPr>
          <w:rFonts w:ascii="Arial" w:hAnsi="Arial" w:cs="Arial"/>
          <w:lang w:val="en-US"/>
        </w:rPr>
        <w:t>,</w:t>
      </w:r>
      <w:r w:rsidR="00060DDA" w:rsidRPr="00CB1C44">
        <w:rPr>
          <w:rFonts w:ascii="Arial" w:hAnsi="Arial" w:cs="Arial"/>
          <w:lang w:val="en-US"/>
        </w:rPr>
        <w:t xml:space="preserve"> including</w:t>
      </w:r>
      <w:r w:rsidR="0090473F" w:rsidRPr="00CB1C44">
        <w:rPr>
          <w:rFonts w:ascii="Arial" w:hAnsi="Arial" w:cs="Arial"/>
          <w:lang w:val="en-US"/>
        </w:rPr>
        <w:t xml:space="preserve"> Keap1</w:t>
      </w:r>
      <w:r w:rsidR="00060DDA" w:rsidRPr="00CB1C44">
        <w:rPr>
          <w:rFonts w:ascii="Arial" w:hAnsi="Arial" w:cs="Arial"/>
          <w:lang w:val="en-US"/>
        </w:rPr>
        <w:t xml:space="preserve"> cysteine sulfhydryl groups</w:t>
      </w:r>
      <w:r w:rsidR="002A5FDF" w:rsidRPr="00CB1C44">
        <w:rPr>
          <w:rFonts w:ascii="Arial" w:hAnsi="Arial" w:cs="Arial"/>
          <w:lang w:val="en-US"/>
        </w:rPr>
        <w:t>,</w:t>
      </w:r>
      <w:r w:rsidR="00060DDA" w:rsidRPr="00CB1C44">
        <w:rPr>
          <w:rFonts w:ascii="Arial" w:hAnsi="Arial" w:cs="Arial"/>
          <w:lang w:val="en-US"/>
        </w:rPr>
        <w:t xml:space="preserve"> form</w:t>
      </w:r>
      <w:r w:rsidR="002A5FDF" w:rsidRPr="00CB1C44">
        <w:rPr>
          <w:rFonts w:ascii="Arial" w:hAnsi="Arial" w:cs="Arial"/>
          <w:lang w:val="en-US"/>
        </w:rPr>
        <w:t>ing</w:t>
      </w:r>
      <w:r w:rsidR="00060DDA" w:rsidRPr="00CB1C44">
        <w:rPr>
          <w:rFonts w:ascii="Arial" w:hAnsi="Arial" w:cs="Arial"/>
          <w:lang w:val="en-US"/>
        </w:rPr>
        <w:t xml:space="preserve"> direct covalent adducts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{"citationItems":[{"id":"ITEM-1","itemData":{"DOI":"10.1073/pnas.90.7.2965","ISBN":"0027-8424 (Print)\\r0027-8424 (Linking)","ISSN":"0027-8424","PMID":"8385353","abstract":"Inductions of detoxication (phase 2) enzymes, such as glutathione transferases and NAD(P)H:(quinone-acceptor) oxidoreductase, are a major mechanism for protecting animals and their cells against the toxic and neoplastic effects of carcinogens. These inductions result from enhanced transcription, and they are evoked by diverse chemical agents: oxidizable diphenols and phenylenediamines; Michael reaction acceptors; organic isothiocyanates; other electrophiles--e.g., alkyl and aryl halides; metal ions--e.g., HgCl2 and CdCl2; trivalent arsenic derivatives; vicinal dimercaptans; organic hydroperoxides and hydrogen peroxide; and 1,2-dithiole-3-thiones. The molecular mechanisms of these inductions were analyzed with the help of a construct containing a 41-bp enhancer element derived from the 5' upstream region of the mouse liver glutathione transferase Ya subunit gene ligated to the 5' end of the isolated promoter region of this gene, and inserted into a plasmid containing a human growth hormone reporter gene. When this construct was transfected into Hep G2 human hepatoma cells, the concentrations of 28 compounds (from the above classes) required to double growth hormone production, and the concentrations required to double quinone reductase specific activities in Hepa 1c1c7 cells, spanned a range of four orders of magnitude but were closely linearly correlated. Six compounds tested were inactive in both systems. A 26-bp subregion of the above enhancer oligonucleotide (containing the two tandem \"AP-1-like\" sites but lacking the preceding ETS protein binding sequence) was considerably less responsive to the same inducers. We conclude that the 41-bp enhancer element mediates most, if not all, of the phase 2 enzyme inducer activity of all of these widely different classes of compounds.","author":[{"dropping-particle":"","family":"Prestera","given":"T","non-dropping-particle":"","parse-names":false,"suffix":""},{"dropping-particle":"","family":"Holtzclaw","given":"W D","non-dropping-particle":"","parse-names":false,"suffix":""},{"dropping-particle":"","family":"Zhang","given":"Y","non-dropping-particle":"","parse-names":false,"suffix":""},{"dropping-particle":"","family":"Talalay","given":"P","non-dropping-particle":"","parse-names":false,"suffix":""}],"container-title":"Proceedings of the National Academy of Sciences of the United States of America","id":"ITEM-1","issue":"7","issued":{"date-parts":[["1993"]]},"page":"2965-9","title":"Chemical and molecular regulation of enzymes that detoxify carcinogens.","type":"article-journal","volume":"90"},"uris":["http://www.mendeley.com/documents/?uuid=cf53a91e-c5ec-48b7-ae8f-fc0ad6faa3bb"]},{"id":"ITEM-2","itemData":{"DOI":"10.1073/pnas.172398899","ISBN":"0027-8424 (Print)\\r0027-8424 (Linking)","ISSN":"0027-8424","PMID":"12193649","abstract":"Coordinate induction of phase 2 proteins and elevation of glutathione protect cells against the toxic and carcinogenic effects of electrophiles and oxidants. All inducers react covalently with thiols at rates that are closely related to their potencies. Inducers disrupt the cytoplasmic complex between the actin-bound protein Keap1 and the transcription factor Nrf2, thereby releasing Nrf2 to migrate to the nucleus where it activates the antioxidant response element (ARE) of phase 2 genes and accelerates their transcription. We cloned, overexpressed, and purified murine Keap1 and demonstrated on native gels the formation of complexes of Keap1 with the Neh2 domain of Nrf2 and their concentration-dependent disruption by inducers such as sulforaphane and bis(2-hydroxybenzylidene)acetone. The kinetics, stoichiometry, and order of reactivities of the most reactive of the 25 cysteine thiol groups of Keap1 have been determined by tritium incorporation from [(3)H]dexamethasone mesylate (an inducer and irreversible modifier of thiols) and by UV spectroscopy with sulforaphane, 2,2'-dipyridyl disulfide and 4,4'-dipyridyl disulfide (titrants of thiol groups), and two closely related Michael reaction acceptors [bis(2- and 4-hydroxybenzylidene)acetones] that differ 100-fold in inducer potency and the UV spectra of which are bleached by thiol addition. With large excesses of these reagents nearly all thiols of Keap1 react, but sequential reaction with three successive single equivalents (per cysteine residue) of dipyridyl disulfides revealed excellent agreement with pseudo-first order kinetics, rapid successive declines in reaction velocity, and the stoichiometric formation of two equivalents of thiopyridone per reacted cysteine. This finding suggests that reaction of cysteine thiols is followed by rapid formation of protein disulfide linkages. The most reactive residues of Keap1 (C(257), C(273), C(288), and C(297)) were identified by mapping the dexamethasone-modified cysteines by mass spectrometry of tryptic peptides. These residues are located in the intervening region between BTB and Kelch repeat domains of Keap1 and probably are the direct sensors of inducers of the phase 2 system.","author":[{"dropping-particle":"","family":"Dinkova-Kostova","given":"Albena T","non-dropping-particle":"","parse-names":false,"suffix":""},{"dropping-particle":"","family":"Holtzclaw","given":"W David","non-dropping-particle":"","parse-names":false,"suffix":""},{"dropping-particle":"","family":"Cole","given":"Robert N","non-dropping-particle":"","parse-names":false,"suffix":""},{"dropping-particle":"","family":"Itoh","given":"Ken","non-dropping-particle":"","parse-names":false,"suffix":""},{"dropping-particle":"","family":"Wakabayashi","given":"Nobunao","non-dropping-particle":"","parse-names":false,"suffix":""},{"dropping-particle":"","family":"Katoh","given":"Yasutake","non-dropping-particle":"","parse-names":false,"suffix":""},{"dropping-particle":"","family":"Yamamoto","given":"Masayuki","non-dropping-particle":"","parse-names":false,"suffix":""},{"dropping-particle":"","family":"Talalay","given":"Paul","non-dropping-particle":"","parse-names":false,"suffix":""}],"container-title":"Proceedings of the National Academy of Sciences of the United States of America","id":"ITEM-2","issue":"18","issued":{"date-parts":[["2002"]]},"page":"11908-13","title":"Direct evidence that sulfhydryl groups of Keap1 are the sensors regulating induction of phase 2 enzymes that protect against carcinogens and oxidants.","type":"article-journal","volume":"99"},"uris":["http://www.mendeley.com/documents/?uuid=d8d119f9-c027-405c-9c06-8acebdf07d4a"]}],"mendeley":{"formattedCitation":"(Dinkova-Kostova et al., 2002; Prestera et al., 1993)","plainTextFormattedCitation":"(Dinkova-Kostova et al., 2002; Prestera et al., 1993)","previouslyFormattedCitation":"(Dinkova-Kostova et al., 2002; Prestera et al., 1993)"},"properties":{"noteIndex":0},"schema":"https://github.com/citation-style-language/schema/raw/master/csl-citation.json"}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(Dinkova-Kostova et al., 2002; Prestera et al., 1993)</w:t>
      </w:r>
      <w:r w:rsidR="00844011" w:rsidRPr="00CB1C44">
        <w:rPr>
          <w:rFonts w:ascii="Arial" w:hAnsi="Arial" w:cs="Arial"/>
          <w:lang w:val="en-US"/>
        </w:rPr>
        <w:fldChar w:fldCharType="end"/>
      </w:r>
      <w:r w:rsidR="00916A25" w:rsidRPr="00CB1C44">
        <w:rPr>
          <w:rFonts w:ascii="Arial" w:hAnsi="Arial" w:cs="Arial"/>
          <w:lang w:val="en-US"/>
        </w:rPr>
        <w:t xml:space="preserve">. </w:t>
      </w:r>
      <w:r w:rsidR="00791533" w:rsidRPr="00CB1C44">
        <w:rPr>
          <w:rFonts w:ascii="Arial" w:hAnsi="Arial" w:cs="Arial"/>
          <w:lang w:val="en-US"/>
        </w:rPr>
        <w:t xml:space="preserve">Thus, </w:t>
      </w:r>
      <w:r w:rsidR="007A7E69" w:rsidRPr="00CB1C44">
        <w:rPr>
          <w:rFonts w:ascii="Arial" w:hAnsi="Arial" w:cs="Arial"/>
          <w:lang w:val="en-US"/>
        </w:rPr>
        <w:t>cystein</w:t>
      </w:r>
      <w:r w:rsidR="00AB1E7E" w:rsidRPr="00CB1C44">
        <w:rPr>
          <w:rFonts w:ascii="Arial" w:hAnsi="Arial" w:cs="Arial"/>
          <w:lang w:val="en-US"/>
        </w:rPr>
        <w:t>e</w:t>
      </w:r>
      <w:r w:rsidR="007A7E69" w:rsidRPr="00CB1C44">
        <w:rPr>
          <w:rFonts w:ascii="Arial" w:hAnsi="Arial" w:cs="Arial"/>
          <w:lang w:val="en-US"/>
        </w:rPr>
        <w:t xml:space="preserve"> modifications </w:t>
      </w:r>
      <w:r w:rsidR="00A12738" w:rsidRPr="00CB1C44">
        <w:rPr>
          <w:rFonts w:ascii="Arial" w:hAnsi="Arial" w:cs="Arial"/>
          <w:lang w:val="en-US"/>
        </w:rPr>
        <w:t>are</w:t>
      </w:r>
      <w:r w:rsidR="007A7E69" w:rsidRPr="00CB1C44">
        <w:rPr>
          <w:rFonts w:ascii="Arial" w:hAnsi="Arial" w:cs="Arial"/>
          <w:lang w:val="en-US"/>
        </w:rPr>
        <w:t xml:space="preserve"> important mechanism</w:t>
      </w:r>
      <w:r w:rsidR="00F04FBE" w:rsidRPr="00CB1C44">
        <w:rPr>
          <w:rFonts w:ascii="Arial" w:hAnsi="Arial" w:cs="Arial"/>
          <w:lang w:val="en-US"/>
        </w:rPr>
        <w:t>s</w:t>
      </w:r>
      <w:r w:rsidR="007A7E69" w:rsidRPr="00CB1C44">
        <w:rPr>
          <w:rFonts w:ascii="Arial" w:hAnsi="Arial" w:cs="Arial"/>
          <w:lang w:val="en-US"/>
        </w:rPr>
        <w:t xml:space="preserve"> </w:t>
      </w:r>
      <w:r w:rsidR="004E0F6D" w:rsidRPr="00CB1C44">
        <w:rPr>
          <w:rFonts w:ascii="Arial" w:hAnsi="Arial" w:cs="Arial"/>
          <w:lang w:val="en-US"/>
        </w:rPr>
        <w:t xml:space="preserve">for </w:t>
      </w:r>
      <w:r w:rsidR="007A7E69" w:rsidRPr="00CB1C44">
        <w:rPr>
          <w:rFonts w:ascii="Arial" w:hAnsi="Arial" w:cs="Arial"/>
          <w:lang w:val="en-US"/>
        </w:rPr>
        <w:t>Nrf2 activation</w:t>
      </w:r>
      <w:r w:rsidR="00791533" w:rsidRPr="00CB1C44">
        <w:rPr>
          <w:rFonts w:ascii="Arial" w:hAnsi="Arial" w:cs="Arial"/>
          <w:lang w:val="en-US"/>
        </w:rPr>
        <w:t>, responsible for sens</w:t>
      </w:r>
      <w:r w:rsidR="00F04FBE" w:rsidRPr="00CB1C44">
        <w:rPr>
          <w:rFonts w:ascii="Arial" w:hAnsi="Arial" w:cs="Arial"/>
          <w:lang w:val="en-US"/>
        </w:rPr>
        <w:t>ing</w:t>
      </w:r>
      <w:r w:rsidR="00791533" w:rsidRPr="00CB1C44">
        <w:rPr>
          <w:rFonts w:ascii="Arial" w:hAnsi="Arial" w:cs="Arial"/>
          <w:lang w:val="en-US"/>
        </w:rPr>
        <w:t xml:space="preserve"> electrophil</w:t>
      </w:r>
      <w:r w:rsidR="00F04FBE" w:rsidRPr="00CB1C44">
        <w:rPr>
          <w:rFonts w:ascii="Arial" w:hAnsi="Arial" w:cs="Arial"/>
          <w:lang w:val="en-US"/>
        </w:rPr>
        <w:t>ic</w:t>
      </w:r>
      <w:r w:rsidR="00791533" w:rsidRPr="00CB1C44">
        <w:rPr>
          <w:rFonts w:ascii="Arial" w:hAnsi="Arial" w:cs="Arial"/>
          <w:lang w:val="en-US"/>
        </w:rPr>
        <w:t xml:space="preserve"> or oxida</w:t>
      </w:r>
      <w:r w:rsidR="00F04FBE" w:rsidRPr="00CB1C44">
        <w:rPr>
          <w:rFonts w:ascii="Arial" w:hAnsi="Arial" w:cs="Arial"/>
          <w:lang w:val="en-US"/>
        </w:rPr>
        <w:t>nt conditions</w:t>
      </w:r>
      <w:r w:rsidR="00791533"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{"citationItems":[{"id":"ITEM-1","itemData":{"DOI":"10.1021/tx800226m","ISBN":"0893-228X","ISSN":"0893228X","PMID":"18729328","abstract":"Experiments were carried out to detect cysteine residues on human Keap1 protein that may be sensors of oxidative stress that gives rise to changes in the GSH/GSSG redox couple. Human Keap1 protein, at a final concentration of 6 microM, was incubated for two hours in aqueous buffer containing 0.010 M GSH, pH 8, in an argon atmosphere. Subsequently, excess iodoacetamide and trypsin were added to generate a peptide map effected by LCMS analysis. Peptides containing all 27 carboxamidomethylated cysteines were identified. Replacement of GSH by 0.010 M GSSG yielded a map in which 13 of the original carboxamidomethylated peptides were unperturbed, while other caboxamidomethylated cysteine-containing peptides were undetected, and a number of new cysteine-containing peptide peaks were observed. By mass analysis, and in some cases, by isolation, reduction, carboxamidomethylation, and reanalysis, these were identified as S-glutathionylated (Type 1) or Cys-Cys (Type 2) disulfides. Such peptides derived from the N-terminal, dimerization, central linker, Kelch repeat and C-terminal domains of Keap1. Experiments were carried out in which Keap1 was incubated similarly but in the presence of various GSH/GSSG ratios between 100 and 1 ([GSH + GSSG] = 0.010 M), with subsequent caraboxamidomethylation and trypsinolysis to determine differences in sensitivities of the different cysteines to the type 1 and type 2 modifications. Cysteines most sensitive to S-glutathionylation include Cys77, Cys297, Cys319, Cys368, and Cys434, while cysteine disulfides most readily formed are Cys23-Cys38 and Cys257-Cys297. The most reducing conditions at which these modifications are at GSH/GSSG = 10, which computes to an oxidation potential of E h = -268.5 mV, a physiologically relevant value. Under somewhat more oxidizing, but still physiologically relevant, conditions, GSH/GSSG = 1 ( E h = -231.1 mV), a Cys319-Cys319 disulfide is detected far from the dimerization domain of the Keap1 homodimer. The potential impact on protein structure of the glutathionylation of Cys434 and Cys368, the two modified residues in the Kelch repeat domain, was analyzed by docking and energy minimizations of glutathione residues attached to the Kelch repeat domain, whose coordinates are known. The energy minimizations indicated marked alterations in structure with a substantial constriction of Neh2 binding domain of the Keap1 Kelch repeat domain. This alteration appears to be enforced by an extended hydrogen-bondi…","author":[{"dropping-particle":"","family":"Holland","given":"Ryan","non-dropping-particle":"","parse-names":false,"suffix":""},{"dropping-particle":"","family":"Hawkins","given":"Arie E.","non-dropping-particle":"","parse-names":false,"suffix":""},{"dropping-particle":"","family":"Eggler","given":"Aimee L.","non-dropping-particle":"","parse-names":false,"suffix":""},{"dropping-particle":"","family":"Mesecar","given":"Andrew D.","non-dropping-particle":"","parse-names":false,"suffix":""},{"dropping-particle":"","family":"Fabris","given":"Daniele","non-dropping-particle":"","parse-names":false,"suffix":""},{"dropping-particle":"","family":"Fishbein","given":"James C.","non-dropping-particle":"","parse-names":false,"suffix":""}],"container-title":"Chemical Research in Toxicology","id":"ITEM-1","issue":"10","issued":{"date-parts":[["2008"]]},"page":"2051-2060","title":"Prospective type 1 and type 2 disulfides of keap1 protein","type":"article-journal","volume":"21"},"uris":["http://www.mendeley.com/documents/?uuid=f274f8aa-da1a-425e-b977-68e915b63b6a"]}],"mendeley":{"formattedCitation":"(Holland et al., 2008)","plainTextFormattedCitation":"(Holland et al., 2008)","previouslyFormattedCitation":"(Holland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(Holland et al., 2008)</w:t>
      </w:r>
      <w:r w:rsidR="00844011" w:rsidRPr="00CB1C44">
        <w:rPr>
          <w:rFonts w:ascii="Arial" w:hAnsi="Arial" w:cs="Arial"/>
          <w:lang w:val="en-US"/>
        </w:rPr>
        <w:fldChar w:fldCharType="end"/>
      </w:r>
      <w:r w:rsidR="007A7E69" w:rsidRPr="00CB1C44">
        <w:rPr>
          <w:rFonts w:ascii="Arial" w:hAnsi="Arial" w:cs="Arial"/>
          <w:lang w:val="en-US"/>
        </w:rPr>
        <w:t xml:space="preserve">. </w:t>
      </w:r>
    </w:p>
    <w:p w14:paraId="39564868" w14:textId="670B2065" w:rsidR="00C53244" w:rsidRPr="00CB1C44" w:rsidRDefault="00B216C1" w:rsidP="004038B5">
      <w:pPr>
        <w:spacing w:after="0" w:line="360" w:lineRule="auto"/>
        <w:jc w:val="both"/>
        <w:rPr>
          <w:rFonts w:ascii="Arial" w:hAnsi="Arial" w:cs="Arial"/>
          <w:lang w:val="en-US"/>
        </w:rPr>
      </w:pPr>
      <w:r w:rsidRPr="00CB1C44">
        <w:rPr>
          <w:rFonts w:ascii="Arial" w:hAnsi="Arial" w:cs="Arial"/>
          <w:lang w:val="en-US"/>
        </w:rPr>
        <w:t>Beside</w:t>
      </w:r>
      <w:r w:rsidR="00F04FBE" w:rsidRPr="00CB1C44">
        <w:rPr>
          <w:rFonts w:ascii="Arial" w:hAnsi="Arial" w:cs="Arial"/>
          <w:lang w:val="en-US"/>
        </w:rPr>
        <w:t>s</w:t>
      </w:r>
      <w:r w:rsidRPr="00CB1C44">
        <w:rPr>
          <w:rFonts w:ascii="Arial" w:hAnsi="Arial" w:cs="Arial"/>
          <w:lang w:val="en-US"/>
        </w:rPr>
        <w:t xml:space="preserve"> </w:t>
      </w:r>
      <w:r w:rsidR="004875A8" w:rsidRPr="00CB1C44">
        <w:rPr>
          <w:rFonts w:ascii="Arial" w:hAnsi="Arial" w:cs="Arial"/>
          <w:lang w:val="en-US"/>
        </w:rPr>
        <w:t xml:space="preserve">the regulation </w:t>
      </w:r>
      <w:r w:rsidR="00513881" w:rsidRPr="00CB1C44">
        <w:rPr>
          <w:rFonts w:ascii="Arial" w:hAnsi="Arial" w:cs="Arial"/>
          <w:lang w:val="en-US"/>
        </w:rPr>
        <w:t>of Keap1 through oxidation</w:t>
      </w:r>
      <w:r w:rsidR="003142B1"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{"citationItems":[{"id":"ITEM-1","itemData":{"DOI":"10.1128/MCB.24.16.7130","ISBN":"0270-7306 (Print)\\r0270-7306 (Linking)","ISSN":"0270-7306","PMID":"15282312","abstract":"Transcription factor Nrf2 is a major regulator of genes encoding phase 2 detoxifying enzymes and antioxidant stress proteins in response to electrophilic agents and oxidative stress. In the absence of such stimuli, Nrf2 is inactive owing to its cytoplasmic retention by Keap1 and rapid degradation through the proteasome system. We examined the contribution of Keap1 to the rapid turnover of Nrf2 (half-life of less than 20 min) and found that a direct association between Keap1 and Nrf2 is required for Nrf2 degradation. In a series of domain function analyses of Keap1, we found that both the BTB and intervening-region (IVR) domains are crucial for Nrf2 degradation, implying that these two domains act to recruit ubiquitin-proteasome factors. Indeed, Cullin 3 (Cul3), a subunit of the E3 ligase complex, was found to interact specifically with Keap1 in vivo. Keap1 associates with the N-terminal region of Cul3 through the IVR domain and promotes the ubiquitination of Nrf2 in cooperation with the Cul3-Roc1 complex. These results thus provide solid evidence that Keap1 functions as an adaptor of Cul3-based E3 ligase. To our knowledge, Nrf2 and Keap1 are the first reported mammalian substrate and adaptor, respectively, of the Cul3-based E3 ligase system.","author":[{"dropping-particle":"","family":"Kobayashi","given":"Akira","non-dropping-particle":"","parse-names":false,"suffix":""},{"dropping-particle":"","family":"Kang","given":"Moon-Il","non-dropping-particle":"","parse-names":false,"suffix":""},{"dropping-particle":"","family":"Okawa","given":"Hiromi","non-dropping-particle":"","parse-names":false,"suffix":""},{"dropping-particle":"","family":"Ohtsuji","given":"Makiko","non-dropping-particle":"","parse-names":false,"suffix":""},{"dropping-particle":"","family":"Zenke","given":"Yukari","non-dropping-particle":"","parse-names":false,"suffix":""},{"dropping-particle":"","family":"Chiba","given":"Tomoki","non-dropping-particle":"","parse-names":false,"suffix":""},{"dropping-particle":"","family":"Igarashi","given":"Kazuhiko","non-dropping-particle":"","parse-names":false,"suffix":""},{"dropping-particle":"","family":"Yamamoto","given":"Masayuki","non-dropping-particle":"","parse-names":false,"suffix":""}],"container-title":"Molecular and Cellular Biology","id":"ITEM-1","issue":"16","issued":{"date-parts":[["2004"]]},"page":"7130-9","title":"Oxidative stress sensor Keap1 functions as an adaptor for Cul3-based E3 ligase to regulate proteasomal degradation of Nrf2","type":"article-journal","volume":"24"},"uris":["http://www.mendeley.com/documents/?uuid=a386f0e2-8ae8-4a22-ad86-3f272d163d5a"]}],"mendeley":{"formattedCitation":"(Kobayashi et al., 2004)","plainTextFormattedCitation":"(Kobayashi et al., 2004)","previouslyFormattedCitation":"(Kobayashi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(Kobayashi et al., 2004)</w:t>
      </w:r>
      <w:r w:rsidR="00844011" w:rsidRPr="00CB1C44">
        <w:rPr>
          <w:rFonts w:ascii="Arial" w:hAnsi="Arial" w:cs="Arial"/>
          <w:lang w:val="en-US"/>
        </w:rPr>
        <w:fldChar w:fldCharType="end"/>
      </w:r>
      <w:r w:rsidR="00513881" w:rsidRPr="00CB1C44">
        <w:rPr>
          <w:rFonts w:ascii="Arial" w:hAnsi="Arial" w:cs="Arial"/>
          <w:lang w:val="en-US"/>
        </w:rPr>
        <w:t>,</w:t>
      </w:r>
      <w:r w:rsidR="00E821F8" w:rsidRPr="00CB1C44">
        <w:rPr>
          <w:rFonts w:ascii="Arial" w:hAnsi="Arial" w:cs="Arial"/>
          <w:lang w:val="en-US"/>
        </w:rPr>
        <w:t xml:space="preserve"> </w:t>
      </w:r>
      <w:r w:rsidR="000F5122" w:rsidRPr="00CB1C44">
        <w:rPr>
          <w:rFonts w:ascii="Arial" w:hAnsi="Arial" w:cs="Arial"/>
          <w:lang w:val="en-US"/>
        </w:rPr>
        <w:t>under certain chemical and oxidative stress</w:t>
      </w:r>
      <w:r w:rsidR="00E1545D" w:rsidRPr="00CB1C44">
        <w:rPr>
          <w:rFonts w:ascii="Arial" w:hAnsi="Arial" w:cs="Arial"/>
          <w:lang w:val="en-US"/>
        </w:rPr>
        <w:t xml:space="preserve"> conditions</w:t>
      </w:r>
      <w:r w:rsidR="000F5122" w:rsidRPr="00CB1C44">
        <w:rPr>
          <w:rFonts w:ascii="Arial" w:hAnsi="Arial" w:cs="Arial"/>
          <w:lang w:val="en-US"/>
        </w:rPr>
        <w:t xml:space="preserve">, Keap1 </w:t>
      </w:r>
      <w:r w:rsidR="00582003" w:rsidRPr="00CB1C44">
        <w:rPr>
          <w:rFonts w:ascii="Arial" w:hAnsi="Arial" w:cs="Arial"/>
          <w:lang w:val="en-US"/>
        </w:rPr>
        <w:t xml:space="preserve">itself </w:t>
      </w:r>
      <w:r w:rsidR="000F5122" w:rsidRPr="00CB1C44">
        <w:rPr>
          <w:rFonts w:ascii="Arial" w:hAnsi="Arial" w:cs="Arial"/>
          <w:lang w:val="en-US"/>
        </w:rPr>
        <w:t>can be poly</w:t>
      </w:r>
      <w:r w:rsidR="00FF195C" w:rsidRPr="00CB1C44">
        <w:rPr>
          <w:rFonts w:ascii="Arial" w:hAnsi="Arial" w:cs="Arial"/>
          <w:lang w:val="en-US"/>
        </w:rPr>
        <w:t>-</w:t>
      </w:r>
      <w:r w:rsidR="000F5122" w:rsidRPr="00CB1C44">
        <w:rPr>
          <w:rFonts w:ascii="Arial" w:hAnsi="Arial" w:cs="Arial"/>
          <w:lang w:val="en-US"/>
        </w:rPr>
        <w:t xml:space="preserve">ubiquitinated by modification of the Keap1 central linker domain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{"citationItems":[{"id":"ITEM-1","itemData":{"DOI":"10.1074/jbc.M503346200","ISBN":"0021-9258 (Print)\\r0021-9258 (Linking)","ISSN":"00219258","PMID":"15985429","abstract":"Activation of the transcription factor Nrf2 regulates expression of phase II enzymes and other adaptive responses to electrophile and oxidant stress. Nrf2 concentrations are regulated by the thiol-rich sensor protein Keap1, which is an adaptor protein for Cul3-dependent ubiquitination and degradation of Nrf2. However, the links between site specificity of Keap1 modification by electrophiles and mechanisms of Nrf2 activation are poorly understood. We studied the actions of the prototypical Nrf2 inducer tert-butylhydroquinone (tBHQ) and two biotin-tagged, thiol-reactive electrophiles, N-iodoacetyl-N-biotinylhexylenediamine (IAB) and 1-biotinamido-4-(4'-[maleimidoethyl-cyclohexane]-carboxamido)butane (BMCC). Both IAB and tBHQ induced antioxidant response element (ARE)-directed green fluorescent protein (GFP) expression in ARE/thymidine kinase GFP HepG2 cells, and both initiated nuclear Nrf2 accumulation and induction of heme oxygenase 1 in HEK293 cells. In contrast, BMCC produced none of these effects. Liquid chromatography tandem mass spectrometry (MS-MS) analysis of human Keap1 modified by IAB or BMCC in vitro indicated that IAB adduction occurred primarily in the central linker domain, whereas BMCC modified other Keap1 domains. Treatment of FLAG-Keap1-transfected HEK293 with the Nrf2-activating compounds IAB and tBHQ generated high molecular weight Keap1 forms, which were identified as K-48-linked polyubiquitin conjugates by immunoblotting and liquid chromatography MS-MS. Keap1 polyubiquitination coincided with Nrf2 stabilization and nuclear accumulation. In contrast, BMCC did not induce Keap1 polyubiquitination. Our results suggest that Nrf2 activation is regulated through the polyubiquitination of Keap1, which in turn is triggered by specific patterns of electrophile modification of the Keap1 central linker domain. These results suggest that Keap1 adduction triggers a switching of Cul3-dependent ubiquitination from Nrf2 to Keap1, leading to Nrf2 activation.","author":[{"dropping-particle":"","family":"Hong","given":"Fei","non-dropping-particle":"","parse-names":false,"suffix":""},{"dropping-particle":"","family":"Sekhar","given":"Konjeti E.","non-dropping-particle":"","parse-names":false,"suffix":""},{"dropping-particle":"","family":"Freeman","given":"Michael L.","non-dropping-particle":"","parse-names":false,"suffix":""},{"dropping-particle":"","family":"Liebler","given":"Daniel C.","non-dropping-particle":"","parse-names":false,"suffix":""}],"container-title":"Journal of Biological Chemistry","id":"ITEM-1","issue":"36","issued":{"date-parts":[["2005"]]},"page":"31768-31775","title":"Specific patterns of electrophile adduction trigger Keap1 ubiquitination and Nrf2 activation","type":"article-journal","volume":"280"},"uris":["http://www.mendeley.com/documents/?uuid=ac9ce878-3cbb-4c90-877b-f32cd5d5d6d1"]},{"id":"ITEM-2","itemData":{"DOI":"10.1074/jbc.M501279200","ISBN":"0021-9258","ISSN":"00219258","PMID":"15983046","abstract":"Keap1 is a BTB-Kelch protein that functions as a substrate adaptor protein for a Cul3-dependent E3 ubiquitin ligase complex. Keap1 targets its substrate, the Nrf2 transcription factor, for ubiquitination and subsequent degradation by the 26 S proteasome. Inhibition of Keap1-dependent ubiquitination of Nrf2 increases steady-state levels of Nrf2 and enables activation of cytoprotective Nrf2-dependent genes. In this report, we demonstrate that Keap1 and three other BTB-Kelch proteins, including GAN1, ENC1, and Sarcosin, are ubiquitinated by a Cul3-dependent complex. Ubiquitination of Keap1 is markedly increased in cells exposed to quinone-induced oxidative stress, occurs in parallel with inhibition of Keap1-dependent ubiquitination of Nrf2, and results in decreased steady-state levels of Keap1, particularly in cells that are unable to synthesize glutathione. Degradation of Keap1 is independent of the 26 S proteasome, because inhibitors of the 26 S proteasome do not prevent loss of Keap1 following exposure of cells to quinone-induced oxidative stress. Our results suggest that a switch from substrate to substrate adaptor ubiquitination is a critical regulatory step that controls steady-state levels of both BTB-Kelch substrate adaptor proteins and their cognate substrates.","author":[{"dropping-particle":"","family":"Zhang","given":"Donna D.","non-dropping-particle":"","parse-names":false,"suffix":""},{"dropping-particle":"","family":"Lo","given":"Shih Ching","non-dropping-particle":"","parse-names":false,"suffix":""},{"dropping-particle":"","family":"Sun","given":"Zheng","non-dropping-particle":"","parse-names":false,"suffix":""},{"dropping-particle":"","family":"Habib","given":"Geetha M.","non-dropping-particle":"","parse-names":false,"suffix":""},{"dropping-particle":"","family":"Lieberman","given":"Michael W.","non-dropping-particle":"","parse-names":false,"suffix":""},{"dropping-particle":"","family":"Hannink","given":"Mark","non-dropping-particle":"","parse-names":false,"suffix":""}],"container-title":"Journal of Biological Chemistry","id":"ITEM-2","issue":"34","issued":{"date-parts":[["2005"]]},"page":"30091-30099","title":"Ubiquitination of Keap1, a BTB-Kelch substrate adaptor protein for Cul3, targets Keap1 for degradation by a proteasome-independent pathway","type":"article-journal","volume":"280"},"uris":["http://www.mendeley.com/documents/?uuid=00cbefb3-419e-44ac-a3b4-2351c04d9497"]}],"mendeley":{"formattedCitation":"(Hong et al., 2005; Zhang et al., 2005)","plainTextFormattedCitation":"(Hong et al., 2005; Zhang et al., 2005)","previouslyFormattedCitation":"(Hong et al., 2005; Zhang et al., 2005)"},"properties":{"noteIndex":0},"schema":"https://github.com/citation-style-language/schema/raw/master/csl-citation.json"}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(Hong et al., 2005; Zhang et al., 2005)</w:t>
      </w:r>
      <w:r w:rsidR="00844011" w:rsidRPr="00CB1C44">
        <w:rPr>
          <w:rFonts w:ascii="Arial" w:hAnsi="Arial" w:cs="Arial"/>
          <w:lang w:val="en-US"/>
        </w:rPr>
        <w:fldChar w:fldCharType="end"/>
      </w:r>
      <w:r w:rsidR="000F5122" w:rsidRPr="00CB1C44">
        <w:rPr>
          <w:rFonts w:ascii="Arial" w:hAnsi="Arial" w:cs="Arial"/>
          <w:lang w:val="en-US"/>
        </w:rPr>
        <w:t>.</w:t>
      </w:r>
      <w:r w:rsidR="00E821F8" w:rsidRPr="00CB1C44">
        <w:rPr>
          <w:rFonts w:ascii="Arial" w:hAnsi="Arial" w:cs="Arial"/>
          <w:lang w:val="en-US"/>
        </w:rPr>
        <w:t xml:space="preserve"> </w:t>
      </w:r>
      <w:r w:rsidR="00AF2D26" w:rsidRPr="00CB1C44">
        <w:rPr>
          <w:rFonts w:ascii="Arial" w:hAnsi="Arial" w:cs="Arial"/>
          <w:lang w:val="en-US"/>
        </w:rPr>
        <w:t xml:space="preserve">In addition, </w:t>
      </w:r>
      <w:r w:rsidR="008C69DA" w:rsidRPr="00CB1C44">
        <w:rPr>
          <w:rFonts w:ascii="Arial" w:hAnsi="Arial" w:cs="Arial"/>
          <w:lang w:val="en-US"/>
        </w:rPr>
        <w:t>under stress</w:t>
      </w:r>
      <w:r w:rsidR="00F04FBE" w:rsidRPr="00CB1C44">
        <w:rPr>
          <w:rFonts w:ascii="Arial" w:hAnsi="Arial" w:cs="Arial"/>
          <w:lang w:val="en-US"/>
        </w:rPr>
        <w:t xml:space="preserve"> situations</w:t>
      </w:r>
      <w:r w:rsidR="008C69DA" w:rsidRPr="00CB1C44">
        <w:rPr>
          <w:rFonts w:ascii="Arial" w:hAnsi="Arial" w:cs="Arial"/>
          <w:lang w:val="en-US"/>
        </w:rPr>
        <w:t xml:space="preserve">, Nrf2’s DLG motif can disconnect from Keap1, allowing the binding of a polyubiquitination binding protein, p62 or </w:t>
      </w:r>
      <w:r w:rsidR="00AF2D26" w:rsidRPr="00CB1C44">
        <w:rPr>
          <w:rFonts w:ascii="Arial" w:hAnsi="Arial" w:cs="Arial"/>
          <w:lang w:val="en-US"/>
        </w:rPr>
        <w:t xml:space="preserve">substrate adaptor </w:t>
      </w:r>
      <w:r w:rsidR="00F04FBE" w:rsidRPr="00CB1C44">
        <w:rPr>
          <w:rFonts w:ascii="Arial" w:hAnsi="Arial" w:cs="Arial"/>
          <w:lang w:val="en-US"/>
        </w:rPr>
        <w:t>s</w:t>
      </w:r>
      <w:r w:rsidR="00AF2D26" w:rsidRPr="00CB1C44">
        <w:rPr>
          <w:rFonts w:ascii="Arial" w:hAnsi="Arial" w:cs="Arial"/>
          <w:lang w:val="en-US"/>
        </w:rPr>
        <w:t>equestosome</w:t>
      </w:r>
      <w:r w:rsidR="007B3A99" w:rsidRPr="00CB1C44">
        <w:rPr>
          <w:rFonts w:ascii="Arial" w:hAnsi="Arial" w:cs="Arial"/>
          <w:lang w:val="en-US"/>
        </w:rPr>
        <w:t>-</w:t>
      </w:r>
      <w:r w:rsidR="00AF2D26" w:rsidRPr="00CB1C44">
        <w:rPr>
          <w:rFonts w:ascii="Arial" w:hAnsi="Arial" w:cs="Arial"/>
          <w:lang w:val="en-US"/>
        </w:rPr>
        <w:t xml:space="preserve">1, </w:t>
      </w:r>
      <w:r w:rsidR="008C69DA" w:rsidRPr="00CB1C44">
        <w:rPr>
          <w:rFonts w:ascii="Arial" w:hAnsi="Arial" w:cs="Arial"/>
          <w:lang w:val="en-US"/>
        </w:rPr>
        <w:t xml:space="preserve">which </w:t>
      </w:r>
      <w:r w:rsidR="00AF2D26" w:rsidRPr="00CB1C44">
        <w:rPr>
          <w:rFonts w:ascii="Arial" w:hAnsi="Arial" w:cs="Arial"/>
          <w:lang w:val="en-US"/>
        </w:rPr>
        <w:t>targets substrates for autophagy</w:t>
      </w:r>
      <w:r w:rsidR="008C69DA"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{"citationItems":[{"id":"ITEM-1","itemData":{"DOI":"10.1038/ncb2021","ISBN":"1476-4679 (Electronic)\\r1465-7392 (Linking)","ISSN":"1465-7392","PMID":"20173742","abstract":"Impaired selective turnover of p62 by autophagy causes severe liver injury accompanied by the formation of p62-positive inclusions and upregulation of detoxifying enzymes. These phenotypes correspond closely to the pathological conditions seen in human liver diseases, including alcoholic hepatitis and hepatocellular carcinoma. However, the molecular mechanisms and pathophysiological processes in these events are still unknown. Here we report the identification of a novel regulatory mechanism by p62 of the transcription factor Nrf2, whose target genes include antioxidant proteins and detoxification enzymes. p62 interacts with the Nrf2-binding site on Keap1, a component of Cullin-3-type ubiquitin ligase for Nrf2. Thus, an overproduction of p62 or a deficiency in autophagy competes with the interaction between Nrf2 and Keap1, resulting in stabilization of Nrf2 and transcriptional activation of Nrf2 target genes. Our findings indicate that the pathological process associated with p62 accumulation results in hyperactivation of Nrf2 and delineates unexpected roles of selective autophagy in controlling the transcription of cellular defence enzyme genes.","author":[{"dropping-particle":"","family":"Komatsu","given":"Masaaki","non-dropping-particle":"","parse-names":false,"suffix":""},{"dropping-particle":"","family":"Kurokawa","given":"Hirofumi","non-dropping-particle":"","parse-names":false,"suffix":""},{"dropping-particle":"","family":"Waguri","given":"Satoshi","non-dropping-particle":"","parse-names":false,"suffix":""},{"dropping-particle":"","family":"Taguchi","given":"Keiko","non-dropping-particle":"","parse-names":false,"suffix":""},{"dropping-particle":"","family":"Kobayashi","given":"Akira","non-dropping-particle":"","parse-names":false,"suffix":""},{"dropping-particle":"","family":"Ichimura","given":"Yoshinobu","non-dropping-particle":"","parse-names":false,"suffix":""},{"dropping-particle":"","family":"Sou","given":"Yu-Shin","non-dropping-particle":"","parse-names":false,"suffix":""},{"dropping-particle":"","family":"Ueno","given":"Izumi","non-dropping-particle":"","parse-names":false,"suffix":""},{"dropping-particle":"","family":"Sakamoto","given":"Ayako","non-dropping-particle":"","parse-names":false,"suffix":""},{"dropping-particle":"","family":"Tong","given":"Kit I","non-dropping-particle":"","parse-names":false,"suffix":""},{"dropping-particle":"","family":"Kim","given":"Mihee","non-dropping-particle":"","parse-names":false,"suffix":""},{"dropping-particle":"","family":"Nishito","given":"Yasumasa","non-dropping-particle":"","parse-names":false,"suffix":""},{"dropping-particle":"","family":"Iemura","given":"Shun-ichiro","non-dropping-particle":"","parse-names":false,"suffix":""},{"dropping-particle":"","family":"Natsume","given":"Tohru","non-dropping-particle":"","parse-names":false,"suffix":""},{"dropping-particle":"","family":"Ueno","given":"Takashi","non-dropping-particle":"","parse-names":false,"suffix":""},{"dropping-particle":"","family":"Kominami","given":"Eiki","non-dropping-particle":"","parse-names":false,"suffix":""},{"dropping-particle":"","family":"Motohashi","given":"Hozumi","non-dropping-particle":"","parse-names":false,"suffix":""},{"dropping-particle":"","family":"Tanaka","given":"Keiji","non-dropping-particle":"","parse-names":false,"suffix":""},{"dropping-particle":"","family":"Yamamoto","given":"Masayuki","non-dropping-particle":"","parse-names":false,"suffix":""}],"container-title":"Nature cell biology","id":"ITEM-1","issue":"3","issued":{"date-parts":[["2010"]]},"page":"213-223","title":"The selective autophagy substrate p62 activates the stress responsive transcription factor Nrf2 through inactivation of Keap1.","type":"article-journal","volume":"12"},"uris":["http://www.mendeley.com/documents/?uuid=52e79e8d-cb95-42a4-a63a-87d5f9a1e7c5"]},{"id":"ITEM-2","itemData":{"DOI":"10.1074/jbc.M109.096545","ISBN":"1083-351X (Electronic)\\r0021-9258 (Linking)","ISSN":"00219258","PMID":"20378532","abstract":"Nrf2 regulates the expression of numerous cytoprotective genes in mammalian cells. The activity of Nrf2 is regulated by the Cul3 adaptor Keap1, yet little is known regarding mechanisms of regulation of Keap1 itself. Here, we have used immunopurification of Keap1 and mass spectrometry, in addition to immunoblotting, to identify sequestosome 1 (SQSTM1) as a cellular binding partner of Keap1. SQSTM1 serves as a scaffold in various signaling pathways and shuttles polyubiquitinated proteins to the proteasomal and lysosomal degradation machineries. Ectopic expression of SQSTM1 led to a decrease in the basal protein level of Keap1 in a panel of cells. Furthermore, RNA interference (RNAi) depletion of SQSTM1 resulted in an increase in the protein level of Keap1 and a concomitant decrease in the protein level of Nrf2 in the absence of changes in Keap1 or Nrf2 mRNA levels. The increased protein level of Keap1 in cells depleted of SQSTM1 by RNAi was linked to a decrease in its rate of degradation; the half-life of Keap1 was almost doubled by RNAi depletion of SQSTM1. The decreased level of Nrf2 in cells depleted of SQSTM1 by RNAi was associated with decreases in the mRNA levels, protein levels, and function of several Nrf2-regulated cell defense genes. SQSTM1 was dispensable for the induction of the Keap1-Nrf2 pathway, as Nrf2 activation by tert-butylhydroquinone or iodoacetamide was not affected by RNAi depletion of SQSTM1. These findings demonstrate a physical and functional interaction between Keap1 and SQSTM1 and reveal an additional layer of regulation in the Keap1-Nrf2 pathway.","author":[{"dropping-particle":"","family":"Copple","given":"Ian M.","non-dropping-particle":"","parse-names":false,"suffix":""},{"dropping-particle":"","family":"Lister","given":"Adam","non-dropping-particle":"","parse-names":false,"suffix":""},{"dropping-particle":"","family":"Obeng","given":"Akua D.","non-dropping-particle":"","parse-names":false,"suffix":""},{"dropping-particle":"","family":"Kitteringham","given":"Neil R.","non-dropping-particle":"","parse-names":false,"suffix":""},{"dropping-particle":"","family":"Jenkins","given":"Rosalind E.","non-dropping-particle":"","parse-names":false,"suffix":""},{"dropping-particle":"","family":"Layfield","given":"Robert","non-dropping-particle":"","parse-names":false,"suffix":""},{"dropping-particle":"","family":"Foster","given":"Brian J.","non-dropping-particle":"","parse-names":false,"suffix":""},{"dropping-particle":"","family":"Goldring","given":"Christopher E.","non-dropping-particle":"","parse-names":false,"suffix":""},{"dropping-particle":"","family":"Park","given":"B. Kevin","non-dropping-particle":"","parse-names":false,"suffix":""}],"container-title":"Journal of Biological Chemistry","id":"ITEM-2","issue":"22","issued":{"date-parts":[["2010"]]},"page":"16782-16788","title":"Physical and functional interaction of sequestosome 1 with Keap1 regulates the Keap1-Nrf2 cell defense pathway","type":"article-journal","volume":"285"},"uris":["http://www.mendeley.com/documents/?uuid=89f55386-8ac8-4719-be24-296dca776ada"]}],"mendeley":{"formattedCitation":"(Copple et al., 2010; Komatsu et al., 2010)","plainTextFormattedCitation":"(Copple et al., 2010; Komatsu et al., 2010)","previouslyFormattedCitation":"(Copple et al., 2010; Komatsu et al., 2010)"},"properties":{"noteIndex":0},"schema":"https://github.com/citation-style-language/schema/raw/master/csl-citation.json"}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(Copple et al., 2010; Komatsu et al., 2010)</w:t>
      </w:r>
      <w:r w:rsidR="00844011" w:rsidRPr="00CB1C44">
        <w:rPr>
          <w:rFonts w:ascii="Arial" w:hAnsi="Arial" w:cs="Arial"/>
          <w:lang w:val="en-US"/>
        </w:rPr>
        <w:fldChar w:fldCharType="end"/>
      </w:r>
      <w:r w:rsidR="00C30AE7" w:rsidRPr="00CB1C44">
        <w:rPr>
          <w:rFonts w:ascii="Arial" w:hAnsi="Arial" w:cs="Arial"/>
          <w:lang w:val="en-US"/>
        </w:rPr>
        <w:t xml:space="preserve">. </w:t>
      </w:r>
      <w:r w:rsidR="002D07A8" w:rsidRPr="00CB1C44">
        <w:rPr>
          <w:rFonts w:ascii="Arial" w:hAnsi="Arial" w:cs="Arial"/>
          <w:lang w:val="en-US"/>
        </w:rPr>
        <w:t>The b</w:t>
      </w:r>
      <w:r w:rsidR="000770A7" w:rsidRPr="00CB1C44">
        <w:rPr>
          <w:rFonts w:ascii="Arial" w:hAnsi="Arial" w:cs="Arial"/>
          <w:lang w:val="en-US"/>
        </w:rPr>
        <w:t>inding of p62 to Keap1</w:t>
      </w:r>
      <w:r w:rsidR="002D07A8" w:rsidRPr="00CB1C44">
        <w:rPr>
          <w:rFonts w:ascii="Arial" w:hAnsi="Arial" w:cs="Arial"/>
          <w:lang w:val="en-US"/>
        </w:rPr>
        <w:t xml:space="preserve"> </w:t>
      </w:r>
      <w:r w:rsidR="000770A7" w:rsidRPr="00CB1C44">
        <w:rPr>
          <w:rFonts w:ascii="Arial" w:hAnsi="Arial" w:cs="Arial"/>
          <w:lang w:val="en-US"/>
        </w:rPr>
        <w:t>occurs through a</w:t>
      </w:r>
      <w:r w:rsidR="005B39E5" w:rsidRPr="00CB1C44">
        <w:rPr>
          <w:rFonts w:ascii="Arial" w:hAnsi="Arial" w:cs="Arial"/>
          <w:lang w:val="en-US"/>
        </w:rPr>
        <w:t xml:space="preserve"> </w:t>
      </w:r>
      <w:r w:rsidR="005D2B31" w:rsidRPr="00CB1C44">
        <w:rPr>
          <w:rFonts w:ascii="Arial" w:hAnsi="Arial" w:cs="Arial"/>
          <w:lang w:val="en-US"/>
        </w:rPr>
        <w:t>E</w:t>
      </w:r>
      <w:r w:rsidR="005B39E5" w:rsidRPr="00CB1C44">
        <w:rPr>
          <w:rFonts w:ascii="Arial" w:hAnsi="Arial" w:cs="Arial"/>
          <w:lang w:val="en-US"/>
        </w:rPr>
        <w:t>TGE motif</w:t>
      </w:r>
      <w:r w:rsidR="009246D1"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{"citationItems":[{"id":"ITEM-1","itemData":{"DOI":"10.1016/j.freeradbiomed.2011.10.486","ISBN":"1873-4596 (Electronic)\\r0891-5849 (Linking)","ISSN":"08915849","PMID":"22107959","abstract":"Disruption of the interaction between the ubiquitination facilitator protein Keap1 and the cap'n'collar basic-region leucine-zipper transcription factor Nrf2 is a potential strategy to enhance expression of antioxidant and free radical detoxification gene products regulated by Nrf2. Agents that disrupt this protein-protein interaction may be useful pharmacological probes and future cancer-chemopreventive agents. We describe the structure-activity relationships for a series of peptides based upon regions of the Nrf2 Neh2 domain, of varying length and sequence, that interact with the Keap1 Kelch domain and disrupt the interaction with Nrf2. We have also investigated sequestosome-1 (p62) and prothymosin-α sequences that have been reported to interact with Keap1. To achieve this we have developed a high-throughput fluorescence polarization (FP) assay to screen inhibitors. In addition to screening synthetic peptides, we have used a phage display library approach to identify putative peptide ligands with non-native sequence motifs. Candidate peptides from the phage display library screening protocol were evaluated in the FP assay to quantify their binding activity. Hybrid peptides based upon the Nrf2 \"ETGE\" motif and the sequestosome-1 \"Keap1-interaction region\" have superior binding activity compared to either native peptide alone. © 2011 Elsevier Inc.","author":[{"dropping-particle":"","family":"Hancock","given":"Rowena","non-dropping-particle":"","parse-names":false,"suffix":""},{"dropping-particle":"","family":"Bertrand","given":"Hélène C.","non-dropping-particle":"","parse-names":false,"suffix":""},{"dropping-particle":"","family":"Tsujita","given":"Tadayuki","non-dropping-particle":"","parse-names":false,"suffix":""},{"dropping-particle":"","family":"Naz","given":"Shama","non-dropping-particle":"","parse-names":false,"suffix":""},{"dropping-particle":"","family":"El-Bakry","given":"Ayman","non-dropping-particle":"","parse-names":false,"suffix":""},{"dropping-particle":"","family":"Laoruchupong","given":"Jitnueng","non-dropping-particle":"","parse-names":false,"suffix":""},{"dropping-particle":"","family":"Hayes","given":"John D.","non-dropping-particle":"","parse-names":false,"suffix":""},{"dropping-particle":"","family":"Wells","given":"Geoff","non-dropping-particle":"","parse-names":false,"suffix":""}],"container-title":"Free Radical Biology and Medicine","id":"ITEM-1","issue":"2","issued":{"date-parts":[["2012"]]},"page":"444-451","title":"Peptide inhibitors of the Keap1-Nrf2 protein-protein interaction","type":"article-journal","volume":"52"},"uris":["http://www.mendeley.com/documents/?uuid=893362f2-ad6f-4b34-91dd-7782727c836c"]}],"mendeley":{"formattedCitation":"(Hancock et al., 2012)","plainTextFormattedCitation":"(Hancock et al., 2012)","previouslyFormattedCitation":"(Hancock et al., 2012)"},"properties":{"noteIndex":0},"schema":"https://github.com/citation-style-language/schema/raw/master/csl-citation.json"}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(Hancock et al., 2012)</w:t>
      </w:r>
      <w:r w:rsidR="00844011" w:rsidRPr="00CB1C44">
        <w:rPr>
          <w:rFonts w:ascii="Arial" w:hAnsi="Arial" w:cs="Arial"/>
          <w:lang w:val="en-US"/>
        </w:rPr>
        <w:fldChar w:fldCharType="end"/>
      </w:r>
      <w:r w:rsidR="00804318" w:rsidRPr="00CB1C44">
        <w:rPr>
          <w:rFonts w:ascii="Arial" w:hAnsi="Arial" w:cs="Arial"/>
          <w:lang w:val="en-US"/>
        </w:rPr>
        <w:t xml:space="preserve"> and further leads to the binding of </w:t>
      </w:r>
      <w:r w:rsidR="0065577B" w:rsidRPr="00CB1C44">
        <w:rPr>
          <w:rFonts w:ascii="Arial" w:hAnsi="Arial" w:cs="Arial"/>
          <w:lang w:val="en-US"/>
        </w:rPr>
        <w:t>microtubule-associated protein 1A/1B-light chain 3 (</w:t>
      </w:r>
      <w:r w:rsidR="005B39E5" w:rsidRPr="00CB1C44">
        <w:rPr>
          <w:rFonts w:ascii="Arial" w:hAnsi="Arial" w:cs="Arial"/>
          <w:lang w:val="en-US"/>
        </w:rPr>
        <w:t>LC3</w:t>
      </w:r>
      <w:r w:rsidR="0065577B" w:rsidRPr="00CB1C44">
        <w:rPr>
          <w:rFonts w:ascii="Arial" w:hAnsi="Arial" w:cs="Arial"/>
          <w:lang w:val="en-US"/>
        </w:rPr>
        <w:t>)</w:t>
      </w:r>
      <w:r w:rsidR="000770A7" w:rsidRPr="00CB1C44">
        <w:rPr>
          <w:rFonts w:ascii="Arial" w:hAnsi="Arial" w:cs="Arial"/>
          <w:lang w:val="en-US"/>
        </w:rPr>
        <w:t xml:space="preserve"> associated to </w:t>
      </w:r>
      <w:r w:rsidR="005B39E5" w:rsidRPr="00CB1C44">
        <w:rPr>
          <w:rFonts w:ascii="Arial" w:hAnsi="Arial" w:cs="Arial"/>
          <w:lang w:val="en-US"/>
        </w:rPr>
        <w:t xml:space="preserve">the autophagosome membrane, leading to Keap1 degradation and </w:t>
      </w:r>
      <w:r w:rsidR="000770A7" w:rsidRPr="00CB1C44">
        <w:rPr>
          <w:rFonts w:ascii="Arial" w:hAnsi="Arial" w:cs="Arial"/>
          <w:lang w:val="en-US"/>
        </w:rPr>
        <w:t xml:space="preserve">consequent </w:t>
      </w:r>
      <w:r w:rsidR="005B39E5" w:rsidRPr="00CB1C44">
        <w:rPr>
          <w:rFonts w:ascii="Arial" w:hAnsi="Arial" w:cs="Arial"/>
          <w:lang w:val="en-US"/>
        </w:rPr>
        <w:t xml:space="preserve">Nrf2 accumulation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{"citationItems":[{"id":"ITEM-1","itemData":{"DOI":"10.1038/ncb2021","ISBN":"1476-4679 (Electronic)\\r1465-7392 (Linking)","ISSN":"1465-7392","PMID":"20173742","abstract":"Impaired selective turnover of p62 by autophagy causes severe liver injury accompanied by the formation of p62-positive inclusions and upregulation of detoxifying enzymes. These phenotypes correspond closely to the pathological conditions seen in human liver diseases, including alcoholic hepatitis and hepatocellular carcinoma. However, the molecular mechanisms and pathophysiological processes in these events are still unknown. Here we report the identification of a novel regulatory mechanism by p62 of the transcription factor Nrf2, whose target genes include antioxidant proteins and detoxification enzymes. p62 interacts with the Nrf2-binding site on Keap1, a component of Cullin-3-type ubiquitin ligase for Nrf2. Thus, an overproduction of p62 or a deficiency in autophagy competes with the interaction between Nrf2 and Keap1, resulting in stabilization of Nrf2 and transcriptional activation of Nrf2 target genes. Our findings indicate that the pathological process associated with p62 accumulation results in hyperactivation of Nrf2 and delineates unexpected roles of selective autophagy in controlling the transcription of cellular defence enzyme genes.","author":[{"dropping-particle":"","family":"Komatsu","given":"Masaaki","non-dropping-particle":"","parse-names":false,"suffix":""},{"dropping-particle":"","family":"Kurokawa","given":"Hirofumi","non-dropping-particle":"","parse-names":false,"suffix":""},{"dropping-particle":"","family":"Waguri","given":"Satoshi","non-dropping-particle":"","parse-names":false,"suffix":""},{"dropping-particle":"","family":"Taguchi","given":"Keiko","non-dropping-particle":"","parse-names":false,"suffix":""},{"dropping-particle":"","family":"Kobayashi","given":"Akira","non-dropping-particle":"","parse-names":false,"suffix":""},{"dropping-particle":"","family":"Ichimura","given":"Yoshinobu","non-dropping-particle":"","parse-names":false,"suffix":""},{"dropping-particle":"","family":"Sou","given":"Yu-Shin","non-dropping-particle":"","parse-names":false,"suffix":""},{"dropping-particle":"","family":"Ueno","given":"Izumi","non-dropping-particle":"","parse-names":false,"suffix":""},{"dropping-particle":"","family":"Sakamoto","given":"Ayako","non-dropping-particle":"","parse-names":false,"suffix":""},{"dropping-particle":"","family":"Tong","given":"Kit I","non-dropping-particle":"","parse-names":false,"suffix":""},{"dropping-particle":"","family":"Kim","given":"Mihee","non-dropping-particle":"","parse-names":false,"suffix":""},{"dropping-particle":"","family":"Nishito","given":"Yasumasa","non-dropping-particle":"","parse-names":false,"suffix":""},{"dropping-particle":"","family":"Iemura","given":"Shun-ichiro","non-dropping-particle":"","parse-names":false,"suffix":""},{"dropping-particle":"","family":"Natsume","given":"Tohru","non-dropping-particle":"","parse-names":false,"suffix":""},{"dropping-particle":"","family":"Ueno","given":"Takashi","non-dropping-particle":"","parse-names":false,"suffix":""},{"dropping-particle":"","family":"Kominami","given":"Eiki","non-dropping-particle":"","parse-names":false,"suffix":""},{"dropping-particle":"","family":"Motohashi","given":"Hozumi","non-dropping-particle":"","parse-names":false,"suffix":""},{"dropping-particle":"","family":"Tanaka","given":"Keiji","non-dropping-particle":"","parse-names":false,"suffix":""},{"dropping-particle":"","family":"Yamamoto","given":"Masayuki","non-dropping-particle":"","parse-names":false,"suffix":""}],"container-title":"Nature cell biology","id":"ITEM-1","issue":"3","issued":{"date-parts":[["2010"]]},"page":"213-223","title":"The selective autophagy substrate p62 activates the stress responsive transcription factor Nrf2 through inactivation of Keap1.","type":"article-journal","volume":"12"},"uris":["http://www.mendeley.com/documents/?uuid=52e79e8d-cb95-42a4-a63a-87d5f9a1e7c5"]}],"mendeley":{"formattedCitation":"(Komatsu et al., 2010)","plainTextFormattedCitation":"(Komatsu et al., 2010)","previouslyFormattedCitation":"(Komatsu et al., 2010)"},"properties":{"noteIndex":0},"schema":"https://github.com/citation-style-language/schema/raw/master/csl-citation.json"}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(Komatsu et al., 2010)</w:t>
      </w:r>
      <w:r w:rsidR="00844011" w:rsidRPr="00CB1C44">
        <w:rPr>
          <w:rFonts w:ascii="Arial" w:hAnsi="Arial" w:cs="Arial"/>
          <w:lang w:val="en-US"/>
        </w:rPr>
        <w:fldChar w:fldCharType="end"/>
      </w:r>
      <w:r w:rsidR="00166CA2" w:rsidRPr="00CB1C44">
        <w:rPr>
          <w:rFonts w:ascii="Arial" w:hAnsi="Arial" w:cs="Arial"/>
          <w:lang w:val="en-US"/>
        </w:rPr>
        <w:t>.</w:t>
      </w:r>
      <w:r w:rsidR="00306ED4" w:rsidRPr="00CB1C44">
        <w:rPr>
          <w:rFonts w:ascii="Arial" w:hAnsi="Arial" w:cs="Arial"/>
          <w:lang w:val="en-US"/>
        </w:rPr>
        <w:t xml:space="preserve"> </w:t>
      </w:r>
      <w:r w:rsidR="00C53244" w:rsidRPr="00CB1C44">
        <w:rPr>
          <w:rFonts w:ascii="Arial" w:hAnsi="Arial" w:cs="Arial"/>
          <w:lang w:val="en-US"/>
        </w:rPr>
        <w:t xml:space="preserve">Interestingly, </w:t>
      </w:r>
      <w:r w:rsidR="00D30981" w:rsidRPr="00CB1C44">
        <w:rPr>
          <w:rFonts w:ascii="Arial" w:hAnsi="Arial" w:cs="Arial"/>
          <w:lang w:val="en-US"/>
        </w:rPr>
        <w:t xml:space="preserve">Jain and colleagues showed </w:t>
      </w:r>
      <w:r w:rsidR="00B40E56" w:rsidRPr="00CB1C44">
        <w:rPr>
          <w:rFonts w:ascii="Arial" w:hAnsi="Arial" w:cs="Arial"/>
          <w:lang w:val="en-US"/>
        </w:rPr>
        <w:t>that</w:t>
      </w:r>
      <w:r w:rsidR="00D30981" w:rsidRPr="00CB1C44">
        <w:rPr>
          <w:rFonts w:ascii="Arial" w:hAnsi="Arial" w:cs="Arial"/>
          <w:lang w:val="en-US"/>
        </w:rPr>
        <w:t xml:space="preserve"> </w:t>
      </w:r>
      <w:r w:rsidR="00C53244" w:rsidRPr="00CB1C44">
        <w:rPr>
          <w:rFonts w:ascii="Arial" w:hAnsi="Arial" w:cs="Arial"/>
          <w:lang w:val="en-US"/>
        </w:rPr>
        <w:t xml:space="preserve">Nrf2 </w:t>
      </w:r>
      <w:r w:rsidR="00D32393" w:rsidRPr="00CB1C44">
        <w:rPr>
          <w:rFonts w:ascii="Arial" w:hAnsi="Arial" w:cs="Arial"/>
          <w:lang w:val="en-US"/>
        </w:rPr>
        <w:t xml:space="preserve">can </w:t>
      </w:r>
      <w:r w:rsidR="00C53244" w:rsidRPr="00CB1C44">
        <w:rPr>
          <w:rFonts w:ascii="Arial" w:hAnsi="Arial" w:cs="Arial"/>
          <w:lang w:val="en-US"/>
        </w:rPr>
        <w:t xml:space="preserve">mediate the induction of </w:t>
      </w:r>
      <w:r w:rsidR="00C53244" w:rsidRPr="00CB1C44">
        <w:rPr>
          <w:rFonts w:ascii="Arial" w:hAnsi="Arial" w:cs="Arial"/>
          <w:i/>
          <w:lang w:val="en-US"/>
        </w:rPr>
        <w:t>p62</w:t>
      </w:r>
      <w:r w:rsidR="00C53244" w:rsidRPr="00CB1C44">
        <w:rPr>
          <w:rFonts w:ascii="Arial" w:hAnsi="Arial" w:cs="Arial"/>
          <w:lang w:val="en-US"/>
        </w:rPr>
        <w:t xml:space="preserve"> gene expression,</w:t>
      </w:r>
      <w:r w:rsidR="001511B3" w:rsidRPr="00CB1C44">
        <w:rPr>
          <w:rFonts w:ascii="Arial" w:hAnsi="Arial" w:cs="Arial"/>
          <w:lang w:val="en-US"/>
        </w:rPr>
        <w:t xml:space="preserve"> </w:t>
      </w:r>
      <w:r w:rsidR="00D30981" w:rsidRPr="00CB1C44">
        <w:rPr>
          <w:rFonts w:ascii="Arial" w:hAnsi="Arial" w:cs="Arial"/>
          <w:lang w:val="en-US"/>
        </w:rPr>
        <w:lastRenderedPageBreak/>
        <w:t xml:space="preserve">by binding directly to a conserved ARE in </w:t>
      </w:r>
      <w:r w:rsidR="00D30981" w:rsidRPr="00CB1C44">
        <w:rPr>
          <w:rFonts w:ascii="Arial" w:hAnsi="Arial" w:cs="Arial"/>
          <w:i/>
          <w:lang w:val="en-US"/>
        </w:rPr>
        <w:t>p62</w:t>
      </w:r>
      <w:r w:rsidR="00D30981" w:rsidRPr="00CB1C44">
        <w:rPr>
          <w:rFonts w:ascii="Arial" w:hAnsi="Arial" w:cs="Arial"/>
          <w:lang w:val="en-US"/>
        </w:rPr>
        <w:t xml:space="preserve"> promoter/enhancer</w:t>
      </w:r>
      <w:r w:rsidR="001511B3" w:rsidRPr="00CB1C44">
        <w:rPr>
          <w:rFonts w:ascii="Arial" w:hAnsi="Arial" w:cs="Arial"/>
          <w:lang w:val="en-US"/>
        </w:rPr>
        <w:t>,</w:t>
      </w:r>
      <w:r w:rsidR="00C53244" w:rsidRPr="00CB1C44">
        <w:rPr>
          <w:rFonts w:ascii="Arial" w:hAnsi="Arial" w:cs="Arial"/>
          <w:lang w:val="en-US"/>
        </w:rPr>
        <w:t xml:space="preserve"> </w:t>
      </w:r>
      <w:r w:rsidR="00D30981" w:rsidRPr="00CB1C44">
        <w:rPr>
          <w:rFonts w:ascii="Arial" w:hAnsi="Arial" w:cs="Arial"/>
          <w:lang w:val="en-US"/>
        </w:rPr>
        <w:t>and</w:t>
      </w:r>
      <w:r w:rsidR="00C53244" w:rsidRPr="00CB1C44">
        <w:rPr>
          <w:rFonts w:ascii="Arial" w:hAnsi="Arial" w:cs="Arial"/>
          <w:lang w:val="en-US"/>
        </w:rPr>
        <w:t xml:space="preserve"> in turn, p62 </w:t>
      </w:r>
      <w:r w:rsidR="00E626BB" w:rsidRPr="00CB1C44">
        <w:rPr>
          <w:rFonts w:ascii="Arial" w:hAnsi="Arial" w:cs="Arial"/>
          <w:lang w:val="en-US"/>
        </w:rPr>
        <w:t>favor</w:t>
      </w:r>
      <w:r w:rsidR="00071622" w:rsidRPr="00CB1C44">
        <w:rPr>
          <w:rFonts w:ascii="Arial" w:hAnsi="Arial" w:cs="Arial"/>
          <w:lang w:val="en-US"/>
        </w:rPr>
        <w:t>s</w:t>
      </w:r>
      <w:r w:rsidR="00C53244" w:rsidRPr="00CB1C44">
        <w:rPr>
          <w:rFonts w:ascii="Arial" w:hAnsi="Arial" w:cs="Arial"/>
          <w:lang w:val="en-US"/>
        </w:rPr>
        <w:t xml:space="preserve"> Nrf2 activation, creating a positive feedback loop </w:t>
      </w:r>
      <w:r w:rsidR="00D32393" w:rsidRPr="00CB1C44">
        <w:rPr>
          <w:rFonts w:ascii="Arial" w:hAnsi="Arial" w:cs="Arial"/>
          <w:lang w:val="en-US"/>
        </w:rPr>
        <w:fldChar w:fldCharType="begin" w:fldLock="1"/>
      </w:r>
      <w:r w:rsidR="003A08F4" w:rsidRPr="00CB1C44">
        <w:rPr>
          <w:rFonts w:ascii="Arial" w:hAnsi="Arial" w:cs="Arial"/>
          <w:lang w:val="en-US"/>
        </w:rPr>
        <w:instrText>ADDIN CSL_CITATION {"citationItems":[{"id":"ITEM-1","itemData":{"DOI":"10.1074/jbc.M110.118976","ISSN":"00219258","abstract":"The p62/SQSTM1 (sequestosome 1) protein, which acts as a cargo receptor for autophagic degradation of ubiquitinated targets, is up-regulated by various stressors. Induction of the p62 gene by oxidative stress is mediated by NF-E2-related factor 2 (NRF2) and, at the same time, p62 protein contributes to the activation of NRF2, but hitherto the mechanisms involved were not known. Herein, we have mapped an antioxidant response element (ARE) in the p62 promoter that is responsible for its induction by oxidative stress via NRF2. Chromatin immunoprecipitation and gel mobility-shift assays verified that NRF2 binds to this cis-element in vivo and in vitro. Also, p62 docks directly onto the Kelch-repeat domain of Kelch-like ECH-associated protein 1 (KEAP1), via a motif designated the KEAP1 interacting region (KIR), thereby blocking binding between KEAP1 and NRF2 that leads to ubiquitylation and degradation of the transcription factor. The KIR motif in p62 is located immediately C-terminal to the LC3-interacting region (LIR) and resembles the ETGE motif utilized by NRF2 for its interaction with KEAP1. KIR is required for p62 to stabilize NRF2, and inhibition of KEAP1 by p62 occurs from a cytoplasmic location within the cell. The LIR and KIR motifs cannot be engaged simultaneously by LC3 and KEAP1, but because p62 is polymeric the interaction between KEAP1 and p62 leads to accumulation of KEAP1 in p62 bodies, which is followed by autophagic degradation of KEAP1. Our data explain how p62 contributes to activation of NRF2 target genes in response to oxidative stress through creating a positive feedback loop.","author":[{"dropping-particle":"","family":"Jain","given":"Ashish","non-dropping-particle":"","parse-names":false,"suffix":""},{"dropping-particle":"","family":"Lamark","given":"Trond","non-dropping-particle":"","parse-names":false,"suffix":""},{"dropping-particle":"","family":"Sjøttem","given":"Eva","non-dropping-particle":"","parse-names":false,"suffix":""},{"dropping-particle":"","family":"Larsen","given":"Kenneth Bowitz","non-dropping-particle":"","parse-names":false,"suffix":""},{"dropping-particle":"","family":"Awuh","given":"Jane Atesoh","non-dropping-particle":"","parse-names":false,"suffix":""},{"dropping-particle":"","family":"Øvervatn","given":"Aud","non-dropping-particle":"","parse-names":false,"suffix":""},{"dropping-particle":"","family":"McMahon","given":"Michael","non-dropping-particle":"","parse-names":false,"suffix":""},{"dropping-particle":"","family":"Hayes","given":"John D.","non-dropping-particle":"","parse-names":false,"suffix":""},{"dropping-particle":"","family":"Johansen","given":"Terje","non-dropping-particle":"","parse-names":false,"suffix":""}],"container-title":"Journal of Biological Chemistry","id":"ITEM-1","issued":{"date-parts":[["2010"]]},"title":"p62/SQSTM1 is a target gene for transcription factor NRF2 and creates a positive feedback loop by inducing antioxidant response element-driven gene transcription","type":"article-journal"},"uris":["http://www.mendeley.com/documents/?uuid=e8bfc337-d921-403c-bdab-e5dfc44bb201"]}],"mendeley":{"formattedCitation":"(Jain et al., 2010)","plainTextFormattedCitation":"(Jain et al., 2010)","previouslyFormattedCitation":"(Jain et al., 2010)"},"properties":{"noteIndex":0},"schema":"https://github.com/citation-style-language/schema/raw/master/csl-citation.json"}</w:instrText>
      </w:r>
      <w:r w:rsidR="00D32393" w:rsidRPr="00CB1C44">
        <w:rPr>
          <w:rFonts w:ascii="Arial" w:hAnsi="Arial" w:cs="Arial"/>
          <w:lang w:val="en-US"/>
        </w:rPr>
        <w:fldChar w:fldCharType="separate"/>
      </w:r>
      <w:r w:rsidR="00D32393" w:rsidRPr="00CB1C44">
        <w:rPr>
          <w:rFonts w:ascii="Arial" w:hAnsi="Arial" w:cs="Arial"/>
          <w:noProof/>
          <w:lang w:val="en-US"/>
        </w:rPr>
        <w:t>(Jain et al., 2010)</w:t>
      </w:r>
      <w:r w:rsidR="00D32393" w:rsidRPr="00CB1C44">
        <w:rPr>
          <w:rFonts w:ascii="Arial" w:hAnsi="Arial" w:cs="Arial"/>
          <w:lang w:val="en-US"/>
        </w:rPr>
        <w:fldChar w:fldCharType="end"/>
      </w:r>
      <w:r w:rsidR="00C53244" w:rsidRPr="00CB1C44">
        <w:rPr>
          <w:rFonts w:ascii="Arial" w:hAnsi="Arial" w:cs="Arial"/>
          <w:lang w:val="en-US"/>
        </w:rPr>
        <w:t>.</w:t>
      </w:r>
    </w:p>
    <w:p w14:paraId="42C95E2D" w14:textId="77777777" w:rsidR="00BB52DF" w:rsidRPr="00CB1C44" w:rsidRDefault="00BB52DF" w:rsidP="004038B5">
      <w:pPr>
        <w:spacing w:after="0" w:line="360" w:lineRule="auto"/>
        <w:jc w:val="both"/>
        <w:outlineLvl w:val="0"/>
        <w:rPr>
          <w:rFonts w:ascii="Arial" w:hAnsi="Arial" w:cs="Arial"/>
          <w:b/>
          <w:lang w:val="en-US"/>
        </w:rPr>
      </w:pPr>
    </w:p>
    <w:p w14:paraId="547A8FA3" w14:textId="66948FE3" w:rsidR="00077ADF" w:rsidRPr="00CB1C44" w:rsidRDefault="00573725" w:rsidP="004038B5">
      <w:pPr>
        <w:spacing w:after="0" w:line="360" w:lineRule="auto"/>
        <w:jc w:val="both"/>
        <w:outlineLvl w:val="0"/>
        <w:rPr>
          <w:rFonts w:ascii="Arial" w:hAnsi="Arial" w:cs="Arial"/>
          <w:b/>
          <w:lang w:val="en-US"/>
        </w:rPr>
      </w:pPr>
      <w:r w:rsidRPr="00CB1C44">
        <w:rPr>
          <w:rFonts w:ascii="Arial" w:hAnsi="Arial" w:cs="Arial"/>
          <w:b/>
          <w:lang w:val="en-US"/>
        </w:rPr>
        <w:t>2</w:t>
      </w:r>
      <w:r w:rsidR="00E969E5" w:rsidRPr="00CB1C44">
        <w:rPr>
          <w:rFonts w:ascii="Arial" w:hAnsi="Arial" w:cs="Arial"/>
          <w:b/>
          <w:lang w:val="en-US"/>
        </w:rPr>
        <w:t>.2</w:t>
      </w:r>
      <w:r w:rsidR="00077ADF" w:rsidRPr="00CB1C44">
        <w:rPr>
          <w:rFonts w:ascii="Arial" w:hAnsi="Arial" w:cs="Arial"/>
          <w:b/>
          <w:lang w:val="en-US"/>
        </w:rPr>
        <w:t xml:space="preserve"> Keap1-independent </w:t>
      </w:r>
      <w:r w:rsidR="00620819" w:rsidRPr="00CB1C44">
        <w:rPr>
          <w:rFonts w:ascii="Arial" w:hAnsi="Arial" w:cs="Arial"/>
          <w:b/>
          <w:lang w:val="en-US"/>
        </w:rPr>
        <w:t xml:space="preserve">regulation of </w:t>
      </w:r>
      <w:r w:rsidR="00077ADF" w:rsidRPr="00CB1C44">
        <w:rPr>
          <w:rFonts w:ascii="Arial" w:hAnsi="Arial" w:cs="Arial"/>
          <w:b/>
          <w:lang w:val="en-US"/>
        </w:rPr>
        <w:t>Nrf2</w:t>
      </w:r>
    </w:p>
    <w:p w14:paraId="02162F92" w14:textId="464356BA" w:rsidR="008D4829" w:rsidRPr="00CB1C44" w:rsidRDefault="004568AA" w:rsidP="004038B5">
      <w:pPr>
        <w:spacing w:after="0" w:line="360" w:lineRule="auto"/>
        <w:jc w:val="both"/>
        <w:rPr>
          <w:rFonts w:ascii="Arial" w:hAnsi="Arial" w:cs="Arial"/>
          <w:lang w:val="en-US"/>
        </w:rPr>
      </w:pPr>
      <w:r w:rsidRPr="00CB1C44">
        <w:rPr>
          <w:rFonts w:ascii="Arial" w:hAnsi="Arial" w:cs="Arial"/>
          <w:lang w:val="en-US"/>
        </w:rPr>
        <w:t xml:space="preserve">Besides Keap1, </w:t>
      </w:r>
      <w:r w:rsidR="0087778F" w:rsidRPr="00CB1C44">
        <w:rPr>
          <w:rFonts w:ascii="Arial" w:hAnsi="Arial" w:cs="Arial"/>
          <w:lang w:val="en-US"/>
        </w:rPr>
        <w:t xml:space="preserve">several proteins can regulate </w:t>
      </w:r>
      <w:r w:rsidRPr="00CB1C44">
        <w:rPr>
          <w:rFonts w:ascii="Arial" w:hAnsi="Arial" w:cs="Arial"/>
          <w:lang w:val="en-US"/>
        </w:rPr>
        <w:t>the Nrf2-ARE pathway</w:t>
      </w:r>
      <w:r w:rsidR="0087778F" w:rsidRPr="00CB1C44">
        <w:rPr>
          <w:rFonts w:ascii="Arial" w:hAnsi="Arial" w:cs="Arial"/>
          <w:lang w:val="en-US"/>
        </w:rPr>
        <w:t>, mainly by phosphorylation</w:t>
      </w:r>
      <w:r w:rsidRPr="00CB1C44">
        <w:rPr>
          <w:rFonts w:ascii="Arial" w:hAnsi="Arial" w:cs="Arial"/>
          <w:lang w:val="en-US"/>
        </w:rPr>
        <w:t xml:space="preserve">. </w:t>
      </w:r>
      <w:r w:rsidR="000C1BBE" w:rsidRPr="00CB1C44">
        <w:rPr>
          <w:rFonts w:ascii="Arial" w:hAnsi="Arial" w:cs="Arial"/>
          <w:lang w:val="en-US"/>
        </w:rPr>
        <w:t xml:space="preserve">In fact, </w:t>
      </w:r>
      <w:r w:rsidR="00B226C5" w:rsidRPr="00CB1C44">
        <w:rPr>
          <w:rFonts w:ascii="Arial" w:hAnsi="Arial" w:cs="Arial"/>
          <w:lang w:val="en-US"/>
        </w:rPr>
        <w:t xml:space="preserve">Nrf2 comprises several sites for phosphorylation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{"citationItems":[{"id":"ITEM-1","itemData":{"DOI":"10.1016/j.freeradbiomed.2011.11.003","ISBN":"1873-4596 (Electronic)\\r0891-5849 (Linking)","ISSN":"08915849","PMID":"22142471","abstract":"Defense against oxidative stress is executed by an antioxidant program that is tightly controlled by the transcription factor Nrf2. The stability of Nrf2 involves the interaction of two degradation domains, designated Neh2 and Neh6, with the E3 ubiquitin ligase adaptors, Keap1 and β-TrCP, respectively. The regulation of Nrf2 through the Neh6 degron remains largely unexplored but requires GSK-3 to form a phosphodegron. In this study, the cancer- chemopreventive agent nordihydroguaiaretic acid (NDGA) increased the level of Nrf2 protein and expression of heme oxygenase-1 (HO-1) in kidney-derived LLC-PK1 and HEK293T cells and in wild-type mouse embryo fibroblasts (MEFs). However, NDGA did not induce HO-1 in Nrf2 -/- MEFs, indicating that Nrf2 is required for induction. The relevance of the Nrf2/HO-1 axis to antioxidant protection was further demonstrated by the finding that the HO-1 inhibitor stannous-mesoporphyrin abolished protection against hydrogen peroxide conferred by NDGA. NDGA increased Nrf2 and HO-1 protein levels in Keap1 -/- MEFs, implying that Keap1-independent mechanisms regulate Nrf2 stability. Mutants of the Neh2 or Nrh6 domain and chimeric proteins comprising cyan fluorescent protein fused to Neh2 and green fluorescent protein fused to Neh6 exhibited longer half-lives in the presence of NDGA, demonstrating that NDGA targets both the Neh2 and the Neh6 degrons. In common with other chemopreventive agents, NDGA activated the ERK1/2, p38, JNK, and PI3K pathways. By using selective kinase inhibitors we found that PI3K, JNK, and p38 were responsible for the stabilization of Nrf2 and induction of HO-1 by NDGA. To explain how NDGA might up-regulate Nrf2 in a Keap1-independent manner we explored the participation of GSK-3β because it controls the Neh6 phosphodegron. Importantly, NDGA caused inhibitory phosphorylation of GSK-3β at Ser9 and at Thr390, and this was associated with a substantial reduction in Neh6 phosphorylation. Our study demonstrates that NDGA activates Nrf2 through multiple signaling cascades and identifies GSK-3β as an integrator of these signaling pathways and a gatekeeper of Nrf2 stability at the level of the Neh6 phosphodegron. © 2011 Elsevier Inc.","author":[{"dropping-particle":"","family":"Rojo","given":"Ana I.","non-dropping-particle":"","parse-names":false,"suffix":""},{"dropping-particle":"","family":"Medina-Campos","given":"Omar Noel","non-dropping-particle":"","parse-names":false,"suffix":""},{"dropping-particle":"","family":"Rada","given":"Patricia","non-dropping-particle":"","parse-names":false,"suffix":""},{"dropping-particle":"","family":"Zúñiga-Toalá","given":"Adverqueydi","non-dropping-particle":"","parse-names":false,"suffix":""},{"dropping-particle":"","family":"López-Gazcón","given":"Areli","non-dropping-particle":"","parse-names":false,"suffix":""},{"dropping-particle":"","family":"Espada","given":"Sandra","non-dropping-particle":"","parse-names":false,"suffix":""},{"dropping-particle":"","family":"Pedraza-Chaverri","given":"José","non-dropping-particle":"","parse-names":false,"suffix":""},{"dropping-particle":"","family":"Cuadrado","given":"Antonio","non-dropping-particle":"","parse-names":false,"suffix":""}],"container-title":"Free Radical Biology and Medicine","id":"ITEM-1","issue":"2","issued":{"date-parts":[["2012"]]},"page":"473-487","title":"Signaling pathways activated by the phytochemical nordihydroguaiaretic acid contribute to a Keap1-independent regulation of Nrf2 stability: Role of glycogen synthase kinase-3","type":"article-journal","volume":"52"},"uris":["http://www.mendeley.com/documents/?uuid=93abc290-e8b0-4143-a432-2a4980c8edc6"]}],"mendeley":{"formattedCitation":"(Rojo et al., 2012)","plainTextFormattedCitation":"(Rojo et al., 2012)","previouslyFormattedCitation":"(Rojo et al., 2012)"},"properties":{"noteIndex":0},"schema":"https://github.com/citation-style-language/schema/raw/master/csl-citation.json"}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(Rojo et al., 2012)</w:t>
      </w:r>
      <w:r w:rsidR="00844011" w:rsidRPr="00CB1C44">
        <w:rPr>
          <w:rFonts w:ascii="Arial" w:hAnsi="Arial" w:cs="Arial"/>
          <w:lang w:val="en-US"/>
        </w:rPr>
        <w:fldChar w:fldCharType="end"/>
      </w:r>
      <w:r w:rsidR="003C1E6A" w:rsidRPr="00CB1C44">
        <w:rPr>
          <w:rFonts w:ascii="Arial" w:hAnsi="Arial" w:cs="Arial"/>
          <w:lang w:val="en-US"/>
        </w:rPr>
        <w:t xml:space="preserve"> </w:t>
      </w:r>
      <w:r w:rsidR="006E292F" w:rsidRPr="00CB1C44">
        <w:rPr>
          <w:rFonts w:ascii="Arial" w:hAnsi="Arial" w:cs="Arial"/>
          <w:lang w:val="en-US"/>
        </w:rPr>
        <w:t xml:space="preserve">described </w:t>
      </w:r>
      <w:r w:rsidR="00B226C5" w:rsidRPr="00CB1C44">
        <w:rPr>
          <w:rFonts w:ascii="Arial" w:hAnsi="Arial" w:cs="Arial"/>
          <w:lang w:val="en-US"/>
        </w:rPr>
        <w:t xml:space="preserve">as important regulators of both </w:t>
      </w:r>
      <w:r w:rsidR="00266845" w:rsidRPr="00CB1C44">
        <w:rPr>
          <w:rFonts w:ascii="Arial" w:hAnsi="Arial" w:cs="Arial"/>
          <w:lang w:val="en-US"/>
        </w:rPr>
        <w:t xml:space="preserve">Nrf2 </w:t>
      </w:r>
      <w:r w:rsidR="00B226C5" w:rsidRPr="00CB1C44">
        <w:rPr>
          <w:rFonts w:ascii="Arial" w:hAnsi="Arial" w:cs="Arial"/>
          <w:lang w:val="en-US"/>
        </w:rPr>
        <w:t xml:space="preserve">nuclear accumulation or nuclear exclusion and degradation. </w:t>
      </w:r>
      <w:r w:rsidR="00573725" w:rsidRPr="00CB1C44">
        <w:rPr>
          <w:rFonts w:ascii="Arial" w:hAnsi="Arial" w:cs="Arial"/>
          <w:lang w:val="en-US"/>
        </w:rPr>
        <w:t>Next, we summarize some proteins and pathways</w:t>
      </w:r>
      <w:r w:rsidR="00241372" w:rsidRPr="00CB1C44">
        <w:rPr>
          <w:rFonts w:ascii="Arial" w:hAnsi="Arial" w:cs="Arial"/>
          <w:lang w:val="en-US"/>
        </w:rPr>
        <w:t xml:space="preserve"> that</w:t>
      </w:r>
      <w:r w:rsidR="00573725" w:rsidRPr="00CB1C44">
        <w:rPr>
          <w:rFonts w:ascii="Arial" w:hAnsi="Arial" w:cs="Arial"/>
          <w:lang w:val="en-US"/>
        </w:rPr>
        <w:t xml:space="preserve"> directly or indirectly regulate Nrf2 activity, in a Keap1-independent way</w:t>
      </w:r>
      <w:r w:rsidR="00773D5A" w:rsidRPr="00CB1C44">
        <w:rPr>
          <w:rFonts w:ascii="Arial" w:hAnsi="Arial" w:cs="Arial"/>
          <w:lang w:val="en-US"/>
        </w:rPr>
        <w:t>,</w:t>
      </w:r>
      <w:r w:rsidR="00AB0DF6" w:rsidRPr="00CB1C44">
        <w:rPr>
          <w:rFonts w:ascii="Arial" w:hAnsi="Arial" w:cs="Arial"/>
          <w:lang w:val="en-US"/>
        </w:rPr>
        <w:t xml:space="preserve"> </w:t>
      </w:r>
      <w:r w:rsidR="00FB3C97" w:rsidRPr="00CB1C44">
        <w:rPr>
          <w:rFonts w:ascii="Arial" w:hAnsi="Arial" w:cs="Arial"/>
          <w:lang w:val="en-US"/>
        </w:rPr>
        <w:t xml:space="preserve">and </w:t>
      </w:r>
      <w:r w:rsidR="008808EE" w:rsidRPr="00CB1C44">
        <w:rPr>
          <w:rFonts w:ascii="Arial" w:hAnsi="Arial" w:cs="Arial"/>
          <w:lang w:val="en-US"/>
        </w:rPr>
        <w:t>that</w:t>
      </w:r>
      <w:r w:rsidR="002D07A8" w:rsidRPr="00CB1C44">
        <w:rPr>
          <w:rFonts w:ascii="Arial" w:hAnsi="Arial" w:cs="Arial"/>
          <w:lang w:val="en-US"/>
        </w:rPr>
        <w:t xml:space="preserve"> </w:t>
      </w:r>
      <w:r w:rsidR="00FB3C97" w:rsidRPr="00CB1C44">
        <w:rPr>
          <w:rFonts w:ascii="Arial" w:hAnsi="Arial" w:cs="Arial"/>
          <w:lang w:val="en-US"/>
        </w:rPr>
        <w:t xml:space="preserve">are involved in NDD </w:t>
      </w:r>
      <w:r w:rsidR="00AB0DF6" w:rsidRPr="00CB1C44">
        <w:rPr>
          <w:rFonts w:ascii="Arial" w:hAnsi="Arial" w:cs="Arial"/>
          <w:lang w:val="en-US"/>
        </w:rPr>
        <w:t>(Figure 3)</w:t>
      </w:r>
      <w:r w:rsidR="00573725" w:rsidRPr="00CB1C44">
        <w:rPr>
          <w:rFonts w:ascii="Arial" w:hAnsi="Arial" w:cs="Arial"/>
          <w:lang w:val="en-US"/>
        </w:rPr>
        <w:t>.</w:t>
      </w:r>
    </w:p>
    <w:p w14:paraId="247BA85E" w14:textId="2202E080" w:rsidR="00166CA2" w:rsidRPr="00CB1C44" w:rsidRDefault="00FC4D96" w:rsidP="00166CA2">
      <w:pPr>
        <w:spacing w:after="0" w:line="360" w:lineRule="auto"/>
        <w:jc w:val="center"/>
        <w:rPr>
          <w:rFonts w:ascii="Arial" w:hAnsi="Arial" w:cs="Arial"/>
          <w:lang w:val="en-US"/>
        </w:rPr>
      </w:pPr>
      <w:r w:rsidRPr="00CB1C44">
        <w:rPr>
          <w:rFonts w:ascii="Arial" w:hAnsi="Arial" w:cs="Arial"/>
          <w:noProof/>
          <w:lang w:eastAsia="pt-PT"/>
        </w:rPr>
        <w:drawing>
          <wp:inline distT="0" distB="0" distL="0" distR="0" wp14:anchorId="636B5215" wp14:editId="08CFCB2A">
            <wp:extent cx="5114260" cy="3519376"/>
            <wp:effectExtent l="0" t="0" r="0" b="1143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o_Figure3.tiff"/>
                    <pic:cNvPicPr/>
                  </pic:nvPicPr>
                  <pic:blipFill rotWithShape="1">
                    <a:blip r:embed="rId10" cstate="print">
                      <a:extLst>
                        <a:ext uri="{28A0092B-C50C-407E-A947-70E740481C1C}">
                          <a14:useLocalDpi xmlns:a14="http://schemas.microsoft.com/office/drawing/2010/main" val="0"/>
                        </a:ext>
                      </a:extLst>
                    </a:blip>
                    <a:srcRect r="5292" b="11535"/>
                    <a:stretch/>
                  </pic:blipFill>
                  <pic:spPr bwMode="auto">
                    <a:xfrm>
                      <a:off x="0" y="0"/>
                      <a:ext cx="5114260" cy="3519376"/>
                    </a:xfrm>
                    <a:prstGeom prst="rect">
                      <a:avLst/>
                    </a:prstGeom>
                    <a:ln>
                      <a:noFill/>
                    </a:ln>
                    <a:extLst>
                      <a:ext uri="{53640926-AAD7-44D8-BBD7-CCE9431645EC}">
                        <a14:shadowObscured xmlns:a14="http://schemas.microsoft.com/office/drawing/2010/main"/>
                      </a:ext>
                    </a:extLst>
                  </pic:spPr>
                </pic:pic>
              </a:graphicData>
            </a:graphic>
          </wp:inline>
        </w:drawing>
      </w:r>
    </w:p>
    <w:p w14:paraId="21B1212B" w14:textId="78F251A0" w:rsidR="00166CA2" w:rsidRPr="00CB1C44" w:rsidRDefault="00166CA2" w:rsidP="00166CA2">
      <w:pPr>
        <w:spacing w:after="0"/>
        <w:jc w:val="both"/>
        <w:rPr>
          <w:rFonts w:ascii="Arial" w:hAnsi="Arial" w:cs="Arial"/>
          <w:sz w:val="20"/>
          <w:szCs w:val="20"/>
          <w:lang w:val="en-US"/>
        </w:rPr>
      </w:pPr>
      <w:r w:rsidRPr="00CB1C44">
        <w:rPr>
          <w:rFonts w:ascii="Arial" w:hAnsi="Arial" w:cs="Arial"/>
          <w:b/>
          <w:sz w:val="20"/>
          <w:szCs w:val="20"/>
          <w:lang w:val="en-US"/>
        </w:rPr>
        <w:t xml:space="preserve">Figure 3: Mechanisms of Nrf2 </w:t>
      </w:r>
      <w:r w:rsidR="0007247C" w:rsidRPr="00CB1C44">
        <w:rPr>
          <w:rFonts w:ascii="Arial" w:hAnsi="Arial" w:cs="Arial"/>
          <w:b/>
          <w:sz w:val="20"/>
          <w:szCs w:val="20"/>
          <w:lang w:val="en-US"/>
        </w:rPr>
        <w:t xml:space="preserve">positive and negative </w:t>
      </w:r>
      <w:r w:rsidRPr="00CB1C44">
        <w:rPr>
          <w:rFonts w:ascii="Arial" w:hAnsi="Arial" w:cs="Arial"/>
          <w:b/>
          <w:sz w:val="20"/>
          <w:szCs w:val="20"/>
          <w:lang w:val="en-US"/>
        </w:rPr>
        <w:t>regulation.</w:t>
      </w:r>
      <w:r w:rsidRPr="00CB1C44">
        <w:rPr>
          <w:rFonts w:ascii="Arial" w:hAnsi="Arial" w:cs="Arial"/>
          <w:sz w:val="20"/>
          <w:szCs w:val="20"/>
          <w:lang w:val="en-US"/>
        </w:rPr>
        <w:t xml:space="preserve"> </w:t>
      </w:r>
      <w:r w:rsidR="001723AB" w:rsidRPr="00CB1C44">
        <w:rPr>
          <w:rFonts w:ascii="Arial" w:hAnsi="Arial" w:cs="Arial"/>
          <w:b/>
          <w:sz w:val="20"/>
          <w:szCs w:val="20"/>
          <w:lang w:val="en-US"/>
        </w:rPr>
        <w:t xml:space="preserve">(A) </w:t>
      </w:r>
      <w:r w:rsidR="007B3B24" w:rsidRPr="00CB1C44">
        <w:rPr>
          <w:rFonts w:ascii="Arial" w:hAnsi="Arial" w:cs="Arial"/>
          <w:sz w:val="20"/>
          <w:szCs w:val="20"/>
          <w:lang w:val="en-US"/>
        </w:rPr>
        <w:t xml:space="preserve">Nrf2 Negative Regulation; </w:t>
      </w:r>
      <w:r w:rsidR="000F60D4" w:rsidRPr="00CB1C44">
        <w:rPr>
          <w:rFonts w:ascii="Arial" w:hAnsi="Arial" w:cs="Arial"/>
          <w:sz w:val="20"/>
          <w:szCs w:val="20"/>
          <w:lang w:val="en-US"/>
        </w:rPr>
        <w:t>u</w:t>
      </w:r>
      <w:r w:rsidRPr="00CB1C44">
        <w:rPr>
          <w:rFonts w:ascii="Arial" w:hAnsi="Arial" w:cs="Arial"/>
          <w:sz w:val="20"/>
          <w:szCs w:val="20"/>
          <w:lang w:val="en-US"/>
        </w:rPr>
        <w:t xml:space="preserve">nder basal conditions Nrf2 is ubiquitinated by Keap1–Cul3 complex and degraded by the proteasome. </w:t>
      </w:r>
      <w:r w:rsidR="007B3B24" w:rsidRPr="00CB1C44">
        <w:rPr>
          <w:rFonts w:ascii="Arial" w:hAnsi="Arial" w:cs="Arial"/>
          <w:sz w:val="20"/>
          <w:szCs w:val="20"/>
          <w:lang w:val="en-US"/>
        </w:rPr>
        <w:t>Additionally, p38 MAPK and GSK-3</w:t>
      </w:r>
      <w:r w:rsidR="007B3B24" w:rsidRPr="00CB1C44">
        <w:rPr>
          <w:rFonts w:ascii="Arial" w:hAnsi="Arial" w:cs="Arial"/>
          <w:sz w:val="20"/>
          <w:szCs w:val="20"/>
          <w:lang w:val="en-US"/>
        </w:rPr>
        <w:sym w:font="Symbol" w:char="F062"/>
      </w:r>
      <w:r w:rsidR="007B3B24" w:rsidRPr="00CB1C44">
        <w:rPr>
          <w:rFonts w:ascii="Arial" w:hAnsi="Arial" w:cs="Arial"/>
          <w:sz w:val="20"/>
          <w:szCs w:val="20"/>
          <w:lang w:val="en-US"/>
        </w:rPr>
        <w:t>, which is downregulated by the PI3K/</w:t>
      </w:r>
      <w:proofErr w:type="spellStart"/>
      <w:r w:rsidR="0026569F" w:rsidRPr="00CB1C44">
        <w:rPr>
          <w:rFonts w:ascii="Arial" w:hAnsi="Arial" w:cs="Arial"/>
          <w:sz w:val="20"/>
          <w:szCs w:val="20"/>
          <w:lang w:val="en-US"/>
        </w:rPr>
        <w:t>Akt</w:t>
      </w:r>
      <w:proofErr w:type="spellEnd"/>
      <w:r w:rsidR="007B3B24" w:rsidRPr="00CB1C44">
        <w:rPr>
          <w:rFonts w:ascii="Arial" w:hAnsi="Arial" w:cs="Arial"/>
          <w:sz w:val="20"/>
          <w:szCs w:val="20"/>
          <w:lang w:val="en-US"/>
        </w:rPr>
        <w:t xml:space="preserve"> pathway, can phosphorylate Nrf2 at Ser215, Ser408 and Ser577 and at Ser334-338 in the Neh6 domain, respectively, favoring its degradation. In the nucleus, the NF-kB p65 subunit can compete with Nrf2 binding, downregulating its transcriptional activity. Nrf2 nuclear phosphorylation at Tyr-568, by Fyn kinase, is linked to its nuclear export. (B) Nrf2 Positive Regulation; </w:t>
      </w:r>
      <w:r w:rsidR="000F60D4" w:rsidRPr="00CB1C44">
        <w:rPr>
          <w:rFonts w:ascii="Arial" w:hAnsi="Arial" w:cs="Arial"/>
          <w:sz w:val="20"/>
          <w:szCs w:val="20"/>
          <w:lang w:val="en-US"/>
        </w:rPr>
        <w:t>a</w:t>
      </w:r>
      <w:r w:rsidRPr="00CB1C44">
        <w:rPr>
          <w:rFonts w:ascii="Arial" w:hAnsi="Arial" w:cs="Arial"/>
          <w:sz w:val="20"/>
          <w:szCs w:val="20"/>
          <w:lang w:val="en-US"/>
        </w:rPr>
        <w:t xml:space="preserve">fter stress conditions, Keap1 reactive cysteine residues can bind covalently, allowing Nrf2 dissociation and p62 binding, which further leads to LC3 interaction associated to the autophagosome membrane, leading to Keap1 degradation and consequent Nrf2 accumulation. Additionally, PKC, </w:t>
      </w:r>
      <w:r w:rsidR="007B3B24" w:rsidRPr="00CB1C44">
        <w:rPr>
          <w:rFonts w:ascii="Arial" w:hAnsi="Arial" w:cs="Arial"/>
          <w:sz w:val="20"/>
          <w:szCs w:val="20"/>
          <w:lang w:val="en-US"/>
        </w:rPr>
        <w:t xml:space="preserve">CK2 </w:t>
      </w:r>
      <w:r w:rsidRPr="00CB1C44">
        <w:rPr>
          <w:rFonts w:ascii="Arial" w:hAnsi="Arial" w:cs="Arial"/>
          <w:sz w:val="20"/>
          <w:szCs w:val="20"/>
          <w:lang w:val="en-US"/>
        </w:rPr>
        <w:t xml:space="preserve">and ERK can phosphorylate Nrf2 at different residues favoring its dissociation from Keap1 and consequent nuclear migration. Once in the nucleus, dimerization of transcriptional co-activator </w:t>
      </w:r>
      <w:proofErr w:type="spellStart"/>
      <w:r w:rsidRPr="00CB1C44">
        <w:rPr>
          <w:rFonts w:ascii="Arial" w:hAnsi="Arial" w:cs="Arial"/>
          <w:sz w:val="20"/>
          <w:szCs w:val="20"/>
          <w:lang w:val="en-US"/>
        </w:rPr>
        <w:t>Mafs</w:t>
      </w:r>
      <w:proofErr w:type="spellEnd"/>
      <w:r w:rsidRPr="00CB1C44">
        <w:rPr>
          <w:rFonts w:ascii="Arial" w:hAnsi="Arial" w:cs="Arial"/>
          <w:sz w:val="20"/>
          <w:szCs w:val="20"/>
          <w:lang w:val="en-US"/>
        </w:rPr>
        <w:t xml:space="preserve"> with Nrf2 facilitates stable Nrf2-ARE interaction an</w:t>
      </w:r>
      <w:r w:rsidR="007B3B24" w:rsidRPr="00CB1C44">
        <w:rPr>
          <w:rFonts w:ascii="Arial" w:hAnsi="Arial" w:cs="Arial"/>
          <w:sz w:val="20"/>
          <w:szCs w:val="20"/>
          <w:lang w:val="en-US"/>
        </w:rPr>
        <w:t xml:space="preserve">d enhances gene transcription. </w:t>
      </w:r>
    </w:p>
    <w:p w14:paraId="36F6E76E" w14:textId="77777777" w:rsidR="00166CA2" w:rsidRPr="00CB1C44" w:rsidRDefault="00166CA2" w:rsidP="004038B5">
      <w:pPr>
        <w:spacing w:after="0" w:line="360" w:lineRule="auto"/>
        <w:jc w:val="both"/>
        <w:rPr>
          <w:rFonts w:ascii="Arial" w:hAnsi="Arial" w:cs="Arial"/>
          <w:b/>
          <w:lang w:val="en-US"/>
        </w:rPr>
      </w:pPr>
    </w:p>
    <w:p w14:paraId="38E76F99" w14:textId="77777777" w:rsidR="00166CA2" w:rsidRPr="00CB1C44" w:rsidRDefault="00166CA2" w:rsidP="004038B5">
      <w:pPr>
        <w:spacing w:after="0" w:line="360" w:lineRule="auto"/>
        <w:jc w:val="both"/>
        <w:rPr>
          <w:rFonts w:ascii="Arial" w:hAnsi="Arial" w:cs="Arial"/>
          <w:b/>
          <w:lang w:val="en-US"/>
        </w:rPr>
      </w:pPr>
    </w:p>
    <w:p w14:paraId="0BE1F294" w14:textId="3F60AF75" w:rsidR="00800B51" w:rsidRPr="00CB1C44" w:rsidRDefault="0093208C" w:rsidP="004038B5">
      <w:pPr>
        <w:spacing w:after="0" w:line="360" w:lineRule="auto"/>
        <w:jc w:val="both"/>
        <w:rPr>
          <w:rFonts w:ascii="Arial" w:hAnsi="Arial" w:cs="Arial"/>
          <w:lang w:val="en-US"/>
        </w:rPr>
      </w:pPr>
      <w:r w:rsidRPr="00CB1C44">
        <w:rPr>
          <w:rFonts w:ascii="Arial" w:hAnsi="Arial" w:cs="Arial"/>
          <w:lang w:val="en-US"/>
        </w:rPr>
        <w:lastRenderedPageBreak/>
        <w:t>Hrd1</w:t>
      </w:r>
      <w:r w:rsidR="000F60D4" w:rsidRPr="00CB1C44">
        <w:rPr>
          <w:rFonts w:ascii="Arial" w:hAnsi="Arial" w:cs="Arial"/>
          <w:lang w:val="en-US"/>
        </w:rPr>
        <w:t xml:space="preserve"> is</w:t>
      </w:r>
      <w:r w:rsidRPr="00CB1C44">
        <w:rPr>
          <w:rFonts w:ascii="Arial" w:hAnsi="Arial" w:cs="Arial"/>
          <w:lang w:val="en-US"/>
        </w:rPr>
        <w:t xml:space="preserve"> </w:t>
      </w:r>
      <w:r w:rsidR="005E2802" w:rsidRPr="00CB1C44">
        <w:rPr>
          <w:rFonts w:ascii="Arial" w:hAnsi="Arial" w:cs="Arial"/>
          <w:lang w:val="en-US"/>
        </w:rPr>
        <w:t xml:space="preserve">an endoplasmic reticulum (ER) membrane </w:t>
      </w:r>
      <w:r w:rsidRPr="00CB1C44">
        <w:rPr>
          <w:rFonts w:ascii="Arial" w:hAnsi="Arial" w:cs="Arial"/>
          <w:lang w:val="en-US"/>
        </w:rPr>
        <w:t>E3 ubiquitin ligase</w:t>
      </w:r>
      <w:r w:rsidR="00CC4B42" w:rsidRPr="00CB1C44">
        <w:rPr>
          <w:rFonts w:ascii="Arial" w:hAnsi="Arial" w:cs="Arial"/>
          <w:lang w:val="en-US"/>
        </w:rPr>
        <w:t xml:space="preserve"> (also called </w:t>
      </w:r>
      <w:proofErr w:type="spellStart"/>
      <w:r w:rsidR="00CC4B42" w:rsidRPr="00CB1C44">
        <w:rPr>
          <w:rFonts w:ascii="Arial" w:hAnsi="Arial" w:cs="Arial"/>
          <w:lang w:val="en-US"/>
        </w:rPr>
        <w:t>synoviolin</w:t>
      </w:r>
      <w:proofErr w:type="spellEnd"/>
      <w:r w:rsidR="006905A2" w:rsidRPr="00CB1C44">
        <w:rPr>
          <w:rFonts w:ascii="Arial" w:hAnsi="Arial" w:cs="Arial"/>
          <w:lang w:val="en-US"/>
        </w:rPr>
        <w:t>)</w:t>
      </w:r>
      <w:r w:rsidR="000F60D4" w:rsidRPr="00CB1C44">
        <w:rPr>
          <w:rFonts w:ascii="Arial" w:hAnsi="Arial" w:cs="Arial"/>
          <w:lang w:val="en-US"/>
        </w:rPr>
        <w:t xml:space="preserve"> that</w:t>
      </w:r>
      <w:r w:rsidR="005E2802" w:rsidRPr="00CB1C44">
        <w:rPr>
          <w:rFonts w:ascii="Arial" w:hAnsi="Arial" w:cs="Arial"/>
          <w:lang w:val="en-US"/>
        </w:rPr>
        <w:t xml:space="preserve"> </w:t>
      </w:r>
      <w:r w:rsidR="00CC4B42" w:rsidRPr="00CB1C44">
        <w:rPr>
          <w:rFonts w:ascii="Arial" w:hAnsi="Arial" w:cs="Arial"/>
          <w:lang w:val="en-US"/>
        </w:rPr>
        <w:t xml:space="preserve">is </w:t>
      </w:r>
      <w:r w:rsidR="00460254" w:rsidRPr="00CB1C44">
        <w:rPr>
          <w:rFonts w:ascii="Arial" w:hAnsi="Arial" w:cs="Arial"/>
          <w:lang w:val="en-US"/>
        </w:rPr>
        <w:t>important for ER-</w:t>
      </w:r>
      <w:r w:rsidR="007174EA" w:rsidRPr="00CB1C44">
        <w:rPr>
          <w:rFonts w:ascii="Arial" w:hAnsi="Arial" w:cs="Arial"/>
          <w:lang w:val="en-US"/>
        </w:rPr>
        <w:t>associated degradation (ERAD) and for turnover</w:t>
      </w:r>
      <w:r w:rsidR="003D5952" w:rsidRPr="00CB1C44">
        <w:rPr>
          <w:rFonts w:ascii="Arial" w:hAnsi="Arial" w:cs="Arial"/>
          <w:lang w:val="en-US"/>
        </w:rPr>
        <w:t xml:space="preserve"> control</w:t>
      </w:r>
      <w:r w:rsidR="007174EA" w:rsidRPr="00CB1C44">
        <w:rPr>
          <w:rFonts w:ascii="Arial" w:hAnsi="Arial" w:cs="Arial"/>
          <w:lang w:val="en-US"/>
        </w:rPr>
        <w:t xml:space="preserve"> of non-</w:t>
      </w:r>
      <w:r w:rsidR="00833A4D" w:rsidRPr="00CB1C44">
        <w:rPr>
          <w:rFonts w:ascii="Arial" w:hAnsi="Arial" w:cs="Arial"/>
          <w:lang w:val="en-US"/>
        </w:rPr>
        <w:t>ERAD substrates, namely p53 and</w:t>
      </w:r>
      <w:r w:rsidR="007174EA" w:rsidRPr="00CB1C44">
        <w:rPr>
          <w:rFonts w:ascii="Arial" w:hAnsi="Arial" w:cs="Arial"/>
          <w:lang w:val="en-US"/>
        </w:rPr>
        <w:t xml:space="preserve"> </w:t>
      </w:r>
      <w:r w:rsidR="00833A4D" w:rsidRPr="00CB1C44">
        <w:rPr>
          <w:rFonts w:ascii="Arial" w:hAnsi="Arial" w:cs="Arial"/>
          <w:lang w:val="en-US"/>
        </w:rPr>
        <w:t>inositol-requiring enzyme 1 (</w:t>
      </w:r>
      <w:r w:rsidR="007174EA" w:rsidRPr="00CB1C44">
        <w:rPr>
          <w:rFonts w:ascii="Arial" w:hAnsi="Arial" w:cs="Arial"/>
          <w:lang w:val="en-US"/>
        </w:rPr>
        <w:t>IRE1</w:t>
      </w:r>
      <w:r w:rsidR="00833A4D" w:rsidRPr="00CB1C44">
        <w:rPr>
          <w:rFonts w:ascii="Arial" w:hAnsi="Arial" w:cs="Arial"/>
          <w:lang w:val="en-US"/>
        </w:rPr>
        <w:t>)</w:t>
      </w:r>
      <w:r w:rsidR="005E2802" w:rsidRPr="00CB1C44">
        <w:rPr>
          <w:rFonts w:ascii="Arial" w:hAnsi="Arial" w:cs="Arial"/>
          <w:lang w:val="en-US"/>
        </w:rPr>
        <w:t xml:space="preserve">, </w:t>
      </w:r>
      <w:r w:rsidR="000F60D4" w:rsidRPr="00CB1C44">
        <w:rPr>
          <w:rFonts w:ascii="Arial" w:hAnsi="Arial" w:cs="Arial"/>
          <w:lang w:val="en-US"/>
        </w:rPr>
        <w:t xml:space="preserve">and </w:t>
      </w:r>
      <w:r w:rsidR="005E2802" w:rsidRPr="00CB1C44">
        <w:rPr>
          <w:rFonts w:ascii="Arial" w:hAnsi="Arial" w:cs="Arial"/>
          <w:lang w:val="en-US"/>
        </w:rPr>
        <w:t>can</w:t>
      </w:r>
      <w:r w:rsidR="009E67C1" w:rsidRPr="00CB1C44">
        <w:rPr>
          <w:rFonts w:ascii="Arial" w:hAnsi="Arial" w:cs="Arial"/>
          <w:lang w:val="en-US"/>
        </w:rPr>
        <w:t xml:space="preserve"> </w:t>
      </w:r>
      <w:r w:rsidR="005E2802" w:rsidRPr="00CB1C44">
        <w:rPr>
          <w:rFonts w:ascii="Arial" w:hAnsi="Arial" w:cs="Arial"/>
          <w:lang w:val="en-US"/>
        </w:rPr>
        <w:t>negatively regulat</w:t>
      </w:r>
      <w:r w:rsidR="00474412" w:rsidRPr="00CB1C44">
        <w:rPr>
          <w:rFonts w:ascii="Arial" w:hAnsi="Arial" w:cs="Arial"/>
          <w:lang w:val="en-US"/>
        </w:rPr>
        <w:t>e</w:t>
      </w:r>
      <w:r w:rsidR="005E2802" w:rsidRPr="00CB1C44">
        <w:rPr>
          <w:rFonts w:ascii="Arial" w:hAnsi="Arial" w:cs="Arial"/>
          <w:lang w:val="en-US"/>
        </w:rPr>
        <w:t xml:space="preserve"> Nrf2 </w:t>
      </w:r>
      <w:r w:rsidR="00AE02F6" w:rsidRPr="00CB1C44">
        <w:rPr>
          <w:rFonts w:ascii="Arial" w:hAnsi="Arial" w:cs="Arial"/>
          <w:lang w:val="en-US"/>
        </w:rPr>
        <w:fldChar w:fldCharType="begin" w:fldLock="1"/>
      </w:r>
      <w:r w:rsidR="00231BFF" w:rsidRPr="00CB1C44">
        <w:rPr>
          <w:rFonts w:ascii="Arial" w:hAnsi="Arial" w:cs="Arial"/>
          <w:lang w:val="en-US"/>
        </w:rPr>
        <w:instrText>ADDIN CSL_CITATION {"citationItems":[{"id":"ITEM-1","itemData":{"DOI":"10.1038/sj.emboj.7601490","ISSN":"02614189","abstract":"Synoviolin, also called HRD1, is an E3 ubiquitin ligase and is implicated in endoplasmic reticulum -associated degradation. In mammals, Synoviolin plays crucial roles in various physiological and pathological processes, including embryogenesis and the pathogenesis of arthropathy. However, little is known about the molecular mechanisms of Synoviolin in these actions. To clarify these issues, we analyzed the profile of protein expression in synoviolin-null cells. Here, we report that Synoviolin targets tumor suppressor gene p53 for ubiquitination. Synoviolin sequestrated and metabolized p53 in the cytoplasm and negatively regulated its cellular level and biological functions, including transcription, cell cycle regulation and apoptosis. Furthermore, these p53 regulatory functions of Synoviolin were irrelevant to other E3 ubiquitin ligases for p53, such as MDM2, Pirh2 and Cop1, which form autoregulatory feedback loops. Our results provide novel insights into p53 signaling mediated by Synoviolin. © 2007 European Molecular Biology Organization | All Rights Reserved.","author":[{"dropping-particle":"","family":"Yamasaki","given":"Satoshi","non-dropping-particle":"","parse-names":false,"suffix":""},{"dropping-particle":"","family":"Yagishita","given":"Naoko","non-dropping-particle":"","parse-names":false,"suffix":""},{"dropping-particle":"","family":"Sasaki","given":"Takeshi","non-dropping-particle":"","parse-names":false,"suffix":""},{"dropping-particle":"","family":"Nakazawa","given":"Minako","non-dropping-particle":"","parse-names":false,"suffix":""},{"dropping-particle":"","family":"Kato","given":"Yukihiro","non-dropping-particle":"","parse-names":false,"suffix":""},{"dropping-particle":"","family":"Yamadera","given":"Tadayuki","non-dropping-particle":"","parse-names":false,"suffix":""},{"dropping-particle":"","family":"Bae","given":"Eunkyung","non-dropping-particle":"","parse-names":false,"suffix":""},{"dropping-particle":"","family":"Toriyama","given":"Sayumi","non-dropping-particle":"","parse-names":false,"suffix":""},{"dropping-particle":"","family":"Ikeda","given":"Rie","non-dropping-particle":"","parse-names":false,"suffix":""},{"dropping-particle":"","family":"Zhang","given":"Lei","non-dropping-particle":"","parse-names":false,"suffix":""},{"dropping-particle":"","family":"Fujitani","given":"Kazuko","non-dropping-particle":"","parse-names":false,"suffix":""},{"dropping-particle":"","family":"Yoo","given":"Eunkyung","non-dropping-particle":"","parse-names":false,"suffix":""},{"dropping-particle":"","family":"Tsuchimochi","given":"Kaneyuki","non-dropping-particle":"","parse-names":false,"suffix":""},{"dropping-particle":"","family":"Ohta","given":"Tomohiko","non-dropping-particle":"","parse-names":false,"suffix":""},{"dropping-particle":"","family":"Araya","given":"Natsumi","non-dropping-particle":"","parse-names":false,"suffix":""},{"dropping-particle":"","family":"Fujita","given":"Hidetoshi","non-dropping-particle":"","parse-names":false,"suffix":""},{"dropping-particle":"","family":"Aratani","given":"Satoko","non-dropping-particle":"","parse-names":false,"suffix":""},{"dropping-particle":"","family":"Eguchi","given":"Katsumi","non-dropping-particle":"","parse-names":false,"suffix":""},{"dropping-particle":"","family":"Komiya","given":"Setsuro","non-dropping-particle":"","parse-names":false,"suffix":""},{"dropping-particle":"","family":"Maruyama","given":"Ikuro","non-dropping-particle":"","parse-names":false,"suffix":""},{"dropping-particle":"","family":"Higashi","given":"Nobuyo","non-dropping-particle":"","parse-names":false,"suffix":""},{"dropping-particle":"","family":"Sato","given":"Mitsuru","non-dropping-particle":"","parse-names":false,"suffix":""},{"dropping-particle":"","family":"Senoo","given":"Haruki","non-dropping-particle":"","parse-names":false,"suffix":""},{"dropping-particle":"","family":"Ochi","given":"Takahiro","non-dropping-particle":"","parse-names":false,"suffix":""},{"dropping-particle":"","family":"Yokoyama","given":"Shigeyuki","non-dropping-particle":"","parse-names":false,"suffix":""},{"dropping-particle":"","family":"Amano","given":"Tetsuya","non-dropping-particle":"","parse-names":false,"suffix":""},{"dropping-particle":"","family":"Kim","given":"Jaeseob","non-dropping-particle":"","parse-names":false,"suffix":""},{"dropping-particle":"","family":"Gay","given":"Steffen","non-dropping-particle":"","parse-names":false,"suffix":""},{"dropping-particle":"","family":"Fukamizu","given":"Akiyoshi","non-dropping-particle":"","parse-names":false,"suffix":""},{"dropping-particle":"","family":"Nishioka","given":"Kusuki","non-dropping-particle":"","parse-names":false,"suffix":""},{"dropping-particle":"","family":"Tanaka","given":"Keiji","non-dropping-particle":"","parse-names":false,"suffix":""},{"dropping-particle":"","family":"Nakajima","given":"Toshihiro","non-dropping-particle":"","parse-names":false,"suffix":""}],"container-title":"EMBO Journal","id":"ITEM-1","issued":{"date-parts":[["2007"]]},"title":"Cytoplasmic destruction of p53 by the endoplasmic reticulum-resident ubiquitin ligase 'Synoviolin'","type":"article-journal"},"uris":["http://www.mendeley.com/documents/?uuid=51a5081e-3db3-45bb-ae24-c233c9fa4622"]}],"mendeley":{"formattedCitation":"(Yamasaki et al., 2007)","plainTextFormattedCitation":"(Yamasaki et al., 2007)","previouslyFormattedCitation":"(Yamasaki et al., 2007)"},"properties":{"noteIndex":0},"schema":"https://github.com/citation-style-language/schema/raw/master/csl-citation.json"}</w:instrText>
      </w:r>
      <w:r w:rsidR="00AE02F6" w:rsidRPr="00CB1C44">
        <w:rPr>
          <w:rFonts w:ascii="Arial" w:hAnsi="Arial" w:cs="Arial"/>
          <w:lang w:val="en-US"/>
        </w:rPr>
        <w:fldChar w:fldCharType="separate"/>
      </w:r>
      <w:r w:rsidR="00AE02F6" w:rsidRPr="00CB1C44">
        <w:rPr>
          <w:rFonts w:ascii="Arial" w:hAnsi="Arial" w:cs="Arial"/>
          <w:noProof/>
          <w:lang w:val="en-US"/>
        </w:rPr>
        <w:t>(Yamasaki et al., 2007)</w:t>
      </w:r>
      <w:r w:rsidR="00AE02F6" w:rsidRPr="00CB1C44">
        <w:rPr>
          <w:rFonts w:ascii="Arial" w:hAnsi="Arial" w:cs="Arial"/>
          <w:lang w:val="en-US"/>
        </w:rPr>
        <w:fldChar w:fldCharType="end"/>
      </w:r>
      <w:r w:rsidR="003D5952" w:rsidRPr="00CB1C44">
        <w:rPr>
          <w:rFonts w:ascii="Arial" w:hAnsi="Arial" w:cs="Arial"/>
          <w:lang w:val="en-US"/>
        </w:rPr>
        <w:t xml:space="preserve">. </w:t>
      </w:r>
      <w:r w:rsidR="00A92933" w:rsidRPr="00CB1C44">
        <w:rPr>
          <w:rFonts w:ascii="Arial" w:hAnsi="Arial" w:cs="Arial"/>
          <w:lang w:val="en-US"/>
        </w:rPr>
        <w:t xml:space="preserve">Wu and coworkers showed that Hrd1 </w:t>
      </w:r>
      <w:r w:rsidR="00A76B0A" w:rsidRPr="00CB1C44">
        <w:rPr>
          <w:rFonts w:ascii="Arial" w:hAnsi="Arial" w:cs="Arial"/>
          <w:lang w:val="en-US"/>
        </w:rPr>
        <w:t>interacts</w:t>
      </w:r>
      <w:r w:rsidR="00A92933" w:rsidRPr="00CB1C44">
        <w:rPr>
          <w:rFonts w:ascii="Arial" w:hAnsi="Arial" w:cs="Arial"/>
          <w:lang w:val="en-US"/>
        </w:rPr>
        <w:t xml:space="preserve"> directly with Neh4-5 domains of Nrf2, favoring its ubiquitination, thus leading to Nrf2 degradation</w:t>
      </w:r>
      <w:r w:rsidR="00D74018" w:rsidRPr="00CB1C44">
        <w:rPr>
          <w:rFonts w:ascii="Arial" w:hAnsi="Arial" w:cs="Arial"/>
          <w:lang w:val="en-US"/>
        </w:rPr>
        <w:t xml:space="preserve"> </w:t>
      </w:r>
      <w:r w:rsidR="00267115" w:rsidRPr="00CB1C44">
        <w:rPr>
          <w:rFonts w:ascii="Arial" w:hAnsi="Arial" w:cs="Arial"/>
          <w:lang w:val="en-US"/>
        </w:rPr>
        <w:fldChar w:fldCharType="begin" w:fldLock="1"/>
      </w:r>
      <w:r w:rsidR="00FC2A53" w:rsidRPr="00CB1C44">
        <w:rPr>
          <w:rFonts w:ascii="Arial" w:hAnsi="Arial" w:cs="Arial"/>
          <w:lang w:val="en-US"/>
        </w:rPr>
        <w:instrText>ADDIN CSL_CITATION {"citationItems":[{"id":"ITEM-1","itemData":{"DOI":"10.1101/gad.238246.114","ISSN":"15495477","abstract":"Increased endoplasmic reticulum (ER) stress and reactive oxygen species (ROS) are the salient features of end-stage liver diseases. Using liver tissues from liver cirrhosis patients, we observed up-regulation of the XBP1-Hrd1 arm of the ER stress response pathway and down-regulation of the Nrf2-mediated antioxidant response pathway. We further confirmed this negative regulation of Nrf2 by Hrd1 using Hrd1 conditional knockout mice. Down-regulation of Nrf2 was a surprising result, since the high levels of ROS should have inactivated Keap1, the primary ubiquitin ligase regulating Nrf2 levels. Here, we identified Hrd1 as a novel E3 ubiquitin ligase responsible for compromised Nrf2 response during liver cirrhosis. In cirrhotic livers, activation of the XBP1-Hrd1 arm of ER stress transcriptionally up-regulated Hrd1, resulting in enhanced Nrf2 ubiquitylation and degradation and attenuation of the Nrf2 signaling pathway. Our study reveals not only the convergence of ER and oxidative stress response pathways but also the pathological importance of this cross-talk in liver cirrhosis. Finally, we showed the therapeutic importance of targeting Hrd1, rather than Keap1, to prevent Nrf2 loss and suppress liver cirrhosis.","author":[{"dropping-particle":"","family":"Wu","given":"Tongde","non-dropping-particle":"","parse-names":false,"suffix":""},{"dropping-particle":"","family":"Zhao","given":"Fei","non-dropping-particle":"","parse-names":false,"suffix":""},{"dropping-particle":"","family":"Gao","given":"Beixue","non-dropping-particle":"","parse-names":false,"suffix":""},{"dropping-particle":"","family":"Tan","given":"Can","non-dropping-particle":"","parse-names":false,"suffix":""},{"dropping-particle":"","family":"Yagishita","given":"Naoko","non-dropping-particle":"","parse-names":false,"suffix":""},{"dropping-particle":"","family":"Nakajima","given":"Toshihiro","non-dropping-particle":"","parse-names":false,"suffix":""},{"dropping-particle":"","family":"Wong","given":"Pak K.","non-dropping-particle":"","parse-names":false,"suffix":""},{"dropping-particle":"","family":"Chapman","given":"Eli","non-dropping-particle":"","parse-names":false,"suffix":""},{"dropping-particle":"","family":"Fang","given":"Deyu","non-dropping-particle":"","parse-names":false,"suffix":""},{"dropping-particle":"","family":"Zhang","given":"Donna D.","non-dropping-particle":"","parse-names":false,"suffix":""}],"container-title":"Genes and Development","id":"ITEM-1","issued":{"date-parts":[["2014"]]},"title":"Hrd1 suppresses Nrf2-mediated cellular protection during liver cirrhosis","type":"article-journal"},"uris":["http://www.mendeley.com/documents/?uuid=4cb57f62-d1df-46ca-8bb3-9c93c9104d71"]},{"id":"ITEM-2","itemData":{"DOI":"10.1038/embor.2008.37","ISSN":"1469221X","abstract":"The E3 ubiquitin ligase synoviolin (SYVN1) functions as an anti-apoptotic factor that is responsible for the outgrowth of synovial cells during the development of rheumatoid arthritis. The molecular mechanisms underlying SYVN1 regulation of cell death are largely unknown. Here, we report that elevated SYVN1 expression correlates with decreased levels of the protein inositol-requiring enzyme 1 (IRE1)-a pro-apoptotic factor in the endoplasmic reticulum (ER)-stress-induced apoptosis pathway-in synovial fibroblasts from mice with collagen-induced arthritis (CIA). SYVN1 interacts with and catalyses IRE1 ubiquitination and consequently promotes IRE1 degradation. Suppression of SYVN1 expression in synovial fibroblasts from CIA mice restores IRE1 protein expression and reverses the resistance of ER-stress-induced apoptosis of CIA synovial fibroblasts. These results show that SYVN1 causes the overgrowth of synovial cells by degrading IRE1, and therefore antagonizes ER-stress-induced cell death.","author":[{"dropping-particle":"","family":"Gao","given":"Beixue","non-dropping-particle":"","parse-names":false,"suffix":""},{"dropping-particle":"","family":"Lee","given":"Sang Myeong","non-dropping-particle":"","parse-names":false,"suffix":""},{"dropping-particle":"","family":"Chen","given":"An","non-dropping-particle":"","parse-names":false,"suffix":""},{"dropping-particle":"","family":"Zhang","given":"Jinping","non-dropping-particle":"","parse-names":false,"suffix":""},{"dropping-particle":"","family":"Zhang","given":"Donna D.","non-dropping-particle":"","parse-names":false,"suffix":""},{"dropping-particle":"","family":"Kannan","given":"Krishnaswamy","non-dropping-particle":"","parse-names":false,"suffix":""},{"dropping-particle":"","family":"Ortmann","given":"Robert A.","non-dropping-particle":"","parse-names":false,"suffix":""},{"dropping-particle":"","family":"Fang","given":"Deyu","non-dropping-particle":"","parse-names":false,"suffix":""}],"container-title":"EMBO Reports","id":"ITEM-2","issued":{"date-parts":[["2008"]]},"title":"Synoviolin promotes IRE1 ubiquitination and degradation in synovial fibroblasts from mice with collagen-induced arthritis","type":"article-journal"},"uris":["http://www.mendeley.com/documents/?uuid=fa4d9185-c23e-49b1-8a55-a0f3ed998ec0"]}],"mendeley":{"formattedCitation":"(Gao et al., 2008; Wu et al., 2014)","plainTextFormattedCitation":"(Gao et al., 2008; Wu et al., 2014)","previouslyFormattedCitation":"(Gao et al., 2008; Wu et al., 2014)"},"properties":{"noteIndex":0},"schema":"https://github.com/citation-style-language/schema/raw/master/csl-citation.json"}</w:instrText>
      </w:r>
      <w:r w:rsidR="00267115" w:rsidRPr="00CB1C44">
        <w:rPr>
          <w:rFonts w:ascii="Arial" w:hAnsi="Arial" w:cs="Arial"/>
          <w:lang w:val="en-US"/>
        </w:rPr>
        <w:fldChar w:fldCharType="separate"/>
      </w:r>
      <w:r w:rsidR="00231BFF" w:rsidRPr="00CB1C44">
        <w:rPr>
          <w:rFonts w:ascii="Arial" w:hAnsi="Arial" w:cs="Arial"/>
          <w:noProof/>
          <w:lang w:val="en-US"/>
        </w:rPr>
        <w:t>(Gao et al., 2008; Wu et al., 2014)</w:t>
      </w:r>
      <w:r w:rsidR="00267115" w:rsidRPr="00CB1C44">
        <w:rPr>
          <w:rFonts w:ascii="Arial" w:hAnsi="Arial" w:cs="Arial"/>
          <w:lang w:val="en-US"/>
        </w:rPr>
        <w:fldChar w:fldCharType="end"/>
      </w:r>
      <w:r w:rsidR="00A92933" w:rsidRPr="00CB1C44">
        <w:rPr>
          <w:rFonts w:ascii="Arial" w:hAnsi="Arial" w:cs="Arial"/>
          <w:lang w:val="en-US"/>
        </w:rPr>
        <w:t xml:space="preserve">. </w:t>
      </w:r>
    </w:p>
    <w:p w14:paraId="7E2AFA51" w14:textId="2C94DF58" w:rsidR="004E7D4E" w:rsidRPr="00CB1C44" w:rsidRDefault="00127D97" w:rsidP="004038B5">
      <w:pPr>
        <w:spacing w:after="0" w:line="360" w:lineRule="auto"/>
        <w:jc w:val="both"/>
        <w:rPr>
          <w:rFonts w:ascii="Arial" w:hAnsi="Arial" w:cs="Arial"/>
          <w:lang w:val="en-US"/>
        </w:rPr>
      </w:pPr>
      <w:r w:rsidRPr="00CB1C44">
        <w:rPr>
          <w:rFonts w:ascii="Arial" w:hAnsi="Arial" w:cs="Arial"/>
          <w:lang w:val="en-US"/>
        </w:rPr>
        <w:t>The glycogen synthase kinase 3β (</w:t>
      </w:r>
      <w:r w:rsidR="00AE48D4" w:rsidRPr="00CB1C44">
        <w:rPr>
          <w:rFonts w:ascii="Arial" w:hAnsi="Arial" w:cs="Arial"/>
          <w:lang w:val="en-US"/>
        </w:rPr>
        <w:t>GSK-3β</w:t>
      </w:r>
      <w:r w:rsidRPr="00CB1C44">
        <w:rPr>
          <w:rFonts w:ascii="Arial" w:hAnsi="Arial" w:cs="Arial"/>
          <w:lang w:val="en-US"/>
        </w:rPr>
        <w:t>)</w:t>
      </w:r>
      <w:r w:rsidR="00AE48D4" w:rsidRPr="00CB1C44">
        <w:rPr>
          <w:rFonts w:ascii="Arial" w:hAnsi="Arial" w:cs="Arial"/>
          <w:lang w:val="en-US"/>
        </w:rPr>
        <w:t xml:space="preserve"> </w:t>
      </w:r>
      <w:r w:rsidR="000648AB" w:rsidRPr="00CB1C44">
        <w:rPr>
          <w:rFonts w:ascii="Arial" w:hAnsi="Arial" w:cs="Arial"/>
          <w:lang w:val="en-US"/>
        </w:rPr>
        <w:t xml:space="preserve">is a </w:t>
      </w:r>
      <w:r w:rsidR="00800B51" w:rsidRPr="00CB1C44">
        <w:rPr>
          <w:rFonts w:ascii="Arial" w:hAnsi="Arial" w:cs="Arial"/>
          <w:lang w:val="en-US"/>
        </w:rPr>
        <w:t>s</w:t>
      </w:r>
      <w:r w:rsidR="000648AB" w:rsidRPr="00CB1C44">
        <w:rPr>
          <w:rFonts w:ascii="Arial" w:hAnsi="Arial" w:cs="Arial"/>
          <w:lang w:val="en-US"/>
        </w:rPr>
        <w:t>erine/</w:t>
      </w:r>
      <w:r w:rsidR="00800B51" w:rsidRPr="00CB1C44">
        <w:rPr>
          <w:rFonts w:ascii="Arial" w:hAnsi="Arial" w:cs="Arial"/>
          <w:lang w:val="en-US"/>
        </w:rPr>
        <w:t>t</w:t>
      </w:r>
      <w:r w:rsidR="000648AB" w:rsidRPr="00CB1C44">
        <w:rPr>
          <w:rFonts w:ascii="Arial" w:hAnsi="Arial" w:cs="Arial"/>
          <w:lang w:val="en-US"/>
        </w:rPr>
        <w:t>hreonine protein kinase involved in apoptosis, cell proliferation, glycogen metabolism, stem cell renewal and development</w:t>
      </w:r>
      <w:r w:rsidR="00DF3650" w:rsidRPr="00CB1C44">
        <w:rPr>
          <w:rFonts w:ascii="Arial" w:hAnsi="Arial" w:cs="Arial"/>
          <w:lang w:val="en-US"/>
        </w:rPr>
        <w:t>,</w:t>
      </w:r>
      <w:r w:rsidR="000648AB" w:rsidRPr="00CB1C44">
        <w:rPr>
          <w:rFonts w:ascii="Arial" w:hAnsi="Arial" w:cs="Arial"/>
          <w:lang w:val="en-US"/>
        </w:rPr>
        <w:t xml:space="preserve"> and </w:t>
      </w:r>
      <w:r w:rsidR="005E2802" w:rsidRPr="00CB1C44">
        <w:rPr>
          <w:rFonts w:ascii="Arial" w:hAnsi="Arial" w:cs="Arial"/>
          <w:lang w:val="en-US"/>
        </w:rPr>
        <w:t xml:space="preserve">which </w:t>
      </w:r>
      <w:r w:rsidR="00AE48D4" w:rsidRPr="00CB1C44">
        <w:rPr>
          <w:rFonts w:ascii="Arial" w:hAnsi="Arial" w:cs="Arial"/>
          <w:lang w:val="en-US"/>
        </w:rPr>
        <w:t>activity is regulated through an inhi</w:t>
      </w:r>
      <w:r w:rsidR="000648AB" w:rsidRPr="00CB1C44">
        <w:rPr>
          <w:rFonts w:ascii="Arial" w:hAnsi="Arial" w:cs="Arial"/>
          <w:lang w:val="en-US"/>
        </w:rPr>
        <w:t xml:space="preserve">bitory phosphorylation at Ser9 </w:t>
      </w:r>
      <w:r w:rsidR="00420F75" w:rsidRPr="00CB1C44">
        <w:rPr>
          <w:rFonts w:ascii="Arial" w:hAnsi="Arial" w:cs="Arial"/>
          <w:lang w:val="en-US"/>
        </w:rPr>
        <w:fldChar w:fldCharType="begin" w:fldLock="1"/>
      </w:r>
      <w:r w:rsidR="007226B3" w:rsidRPr="00CB1C44">
        <w:rPr>
          <w:rFonts w:ascii="Arial" w:hAnsi="Arial" w:cs="Arial"/>
          <w:lang w:val="en-US"/>
        </w:rPr>
        <w:instrText>ADDIN CSL_CITATION {"citationItems":[{"id":"ITEM-1","itemData":{"DOI":"10.1016/j.freeradbiomed.2015.04.029","ISSN":"18734596","abstract":"Nuclear factor (erythroid-derived 2)-like 2 (Nrf2) is a master regulator of cellular homeostasis that controls the expression of more than 1% of human genes related to biotransformation reactions, redox homeostasis, energetic metabolism, DNA repair, and proteostasis. Its activity has a tremendous impact on physiology and pathology and therefore it is very tightly regulated, mainly at the level of protein stability. In addition to the very well established regulation by the ubiquitin E3 ligase adapter Keap1, recent advances have identified a novel mechanism based on signaling pathways that regulate glycogen synthase kinse-3 (GSK-3). This kinase phosphorylates specific serine residues in the Neh6 domain of Nrf2 to create a degradation domain that is then recognized by the ubiquitin ligase adapter β-TrCP and tagged for proteasome degradation by a Cullin1/Rbx1 complex. Here we review the mechanistic elements and the signaling pathways that participate in this regulation by GSK-3/β-TrCP. These pathways include those activated by ligands of tyrosine kinase, G protein-coupled, metabotropic, and ionotropic receptors that activate phosphatidyl inositol 3-kinase (PI3K)/ATK and by the canonical WNT signaling pathway, where a fraction of Nrf2 interacts with Axin1/GSK-3. Considering that free Nrf2 protein is localized in the nucleus, we propose a model termed \"double flux controller\" to explain how Keap1 and β-TrCP coordinate the stability of Nrf2 in several scenarios. The GSK-3/β-TrCP axis provides a novel therapeutic strategy to modulate Nrf2 activity.","author":[{"dropping-particle":"","family":"Cuadrado","given":"Antonio","non-dropping-particle":"","parse-names":false,"suffix":""}],"container-title":"Free Radical Biology and Medicine","id":"ITEM-1","issued":{"date-parts":[["2015"]]},"title":"Structural and functional characterization of Nrf2 degradation by glycogen synthase kinase 3/β-TrCP","type":"article"},"uris":["http://www.mendeley.com/documents/?uuid=f3a5570b-33ac-446e-bbad-ced3b1ce594b"]}],"mendeley":{"formattedCitation":"(Cuadrado, 2015)","plainTextFormattedCitation":"(Cuadrado, 2015)","previouslyFormattedCitation":"(Cuadrado, 2015)"},"properties":{"noteIndex":0},"schema":"https://github.com/citation-style-language/schema/raw/master/csl-citation.json"}</w:instrText>
      </w:r>
      <w:r w:rsidR="00420F75" w:rsidRPr="00CB1C44">
        <w:rPr>
          <w:rFonts w:ascii="Arial" w:hAnsi="Arial" w:cs="Arial"/>
          <w:lang w:val="en-US"/>
        </w:rPr>
        <w:fldChar w:fldCharType="separate"/>
      </w:r>
      <w:r w:rsidR="00420F75" w:rsidRPr="00CB1C44">
        <w:rPr>
          <w:rFonts w:ascii="Arial" w:hAnsi="Arial" w:cs="Arial"/>
          <w:noProof/>
          <w:lang w:val="en-US"/>
        </w:rPr>
        <w:t>(Cuadrado, 2015</w:t>
      </w:r>
      <w:r w:rsidR="00047064" w:rsidRPr="00CB1C44">
        <w:rPr>
          <w:rFonts w:ascii="Arial" w:hAnsi="Arial" w:cs="Arial"/>
          <w:noProof/>
          <w:lang w:val="en-US"/>
        </w:rPr>
        <w:t>, for review</w:t>
      </w:r>
      <w:r w:rsidR="00420F75" w:rsidRPr="00CB1C44">
        <w:rPr>
          <w:rFonts w:ascii="Arial" w:hAnsi="Arial" w:cs="Arial"/>
          <w:noProof/>
          <w:lang w:val="en-US"/>
        </w:rPr>
        <w:t>)</w:t>
      </w:r>
      <w:r w:rsidR="00420F75" w:rsidRPr="00CB1C44">
        <w:rPr>
          <w:rFonts w:ascii="Arial" w:hAnsi="Arial" w:cs="Arial"/>
          <w:lang w:val="en-US"/>
        </w:rPr>
        <w:fldChar w:fldCharType="end"/>
      </w:r>
      <w:r w:rsidR="00420F75" w:rsidRPr="00CB1C44">
        <w:rPr>
          <w:rFonts w:ascii="Arial" w:hAnsi="Arial" w:cs="Arial"/>
          <w:lang w:val="en-US"/>
        </w:rPr>
        <w:t>.</w:t>
      </w:r>
      <w:r w:rsidR="00125ECE" w:rsidRPr="00CB1C44">
        <w:rPr>
          <w:rFonts w:ascii="Arial" w:hAnsi="Arial" w:cs="Arial"/>
          <w:lang w:val="en-US"/>
        </w:rPr>
        <w:t xml:space="preserve"> </w:t>
      </w:r>
      <w:r w:rsidR="00654BF6" w:rsidRPr="00CB1C44">
        <w:rPr>
          <w:rFonts w:ascii="Arial" w:hAnsi="Arial" w:cs="Arial"/>
          <w:lang w:val="en-US"/>
        </w:rPr>
        <w:t xml:space="preserve">Several evidences showed that GSK-3β </w:t>
      </w:r>
      <w:r w:rsidR="00125ECE" w:rsidRPr="00CB1C44">
        <w:rPr>
          <w:rFonts w:ascii="Arial" w:hAnsi="Arial" w:cs="Arial"/>
          <w:lang w:val="en-US"/>
        </w:rPr>
        <w:t>regulates Nrf2</w:t>
      </w:r>
      <w:r w:rsidR="00654BF6" w:rsidRPr="00CB1C44">
        <w:rPr>
          <w:rFonts w:ascii="Arial" w:hAnsi="Arial" w:cs="Arial"/>
          <w:lang w:val="en-US"/>
        </w:rPr>
        <w:t xml:space="preserve"> activity</w:t>
      </w:r>
      <w:r w:rsidR="00125ECE" w:rsidRPr="00CB1C44">
        <w:rPr>
          <w:rFonts w:ascii="Arial" w:hAnsi="Arial" w:cs="Arial"/>
          <w:lang w:val="en-US"/>
        </w:rPr>
        <w:t xml:space="preserve">. </w:t>
      </w:r>
      <w:r w:rsidRPr="00CB1C44">
        <w:rPr>
          <w:rFonts w:ascii="Arial" w:hAnsi="Arial" w:cs="Arial"/>
          <w:lang w:val="en-US"/>
        </w:rPr>
        <w:t xml:space="preserve">Indeed, </w:t>
      </w:r>
      <w:r w:rsidR="004E7D4E" w:rsidRPr="00CB1C44">
        <w:rPr>
          <w:rFonts w:ascii="Arial" w:hAnsi="Arial" w:cs="Arial"/>
          <w:lang w:val="en-US"/>
        </w:rPr>
        <w:t>activation of the PI3K/</w:t>
      </w:r>
      <w:proofErr w:type="spellStart"/>
      <w:r w:rsidR="004E7D4E" w:rsidRPr="00CB1C44">
        <w:rPr>
          <w:rFonts w:ascii="Arial" w:hAnsi="Arial" w:cs="Arial"/>
          <w:lang w:val="en-US"/>
        </w:rPr>
        <w:t>Akt</w:t>
      </w:r>
      <w:proofErr w:type="spellEnd"/>
      <w:r w:rsidR="004E7D4E" w:rsidRPr="00CB1C44">
        <w:rPr>
          <w:rFonts w:ascii="Arial" w:hAnsi="Arial" w:cs="Arial"/>
          <w:lang w:val="en-US"/>
        </w:rPr>
        <w:t xml:space="preserve"> pathway can indirectly regulate Nrf2 through the negative regulation of GSK-3β </w:t>
      </w:r>
      <w:r w:rsidR="004E7D4E" w:rsidRPr="00CB1C44">
        <w:rPr>
          <w:rFonts w:ascii="Arial" w:hAnsi="Arial" w:cs="Arial"/>
          <w:lang w:val="en-US"/>
        </w:rPr>
        <w:fldChar w:fldCharType="begin" w:fldLock="1"/>
      </w:r>
      <w:r w:rsidR="004E7D4E" w:rsidRPr="00CB1C44">
        <w:rPr>
          <w:rFonts w:ascii="Arial" w:hAnsi="Arial" w:cs="Arial"/>
          <w:lang w:val="en-US"/>
        </w:rPr>
        <w:instrText>ADDIN CSL_CITATION {"citationItems":[{"id":"ITEM-1","itemData":{"DOI":"10.1038/onc.2012.388","ISBN":"1476-5594 (Electronic)\\r0950-9232 (Linking)","ISSN":"1476-5594","PMID":"22964642","abstract":"Identification of regulatable mechanisms by which transcription factor NF-E2 p45-related factor 2 (Nrf2) is repressed will allow strategies to be designed that counter drug resistance associated with its upregulation in tumours that harbour somatic mutations in Kelch-like ECH-associated protein-1 (Keap1), a gene that encodes a joint adaptor and substrate receptor for the Cul3-Rbx1/Roc1 ubiquitin ligase. We now show that mouse Nrf2 contains two binding sites for β-transducin repeat-containing protein (β-TrCP), which acts as a substrate receptor for the Skp1-Cul1-Rbx1/Roc1 ubiquitin ligase complex. Deletion of either binding site in Nrf2 decreased β-TrCP-mediated ubiquitylation of the transcription factor. The ability of one of the two β-TrCP-binding sites to serve as a degron could be both increased and decreased by manipulation of glycogen synthase kinase-3 (GSK-3) activity. Biotinylated-peptide pull-down assays identified DSGIS(338) and DSAPGS(378) as the two β-TrCP-binding motifs in Nrf2. Significantly, our pull-down assays indicated that β-TrCP binds a phosphorylated version of DSGIS more tightly than its non-phosphorylated counterpart, whereas this was not the case for DSAPGS. These data suggest that DSGIS, but not DSAPGS, contains a functional GSK-3 phosphorylation site. Activation of GSK-3 in Keap1-null mouse embryonic fibroblasts (MEFs), or in human lung A549 cells that contain mutant Keap1, by inhibition of the phosphoinositide 3-kinase (PI3K)-protein kinase B (PKB)/Akt pathway markedly reduced endogenous Nrf2 protein and decreased to 10-50% of normal the levels of mRNA for prototypic Nrf2-regulated enzymes, including the glutamate-cysteine ligase catalytic and modifier subunits, glutathione S-transferases Alpha-1 and Mu-1, haem oxygenase-1 and NAD(P)H:quinone oxidoreductase-1. Pre-treatment of Keap1(-/-) MEFs or A549 cells with the LY294002 PI3K inhibitor or the MK-2206 PKB/Akt inhibitor increased their sensitivity to acrolein, chlorambucil and cisplatin between 1.9-fold and 3.1-fold, and this was substantially attenuated by simultaneous pre-treatment with the GSK-3 inhibitor CT99021.","author":[{"dropping-particle":"","family":"Chowdhry","given":"S","non-dropping-particle":"","parse-names":false,"suffix":""},{"dropping-particle":"","family":"Zhang","given":"Y","non-dropping-particle":"","parse-names":false,"suffix":""},{"dropping-particle":"","family":"McMahon","given":"M","non-dropping-particle":"","parse-names":false,"suffix":""},{"dropping-particle":"","family":"Sutherland","given":"C","non-dropping-particle":"","parse-names":false,"suffix":""},{"dropping-particle":"","family":"Cuadrado","given":"A","non-dropping-particle":"","parse-names":false,"suffix":""},{"dropping-particle":"","family":"Hayes","given":"J D","non-dropping-particle":"","parse-names":false,"suffix":""}],"container-title":"Oncogene","id":"ITEM-1","issue":"32","issued":{"date-parts":[["2013","8","8"]]},"page":"3765-81","title":"Nrf2 is controlled by two distinct β-TrCP recognition motifs in its Neh6 domain, one of which can be modulated by GSK-3 activity.","type":"article-journal","volume":"32"},"uris":["http://www.mendeley.com/documents/?uuid=43a51203-f2bc-4a85-bad8-9a2cefce569f"]}],"mendeley":{"formattedCitation":"(Chowdhry et al., 2013)","plainTextFormattedCitation":"(Chowdhry et al., 2013)","previouslyFormattedCitation":"(Chowdhry et al., 2013)"},"properties":{"noteIndex":0},"schema":"https://github.com/citation-style-language/schema/raw/master/csl-citation.json"}</w:instrText>
      </w:r>
      <w:r w:rsidR="004E7D4E" w:rsidRPr="00CB1C44">
        <w:rPr>
          <w:rFonts w:ascii="Arial" w:hAnsi="Arial" w:cs="Arial"/>
          <w:lang w:val="en-US"/>
        </w:rPr>
        <w:fldChar w:fldCharType="separate"/>
      </w:r>
      <w:r w:rsidR="004E7D4E" w:rsidRPr="00CB1C44">
        <w:rPr>
          <w:rFonts w:ascii="Arial" w:hAnsi="Arial" w:cs="Arial"/>
          <w:noProof/>
          <w:lang w:val="en-US"/>
        </w:rPr>
        <w:t>(Chowdhry et al., 2013)</w:t>
      </w:r>
      <w:r w:rsidR="004E7D4E" w:rsidRPr="00CB1C44">
        <w:rPr>
          <w:rFonts w:ascii="Arial" w:hAnsi="Arial" w:cs="Arial"/>
          <w:lang w:val="en-US"/>
        </w:rPr>
        <w:fldChar w:fldCharType="end"/>
      </w:r>
      <w:r w:rsidR="004E7D4E" w:rsidRPr="00CB1C44">
        <w:rPr>
          <w:rFonts w:ascii="Arial" w:hAnsi="Arial" w:cs="Arial"/>
          <w:lang w:val="en-US"/>
        </w:rPr>
        <w:t xml:space="preserve">, while </w:t>
      </w:r>
      <w:r w:rsidRPr="00CB1C44">
        <w:rPr>
          <w:rFonts w:ascii="Arial" w:hAnsi="Arial" w:cs="Arial"/>
          <w:lang w:val="en-US"/>
        </w:rPr>
        <w:t xml:space="preserve">inactive GSK-3β increased Nrf2 stability and Nrf2-related gene expression </w:t>
      </w:r>
      <w:r w:rsidR="009F5163" w:rsidRPr="00CB1C44">
        <w:rPr>
          <w:rFonts w:ascii="Arial" w:hAnsi="Arial" w:cs="Arial"/>
          <w:lang w:val="en-US"/>
        </w:rPr>
        <w:fldChar w:fldCharType="begin" w:fldLock="1"/>
      </w:r>
      <w:r w:rsidR="00E95066" w:rsidRPr="00CB1C44">
        <w:rPr>
          <w:rFonts w:ascii="Arial" w:hAnsi="Arial" w:cs="Arial"/>
          <w:lang w:val="en-US"/>
        </w:rPr>
        <w:instrText>ADDIN CSL_CITATION {"citationItems":[{"id":"ITEM-1","itemData":{"DOI":"10.1042/bst20150011","ISSN":"0300-5127","abstract":"?2015 Authors; published by Portland Press Limited.Nuclear factor-erythroid 2 p45 (NF-E2 p45)-related factor 2 (Nrf2) is a master regulator of redox homoeostasis that allows cells to adapt to oxidative stress and also promotes cell proliferation. In this review, we describe the molecular mechanisms by which oxidants/electrophilic agents and growth factors increase Nrf2 activity. In the former case, oxidants/electrophiles increase the stability of Nrf2 by antagonizing the ability of Kelch-like ECH-associated protein 1 (Keap1) to target the transcription factor for proteasomal degradation via the cullin-3 (Cul3)-RING ubiquitin ligase CRL&lt;sup&gt;Keap1&lt;/sup&gt;. In the latter case, we speculate that growth factors increase the stability of Nrf2 by stimulating phosphoinositide 3-kinase (PI3K) - protein kinase B (PKB)/Akt signalling, which in turn results in inhibitory phosphorylation of glycogen synthase kinase-3 (GSK-3) and in doing so prevents the formation of a DSGIS motif-containing phosphodegron in Nrf2 that is recognized by the ?-transducin repeat-containing protein (?-TrCP) Cul1-based E3 ubiquitin ligase complex SCF&lt;sup&gt;?-TrCP&lt;/sup&gt;. We present data showing that in the absence of Keap1, the electrophile tert-butyl hydroquinone (tBHQ) can stimulate Nrf2 activity and induce the Nrf2-target gene NAD(P)H:quinone oxidoreductase-1 (NQO1), whilst simultaneously causing inhibitory phosphorylation of GSK-3? at Ser&lt;sup&gt;9&lt;/sup&gt;. Together, these observations suggest that tBHQ can suppress the ability of SCF&lt;sup&gt;?-TrCP&lt;/sup&gt; to target Nrf2 for proteasomal degradation by increasing PI3K - PKB/Akt signalling. We also propose a scheme that explains how other protein kinases that inhibit GSK-3 could stimulate induction of Nrf2-target genes by preventing formation of the DSGIS motif-containing phosphodegron in Nrf2.","author":[{"dropping-particle":"","family":"Hayes","given":"John D.","non-dropping-particle":"","parse-names":false,"suffix":""},{"dropping-particle":"","family":"Chowdhry","given":"Sudhir","non-dropping-particle":"","parse-names":false,"suffix":""},{"dropping-particle":"","family":"Dinkova-Kostova","given":"Albena T.","non-dropping-particle":"","parse-names":false,"suffix":""},{"dropping-particle":"","family":"Sutherland","given":"Calum","non-dropping-particle":"","parse-names":false,"suffix":""}],"container-title":"Biochemical Society Transactions","id":"ITEM-1","issued":{"date-parts":[["2015"]]},"title":"Dual regulation of transcription factor Nrf2 by Keap1 and by the combined actions of β-TrCP and GSK-3","type":"article-journal"},"uris":["http://www.mendeley.com/documents/?uuid=8b129bcb-086f-4653-9def-a4ced475be53"]}],"mendeley":{"formattedCitation":"(Hayes et al., 2015)","plainTextFormattedCitation":"(Hayes et al., 2015)","previouslyFormattedCitation":"(Hayes et al., 2015)"},"properties":{"noteIndex":0},"schema":"https://github.com/citation-style-language/schema/raw/master/csl-citation.json"}</w:instrText>
      </w:r>
      <w:r w:rsidR="009F5163" w:rsidRPr="00CB1C44">
        <w:rPr>
          <w:rFonts w:ascii="Arial" w:hAnsi="Arial" w:cs="Arial"/>
          <w:lang w:val="en-US"/>
        </w:rPr>
        <w:fldChar w:fldCharType="separate"/>
      </w:r>
      <w:r w:rsidR="009F5163" w:rsidRPr="00CB1C44">
        <w:rPr>
          <w:rFonts w:ascii="Arial" w:hAnsi="Arial" w:cs="Arial"/>
          <w:noProof/>
          <w:lang w:val="en-US"/>
        </w:rPr>
        <w:t>(Hayes et al., 2015)</w:t>
      </w:r>
      <w:r w:rsidR="009F5163" w:rsidRPr="00CB1C44">
        <w:rPr>
          <w:rFonts w:ascii="Arial" w:hAnsi="Arial" w:cs="Arial"/>
          <w:lang w:val="en-US"/>
        </w:rPr>
        <w:fldChar w:fldCharType="end"/>
      </w:r>
      <w:r w:rsidRPr="00CB1C44">
        <w:rPr>
          <w:rFonts w:ascii="Arial" w:hAnsi="Arial" w:cs="Arial"/>
          <w:lang w:val="en-US"/>
        </w:rPr>
        <w:t xml:space="preserve">. </w:t>
      </w:r>
      <w:r w:rsidR="004E7D4E" w:rsidRPr="00CB1C44">
        <w:rPr>
          <w:rFonts w:ascii="Arial" w:hAnsi="Arial" w:cs="Arial"/>
          <w:lang w:val="en-US"/>
        </w:rPr>
        <w:t xml:space="preserve">AMP-activated protein kinase (AMPK), involved in cell survival in response to stress stimuli, also inactivates GSK-3β, favoring Nrf2 activation; AMPK can directly phosphorylate Nrf2 at Ser558 residue (Ser550 in mouse) inserted in the nuclear export signal, favoring Nrf2 nuclear accumulation </w:t>
      </w:r>
      <w:r w:rsidR="004E7D4E" w:rsidRPr="00CB1C44">
        <w:rPr>
          <w:rFonts w:ascii="Arial" w:hAnsi="Arial" w:cs="Arial"/>
          <w:lang w:val="en-US"/>
        </w:rPr>
        <w:fldChar w:fldCharType="begin" w:fldLock="1"/>
      </w:r>
      <w:r w:rsidR="004E7D4E" w:rsidRPr="00CB1C44">
        <w:rPr>
          <w:rFonts w:ascii="Arial" w:hAnsi="Arial" w:cs="Arial"/>
          <w:lang w:val="en-US"/>
        </w:rPr>
        <w:instrText>ADDIN CSL_CITATION {"citationItems":[{"id":"ITEM-1","itemData":{"DOI":"10.1128/mcb.00118-16","ISSN":"0270-7306","abstract":" Nrf2 (nuclear factor erythroid 2-related factor 2) is an antioxidant transcription factor. AMP-activated protein kinase (AMPK) functions as a central regulator of cell survival in response to stressful stimuli. Nrf2 should be coordinated with the cell survival pathway controlled by AMPK, but so far the mechanistic connections remain undefined. This study investigated the role of AMPK in Nrf2 trafficking and its activity regulation. A subnetwork integrating neighbor molecules suggested direct interaction between AMPK and Nrf2. In cells, AMPK activation caused nuclear accumulation of Nrf2. In the in vitro kinase and peptide competition assays, AMPK phosphorylated Nrf2 at the Ser558 residue (Ser550 in mouse) located in the canonical nuclear export signal. Nrf2 with an S550A mutation failed to be accumulated in the nucleus after AMPK activation. Leptomycin B, a nuclear export inhibitor, did not enhance nuclear accumulation of wild-type Nrf2 (WT-Nrf2) activated by AMPK or a phospho-Ser550-mimetic Nrf2 mutant, corroborating the finding that AMPK facilitated nuclear accumulation of Nrf2, probably by inhibiting nuclear export. Activated glycogen synthase kinase 3β (GSK3β) diminished the basal nuclear level of Myc-S550A-Nrf2. Taking the data collectively, AMPK phosphorylates Nrf2 at the Ser550 residue, which, in conjunction with AMPK-mediated GSK3β inhibition, promotes nuclear accumulation of Nrf2 for antioxidant response element (ARE)-driven gene transactivation. ","author":[{"dropping-particle":"","family":"Joo","given":"Min Sung","non-dropping-particle":"","parse-names":false,"suffix":""},{"dropping-particle":"","family":"Kim","given":"Won Dong","non-dropping-particle":"","parse-names":false,"suffix":""},{"dropping-particle":"","family":"Lee","given":"Ki Young","non-dropping-particle":"","parse-names":false,"suffix":""},{"dropping-particle":"","family":"Kim","given":"Ji Hyun","non-dropping-particle":"","parse-names":false,"suffix":""},{"dropping-particle":"","family":"Koo","given":"Ja Hyun","non-dropping-particle":"","parse-names":false,"suffix":""},{"dropping-particle":"","family":"Kim","given":"Sang Geon","non-dropping-particle":"","parse-names":false,"suffix":""}],"container-title":"Molecular and Cellular Biology","id":"ITEM-1","issued":{"date-parts":[["2016"]]},"title":"AMPK Facilitates Nuclear Accumulation of Nrf2 by Phosphorylating at Serine 550","type":"article-journal"},"uris":["http://www.mendeley.com/documents/?uuid=57c3d597-df07-47d9-b04f-d685e1a29d46"]}],"mendeley":{"formattedCitation":"(Joo et al., 2016)","plainTextFormattedCitation":"(Joo et al., 2016)","previouslyFormattedCitation":"(Joo et al., 2016)"},"properties":{"noteIndex":0},"schema":"https://github.com/citation-style-language/schema/raw/master/csl-citation.json"}</w:instrText>
      </w:r>
      <w:r w:rsidR="004E7D4E" w:rsidRPr="00CB1C44">
        <w:rPr>
          <w:rFonts w:ascii="Arial" w:hAnsi="Arial" w:cs="Arial"/>
          <w:lang w:val="en-US"/>
        </w:rPr>
        <w:fldChar w:fldCharType="separate"/>
      </w:r>
      <w:r w:rsidR="004E7D4E" w:rsidRPr="00CB1C44">
        <w:rPr>
          <w:rFonts w:ascii="Arial" w:hAnsi="Arial" w:cs="Arial"/>
          <w:noProof/>
          <w:lang w:val="en-US"/>
        </w:rPr>
        <w:t>(Joo et al., 2016)</w:t>
      </w:r>
      <w:r w:rsidR="004E7D4E" w:rsidRPr="00CB1C44">
        <w:rPr>
          <w:rFonts w:ascii="Arial" w:hAnsi="Arial" w:cs="Arial"/>
          <w:lang w:val="en-US"/>
        </w:rPr>
        <w:fldChar w:fldCharType="end"/>
      </w:r>
      <w:r w:rsidR="004E7D4E" w:rsidRPr="00CB1C44">
        <w:rPr>
          <w:rFonts w:ascii="Arial" w:hAnsi="Arial" w:cs="Arial"/>
          <w:lang w:val="en-US"/>
        </w:rPr>
        <w:t xml:space="preserve">. </w:t>
      </w:r>
      <w:r w:rsidR="00F459C7" w:rsidRPr="00CB1C44">
        <w:rPr>
          <w:rFonts w:ascii="Arial" w:hAnsi="Arial" w:cs="Arial"/>
          <w:lang w:val="en-US"/>
        </w:rPr>
        <w:t>O</w:t>
      </w:r>
      <w:r w:rsidR="00997ABC" w:rsidRPr="00CB1C44">
        <w:rPr>
          <w:rFonts w:ascii="Arial" w:hAnsi="Arial" w:cs="Arial"/>
          <w:lang w:val="en-US"/>
        </w:rPr>
        <w:t>nce activated, GSK-3β phosphorylates Fyn</w:t>
      </w:r>
      <w:r w:rsidR="00DF3650" w:rsidRPr="00CB1C44">
        <w:rPr>
          <w:rFonts w:ascii="Arial" w:hAnsi="Arial" w:cs="Arial"/>
          <w:lang w:val="en-US"/>
        </w:rPr>
        <w:t xml:space="preserve"> kinase, a </w:t>
      </w:r>
      <w:proofErr w:type="spellStart"/>
      <w:r w:rsidR="00DF3650" w:rsidRPr="00CB1C44">
        <w:rPr>
          <w:rFonts w:ascii="Arial" w:hAnsi="Arial" w:cs="Arial"/>
          <w:lang w:val="en-US"/>
        </w:rPr>
        <w:t>Src</w:t>
      </w:r>
      <w:proofErr w:type="spellEnd"/>
      <w:r w:rsidR="00DF3650" w:rsidRPr="00CB1C44">
        <w:rPr>
          <w:rFonts w:ascii="Arial" w:hAnsi="Arial" w:cs="Arial"/>
          <w:lang w:val="en-US"/>
        </w:rPr>
        <w:t xml:space="preserve"> family member, </w:t>
      </w:r>
      <w:r w:rsidR="00997ABC" w:rsidRPr="00CB1C44">
        <w:rPr>
          <w:rFonts w:ascii="Arial" w:hAnsi="Arial" w:cs="Arial"/>
          <w:lang w:val="en-US"/>
        </w:rPr>
        <w:t>at threonine residues leading to its nuclear accumulation</w:t>
      </w:r>
      <w:r w:rsidR="00DF3650" w:rsidRPr="00CB1C44">
        <w:rPr>
          <w:rFonts w:ascii="Arial" w:hAnsi="Arial" w:cs="Arial"/>
          <w:lang w:val="en-US"/>
        </w:rPr>
        <w:t xml:space="preserve">, which </w:t>
      </w:r>
      <w:r w:rsidR="00444B7A" w:rsidRPr="00CB1C44">
        <w:rPr>
          <w:rFonts w:ascii="Arial" w:hAnsi="Arial" w:cs="Arial"/>
          <w:lang w:val="en-US"/>
        </w:rPr>
        <w:t>in turn</w:t>
      </w:r>
      <w:r w:rsidR="00DF3650" w:rsidRPr="00CB1C44">
        <w:rPr>
          <w:rFonts w:ascii="Arial" w:hAnsi="Arial" w:cs="Arial"/>
          <w:lang w:val="en-US"/>
        </w:rPr>
        <w:t xml:space="preserve"> favors Nrf2 nuclear export</w:t>
      </w:r>
      <w:r w:rsidR="00B17F9A" w:rsidRPr="00CB1C44">
        <w:rPr>
          <w:rFonts w:ascii="Arial" w:hAnsi="Arial" w:cs="Arial"/>
          <w:lang w:val="en-US"/>
        </w:rPr>
        <w:t xml:space="preserve"> </w:t>
      </w:r>
      <w:r w:rsidR="007226B3" w:rsidRPr="00CB1C44">
        <w:rPr>
          <w:rFonts w:ascii="Arial" w:hAnsi="Arial" w:cs="Arial"/>
          <w:lang w:val="en-US"/>
        </w:rPr>
        <w:fldChar w:fldCharType="begin" w:fldLock="1"/>
      </w:r>
      <w:r w:rsidR="009F5163" w:rsidRPr="00CB1C44">
        <w:rPr>
          <w:rFonts w:ascii="Arial" w:hAnsi="Arial" w:cs="Arial"/>
          <w:lang w:val="en-US"/>
        </w:rPr>
        <w:instrText>ADDIN CSL_CITATION {"citationItems":[{"id":"ITEM-1","itemData":{"DOI":"10.1074/jbc.M611336200","ISBN":"0021-9258 (Print)\\r0021-9258 (Linking)","ISSN":"0021-9258","PMID":"17403689","abstract":"NF-E2-related factor 2 (Nrf2) regulates expression and coordinated induction of a battery of chemoprotective genes in response to oxidative and electrophilic stress. This leads to protection against oxidative stress and neoplastic diseases. Nuclear import and export of Nrf2 play a significant role in control of nuclear levels of Nrf2 and thus the expression of Nrf2 down-stream genes. Tyrosine kinase Fyn phosphorylates tyrosine 568 of Nrf2 that leads to the nuclear export of Nrf2. In this study, we investigated the upstream factor(s) in regulation of Fyn and Fyn-mediated nuclear export of Nrf2. The investigations shed light on a novel mechanism of Nrf2 regulation in response to oxidative stress. We demonstrate that GSK-3beta acts upstream of Fyn kinase in control of nuclear export of Nrf2. Chemical and short interfering RNA-mediated inhibition of GSK-3beta led to nuclear accumulation of Nrf2 and transcriptional activation of the Nrf2 downstream gene nqo1. Chemical and short interfering RNA inhibition of GSK-3beta and Fyn individually and in combination revealed that both kinases follow the same pathway to regulate nuclear export of Nrf2. We further demonstrate that hydrogen peroxide phosphorylates tyrosine 216 of GSK-3beta. This leads to activation of GSK-3beta. The activated GSK-3beta phosphorylates Fyn at threonine residue(s). Phosphorylated Fyn accumulates in the nucleus and phosphorylates Nrf2 at tyrosine 568. This leads to nuclear export, ubiquitination, and degradation of Nrf2.","author":[{"dropping-particle":"","family":"Jain","given":"Abhinav K.","non-dropping-particle":"","parse-names":false,"suffix":""},{"dropping-particle":"","family":"Jaiswal","given":"Anil K.","non-dropping-particle":"","parse-names":false,"suffix":""}],"container-title":"Journal of Biological Chemistry","id":"ITEM-1","issue":"22","issued":{"date-parts":[["2007","6","1"]]},"page":"16502-16510","title":"GSK-3beta Acts Upstream of Fyn Kinase in Regulation of Nuclear Export and Degradation of NF-E2 Related Factor 2","type":"article-journal","volume":"282"},"uris":["http://www.mendeley.com/documents/?uuid=0b07d103-9abd-46f6-87a5-faf7ff23fd99"]}],"mendeley":{"formattedCitation":"(Jain and Jaiswal, 2007)","plainTextFormattedCitation":"(Jain and Jaiswal, 2007)","previouslyFormattedCitation":"(Jain and Jaiswal, 2007)"},"properties":{"noteIndex":0},"schema":"https://github.com/citation-style-language/schema/raw/master/csl-citation.json"}</w:instrText>
      </w:r>
      <w:r w:rsidR="007226B3" w:rsidRPr="00CB1C44">
        <w:rPr>
          <w:rFonts w:ascii="Arial" w:hAnsi="Arial" w:cs="Arial"/>
          <w:lang w:val="en-US"/>
        </w:rPr>
        <w:fldChar w:fldCharType="separate"/>
      </w:r>
      <w:r w:rsidR="007226B3" w:rsidRPr="00CB1C44">
        <w:rPr>
          <w:rFonts w:ascii="Arial" w:hAnsi="Arial" w:cs="Arial"/>
          <w:noProof/>
          <w:lang w:val="en-US"/>
        </w:rPr>
        <w:t>(Jain and Jaiswal, 2007)</w:t>
      </w:r>
      <w:r w:rsidR="007226B3" w:rsidRPr="00CB1C44">
        <w:rPr>
          <w:rFonts w:ascii="Arial" w:hAnsi="Arial" w:cs="Arial"/>
          <w:lang w:val="en-US"/>
        </w:rPr>
        <w:fldChar w:fldCharType="end"/>
      </w:r>
      <w:r w:rsidR="00997ABC" w:rsidRPr="00CB1C44">
        <w:rPr>
          <w:rFonts w:ascii="Arial" w:hAnsi="Arial" w:cs="Arial"/>
          <w:lang w:val="en-US"/>
        </w:rPr>
        <w:t>.</w:t>
      </w:r>
      <w:r w:rsidR="00F459C7" w:rsidRPr="00CB1C44">
        <w:rPr>
          <w:rFonts w:ascii="Arial" w:hAnsi="Arial" w:cs="Arial"/>
          <w:lang w:val="en-US"/>
        </w:rPr>
        <w:t xml:space="preserve"> </w:t>
      </w:r>
      <w:r w:rsidRPr="00CB1C44">
        <w:rPr>
          <w:rFonts w:ascii="Arial" w:hAnsi="Arial" w:cs="Arial"/>
          <w:lang w:val="en-US"/>
        </w:rPr>
        <w:t xml:space="preserve">GSK-3β can </w:t>
      </w:r>
      <w:r w:rsidR="004E7D4E" w:rsidRPr="00CB1C44">
        <w:rPr>
          <w:rFonts w:ascii="Arial" w:hAnsi="Arial" w:cs="Arial"/>
          <w:lang w:val="en-US"/>
        </w:rPr>
        <w:t xml:space="preserve">also </w:t>
      </w:r>
      <w:r w:rsidRPr="00CB1C44">
        <w:rPr>
          <w:rFonts w:ascii="Arial" w:hAnsi="Arial" w:cs="Arial"/>
          <w:lang w:val="en-US"/>
        </w:rPr>
        <w:t xml:space="preserve">phosphorylate Nrf2’s Neh6 region at serine residues (334-338), creating a structural motif that is recognized by </w:t>
      </w:r>
      <w:r w:rsidRPr="00CB1C44">
        <w:rPr>
          <w:rFonts w:ascii="Arial" w:hAnsi="Arial" w:cs="Arial"/>
          <w:lang w:val="en-US"/>
        </w:rPr>
        <w:sym w:font="Symbol" w:char="F062"/>
      </w:r>
      <w:r w:rsidRPr="00CB1C44">
        <w:rPr>
          <w:rFonts w:ascii="Arial" w:hAnsi="Arial" w:cs="Arial"/>
          <w:lang w:val="en-US"/>
        </w:rPr>
        <w:t>-</w:t>
      </w:r>
      <w:proofErr w:type="spellStart"/>
      <w:r w:rsidRPr="00CB1C44">
        <w:rPr>
          <w:rFonts w:ascii="Arial" w:hAnsi="Arial" w:cs="Arial"/>
          <w:lang w:val="en-US"/>
        </w:rPr>
        <w:t>TrCP</w:t>
      </w:r>
      <w:proofErr w:type="spellEnd"/>
      <w:r w:rsidRPr="00CB1C44">
        <w:rPr>
          <w:rFonts w:ascii="Arial" w:hAnsi="Arial" w:cs="Arial"/>
          <w:lang w:val="en-US"/>
        </w:rPr>
        <w:t xml:space="preserve"> E3 ligase, leading to Nrf2 degradation </w:t>
      </w:r>
      <w:r w:rsidRPr="00CB1C44">
        <w:rPr>
          <w:rFonts w:ascii="Arial" w:hAnsi="Arial" w:cs="Arial"/>
          <w:lang w:val="en-US"/>
        </w:rPr>
        <w:fldChar w:fldCharType="begin" w:fldLock="1"/>
      </w:r>
      <w:r w:rsidRPr="00CB1C44">
        <w:rPr>
          <w:rFonts w:ascii="Arial" w:hAnsi="Arial" w:cs="Arial"/>
          <w:lang w:val="en-US"/>
        </w:rPr>
        <w:instrText>ADDIN CSL_CITATION {"citationItems":[{"id":"ITEM-1","itemData":{"DOI":"10.1111/j.1471-4159.2007.05124.x","ISBN":"1471-4159 (Electronic)","ISSN":"00223042","PMID":"18005231","abstract":"Oxidant injury activates the neuroprotective pathway represented by phosphatidylinositol 3 kinase (PI3K) and Akt. However, the final outcome of oxidant exposure is often associated with neuronal death. This study was aimed to identify the molecular mechanism responsible for loss of tolerance to an oxidative environment. In N2A neuroblasts, serum and H2O2 exhibited different kinetics of regulation for the Ser/Thr kinases Akt and glycogen synthase kinase 3beta (GSK-3beta) and for the transcription factor Nrf2, which governs redox homeostasis. Thus, H2O2 rapidly activated Akt, inhibited GSK-3beta, and directed the transcription factor Nrf2 to the nucleus, but after 4 h Akt was inactive, GSK-3beta was active and Nrf2 was more cytosolic than nuclear. Inhibition of the PI3K/Akt pathway by LY294002, impeded the short-term effect of H2O2 on nuclear translocation of Nrf2. GSK-3beta activation (inhibiting PI3K/Akt) or direct GSK-3beta inhibition in cerebellar granule neurons resulted in respective nuclear exclusion and nuclear accumulation of Nrf2. Moreover, in these neurons, nuclear accumulation of Nrf2 correlated with increased heme oxygenase-1 expression. Over-expression of the kinase active GSK-3beta (Delta9) mutant, induced Nrf2 cytoplasmic localization and inhibited Nrf2 transcriptional activity towards an antioxidant-response-element luciferase reporter. Moreover, GSK-3beta (Delta9) sensitized N2A neuroblasts to H2O2-induced oxidative stress and cell death. This study identifies GSK-3beta, a kinase known to participate in neurodegeneration, as a fundamental element in the down-regulation of the antioxidant cell defense elicited by Nrf2 after oxidant injury and provides a mechanism to explain the loss of oxidant tolerance that happens under persistent oxidant exposure such as those found in several neuropathologies.","author":[{"dropping-particle":"","family":"Rojo","given":"Ana I.","non-dropping-particle":"","parse-names":false,"suffix":""},{"dropping-particle":"De","family":"Sagarra","given":"María Rosa","non-dropping-particle":"","parse-names":false,"suffix":""},{"dropping-particle":"","family":"Cuadrado","given":"Antonio","non-dropping-particle":"","parse-names":false,"suffix":""}],"container-title":"Journal of Neurochemistry","id":"ITEM-1","issue":"1","issued":{"date-parts":[["2008"]]},"page":"192-202","title":"GSK-3β down-regulates the transcription factor Nrf2 after oxidant damage: Relevance to exposure of neuronal cells to oxidative stress","type":"article-journal","volume":"105"},"uris":["http://www.mendeley.com/documents/?uuid=b7cd7747-3bd3-4ff1-8b16-e7c310136a72"]},{"id":"ITEM-2","itemData":{"DOI":"10.1128/MCB.01204-10","ISBN":"1098-5549 (Electronic)\\r0270-7306 (Linking)","ISSN":"1098-5549","PMID":"21245377","abstract":"Regulation of transcription factor Nrf2 (NF-E2-related factor 2) involves redox-sensitive proteasomal degradation via the E3 ubiquitin ligase Keap1/Cul3. However, Nrf2 is controlled by other mechanisms that have not yet been elucidated. We now show that glycogen synthase kinase 3 (GSK-3) phosphorylates a group of Ser residues in the Neh6 domain of mouse Nrf2 that overlap with an SCF/β-TrCP destruction motif (DSGIS, residues 334 to 338) and promotes its degradation in a Keap1-independent manner. Nrf2 was stabilized by GSK-3 inhibitors in Keap1-null mouse embryo fibroblasts. Similarly, an Nrf2(ΔETGE) mutant, which cannot be degraded via Keap1, accumulated when GSK-3 activity was blocked. Phosphorylation of a Ser cluster in the Neh6 domain of Nrf2 stimulated its degradation because a mutant Nrf2(ΔETGE 6S/6A) protein, lacking these Ser residues, exhibited a longer half-life than Nrf2(ΔETGE). Moreover, Nrf2(ΔETGE 6S/6A) was insensitive to β-TrCP regulation and exhibited lower levels of ubiquitination than Nrf2(ΔETGE). GSK-3β enhanced ubiquitination of Nrf2(ΔETGE) but not that of Nrf2(ΔETGE 6S/6A). The Nrf2(ΔETGE) protein but not Nrf2(ΔETGE 6S/6A) coimmunoprecipitated with β-TrCP, and this association was enhanced by GSK-3β. Our results show for the first time that Nrf2 is targeted by GSK-3 for SCF/β-TrCP-dependent degradation. We propose a \"dual degradation\" model to describe the regulation of Nrf2 under different pathophysiological conditions.","author":[{"dropping-particle":"","family":"Rada","given":"Patricia","non-dropping-particle":"","parse-names":false,"suffix":""},{"dropping-particle":"","family":"Rojo","given":"Ana I","non-dropping-particle":"","parse-names":false,"suffix":""},{"dropping-particle":"","family":"Chowdhry","given":"Sudhir","non-dropping-particle":"","parse-names":false,"suffix":""},{"dropping-particle":"","family":"McMahon","given":"Michael","non-dropping-particle":"","parse-names":false,"suffix":""},{"dropping-particle":"","family":"Hayes","given":"John D","non-dropping-particle":"","parse-names":false,"suffix":""},{"dropping-particle":"","family":"Cuadrado","given":"Antonio","non-dropping-particle":"","parse-names":false,"suffix":""}],"container-title":"Molecular and cellular biology","id":"ITEM-2","issue":"6","issued":{"date-parts":[["2011","3"]]},"page":"1121-33","title":"SCF/{beta}-TrCP promotes glycogen synthase kinase 3-dependent degradation of the Nrf2 transcription factor in a Keap1-independent manner.","type":"article-journal","volume":"31"},"uris":["http://www.mendeley.com/documents/?uuid=bfd8bd48-da2a-46a3-95d9-ea13e1676122"]}],"mendeley":{"formattedCitation":"(Rada et al., 2011; Rojo et al., 2008b)","plainTextFormattedCitation":"(Rada et al., 2011; Rojo et al., 2008b)","previouslyFormattedCitation":"(Rada et al., 2011; Rojo et al., 2008b)"},"properties":{"noteIndex":0},"schema":"https://github.com/citation-style-language/schema/raw/master/csl-citation.json"}</w:instrText>
      </w:r>
      <w:r w:rsidRPr="00CB1C44">
        <w:rPr>
          <w:rFonts w:ascii="Arial" w:hAnsi="Arial" w:cs="Arial"/>
          <w:lang w:val="en-US"/>
        </w:rPr>
        <w:fldChar w:fldCharType="separate"/>
      </w:r>
      <w:r w:rsidRPr="00CB1C44">
        <w:rPr>
          <w:rFonts w:ascii="Arial" w:hAnsi="Arial" w:cs="Arial"/>
          <w:noProof/>
          <w:lang w:val="en-US"/>
        </w:rPr>
        <w:t>(Rada et al., 2011; Rojo et al., 2008b)</w:t>
      </w:r>
      <w:r w:rsidRPr="00CB1C44">
        <w:rPr>
          <w:rFonts w:ascii="Arial" w:hAnsi="Arial" w:cs="Arial"/>
          <w:lang w:val="en-US"/>
        </w:rPr>
        <w:fldChar w:fldCharType="end"/>
      </w:r>
      <w:r w:rsidRPr="00CB1C44">
        <w:rPr>
          <w:rFonts w:ascii="Arial" w:hAnsi="Arial" w:cs="Arial"/>
          <w:lang w:val="en-US"/>
        </w:rPr>
        <w:t>.</w:t>
      </w:r>
      <w:r w:rsidR="00654BF6" w:rsidRPr="00CB1C44">
        <w:rPr>
          <w:rFonts w:ascii="Arial" w:hAnsi="Arial" w:cs="Arial"/>
          <w:lang w:val="en-US"/>
        </w:rPr>
        <w:t xml:space="preserve"> </w:t>
      </w:r>
    </w:p>
    <w:p w14:paraId="25E10DBD" w14:textId="460EE3E8" w:rsidR="004E7D4E" w:rsidRPr="00CB1C44" w:rsidRDefault="0087778F" w:rsidP="004038B5">
      <w:pPr>
        <w:spacing w:after="0" w:line="360" w:lineRule="auto"/>
        <w:jc w:val="both"/>
        <w:rPr>
          <w:rFonts w:ascii="Arial" w:hAnsi="Arial" w:cs="Arial"/>
          <w:lang w:val="en-US"/>
        </w:rPr>
      </w:pPr>
      <w:r w:rsidRPr="00CB1C44">
        <w:rPr>
          <w:rFonts w:ascii="Arial" w:hAnsi="Arial" w:cs="Arial"/>
          <w:lang w:val="en-US"/>
        </w:rPr>
        <w:t xml:space="preserve">Nrf2 </w:t>
      </w:r>
      <w:r w:rsidR="00402AAD" w:rsidRPr="00CB1C44">
        <w:rPr>
          <w:rFonts w:ascii="Arial" w:hAnsi="Arial" w:cs="Arial"/>
          <w:lang w:val="en-US"/>
        </w:rPr>
        <w:t xml:space="preserve">can be </w:t>
      </w:r>
      <w:r w:rsidR="004E7D4E" w:rsidRPr="00CB1C44">
        <w:rPr>
          <w:rFonts w:ascii="Arial" w:hAnsi="Arial" w:cs="Arial"/>
          <w:lang w:val="en-US"/>
        </w:rPr>
        <w:t xml:space="preserve">also </w:t>
      </w:r>
      <w:r w:rsidR="00402AAD" w:rsidRPr="00CB1C44">
        <w:rPr>
          <w:rFonts w:ascii="Arial" w:hAnsi="Arial" w:cs="Arial"/>
          <w:lang w:val="en-US"/>
        </w:rPr>
        <w:t xml:space="preserve">regulated </w:t>
      </w:r>
      <w:r w:rsidRPr="00CB1C44">
        <w:rPr>
          <w:rFonts w:ascii="Arial" w:hAnsi="Arial" w:cs="Arial"/>
          <w:lang w:val="en-US"/>
        </w:rPr>
        <w:t xml:space="preserve">through </w:t>
      </w:r>
      <w:r w:rsidR="00773D5A" w:rsidRPr="00CB1C44">
        <w:rPr>
          <w:rFonts w:ascii="Arial" w:hAnsi="Arial" w:cs="Arial"/>
          <w:lang w:val="en-US"/>
        </w:rPr>
        <w:t xml:space="preserve">phosphorylation of </w:t>
      </w:r>
      <w:r w:rsidRPr="00CB1C44">
        <w:rPr>
          <w:rFonts w:ascii="Arial" w:hAnsi="Arial" w:cs="Arial"/>
          <w:lang w:val="en-US"/>
        </w:rPr>
        <w:t>serine or threonine residues</w:t>
      </w:r>
      <w:r w:rsidR="00402AAD" w:rsidRPr="00CB1C44">
        <w:rPr>
          <w:rFonts w:ascii="Arial" w:hAnsi="Arial" w:cs="Arial"/>
          <w:lang w:val="en-US"/>
        </w:rPr>
        <w:t xml:space="preserve"> by </w:t>
      </w:r>
      <w:r w:rsidRPr="00CB1C44">
        <w:rPr>
          <w:rFonts w:ascii="Arial" w:hAnsi="Arial" w:cs="Arial"/>
          <w:lang w:val="en-US"/>
        </w:rPr>
        <w:t>p</w:t>
      </w:r>
      <w:r w:rsidR="00266845" w:rsidRPr="00CB1C44">
        <w:rPr>
          <w:rFonts w:ascii="Arial" w:hAnsi="Arial" w:cs="Arial"/>
          <w:lang w:val="en-US"/>
        </w:rPr>
        <w:t>rotein kinase C (PKC)</w:t>
      </w:r>
      <w:r w:rsidR="00773D5A" w:rsidRPr="00CB1C44">
        <w:rPr>
          <w:rFonts w:ascii="Arial" w:hAnsi="Arial" w:cs="Arial"/>
          <w:lang w:val="en-US"/>
        </w:rPr>
        <w:t>,</w:t>
      </w:r>
      <w:r w:rsidR="00266845" w:rsidRPr="00CB1C44">
        <w:rPr>
          <w:rFonts w:ascii="Arial" w:hAnsi="Arial" w:cs="Arial"/>
          <w:lang w:val="en-US"/>
        </w:rPr>
        <w:t xml:space="preserve"> </w:t>
      </w:r>
      <w:r w:rsidR="004E7D4E" w:rsidRPr="00CB1C44">
        <w:rPr>
          <w:rFonts w:ascii="Arial" w:hAnsi="Arial" w:cs="Arial"/>
          <w:lang w:val="en-US"/>
        </w:rPr>
        <w:t xml:space="preserve">which is </w:t>
      </w:r>
      <w:r w:rsidR="00A11043" w:rsidRPr="00CB1C44">
        <w:rPr>
          <w:rFonts w:ascii="Arial" w:hAnsi="Arial" w:cs="Arial"/>
          <w:lang w:val="en-US"/>
        </w:rPr>
        <w:t xml:space="preserve">involved in </w:t>
      </w:r>
      <w:r w:rsidR="00266845" w:rsidRPr="00CB1C44">
        <w:rPr>
          <w:rFonts w:ascii="Arial" w:hAnsi="Arial" w:cs="Arial"/>
          <w:lang w:val="en-US"/>
        </w:rPr>
        <w:t xml:space="preserve">apoptosis, survival, growth and differentiation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{"citationItems":[{"id":"ITEM-1","itemData":{"DOI":"10.1152/ajpcell.00043.2003","ISSN":"0363-6143","PMID":"12700136","abstract":"Transcription factor NF-E2-related factor 2 (Nrf2) regulates the induction of antioxidative proteins, including heme oxygenase-1 (HO-1). Nrf2 is sequestered in the cytoplasm by Keap1 under unstimulated conditions but translocates into the nucleus and transactivates the antioxidant responsive element (ARE) upon exposure to oxidative insults. It has recently been demonstrated that in vitro phosphorylation of Nrf2 on Ser40 by protein kinase C (PKC) facilitates the dissociation of Nrf2 from the Keap1 complex (Huang HC, Nguyen T, and Pickett CB. J Biol Chem 277: 42769-42774, 2002). The present study was designed to examine whether PKC is involved in oxidative stress-mediated nuclear translocation of Nrf2 in vivo and, if so, which PKC isoforms are involved. Induction of HO-1 gene expression by phorone, a glutathione depletor, and 4-hydroxy-2,3-nonenal (4-HNE), an end product of lipid peroxidation, was suppressed by a specific PKC inhibitor, Ro-31-8220, at concentrations that inhibit all isoforms in WI-38 cells. The induction of HO-1 was not affected by prolonged exposure of the cells to 12-O-tetradecanoylphorbol-13 acetate (TPA), suggesting that TPA-insensitive atypical PKC (aPKC) isoforms are involved. An immunocomplex kinase assay revealed that phorone and 4-HNE increased aPKCiota activity. In COS-7 cells, 4-HNE induced nuclear translocation of the Nrf2-green fluorescent protein (GFP) fusion protein, but not the Nrf2(S40A)-GFP mutant. In the absence of oxidative insults, the Nrf2(S40E)-GFP mutant was distributed in the nucleus. The Nrf2-GFP accumulation in the nucleus was induced by coexpression of aPKCiota, but not by a kinase inactive mutant aPKCiota(K274W). The activity of an ARE-driven reporter was increased by coexpression of aPKCiota, and this effect was eliminated by Ro-31-8220 in HepG2 cells. The reporter activity induced by 4-HNE was inhibited by coexpression of aPKCiota(K274W). These results suggest that phosphorylation of Nrf2 Ser40 by aPKC(s) is involved in the nuclear translocation and ARE transactivation of Nrf2 by oxidative stress.","author":[{"dropping-particle":"","family":"Numazawa","given":"Satoshi","non-dropping-particle":"","parse-names":false,"suffix":""},{"dropping-particle":"","family":"Ishikawa","given":"Makie","non-dropping-particle":"","parse-names":false,"suffix":""},{"dropping-particle":"","family":"Yoshida","given":"Aya","non-dropping-particle":"","parse-names":false,"suffix":""},{"dropping-particle":"","family":"Tanaka","given":"Sachiko","non-dropping-particle":"","parse-names":false,"suffix":""},{"dropping-particle":"","family":"Yoshida","given":"Takemi","non-dropping-particle":"","parse-names":false,"suffix":""}],"container-title":"American journal of physiology. Cell physiology","id":"ITEM-1","issue":"2","issued":{"date-parts":[["2003"]]},"page":"C334-42","title":"Atypical protein kinase C mediates activation of NF-E2-related factor 2 in response to oxidative stress.","type":"article-journal","volume":"285"},"uris":["http://www.mendeley.com/documents/?uuid=62fe9db2-c697-4ae0-9dc5-87c217f20ee6"]}],"mendeley":{"formattedCitation":"(Numazawa et al., 2003)","plainTextFormattedCitation":"(Numazawa et al., 2003)","previouslyFormattedCitation":"(Numazawa et al.,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(Numazawa et al., 2003)</w:t>
      </w:r>
      <w:r w:rsidR="00844011" w:rsidRPr="00CB1C44">
        <w:rPr>
          <w:rFonts w:ascii="Arial" w:hAnsi="Arial" w:cs="Arial"/>
          <w:lang w:val="en-US"/>
        </w:rPr>
        <w:fldChar w:fldCharType="end"/>
      </w:r>
      <w:r w:rsidR="002A5FDF" w:rsidRPr="00CB1C44">
        <w:rPr>
          <w:rFonts w:ascii="Arial" w:hAnsi="Arial" w:cs="Arial"/>
          <w:lang w:val="en-US"/>
        </w:rPr>
        <w:t xml:space="preserve">; PKC can be also </w:t>
      </w:r>
      <w:r w:rsidRPr="00CB1C44">
        <w:rPr>
          <w:rFonts w:ascii="Arial" w:hAnsi="Arial" w:cs="Arial"/>
          <w:lang w:val="en-US"/>
        </w:rPr>
        <w:t xml:space="preserve">activated by </w:t>
      </w:r>
      <w:r w:rsidR="00A71D4E" w:rsidRPr="00CB1C44">
        <w:rPr>
          <w:rFonts w:ascii="Arial" w:hAnsi="Arial" w:cs="Arial"/>
          <w:lang w:val="en-US"/>
        </w:rPr>
        <w:t xml:space="preserve">oxidative stress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{"citationItems":[{"id":"ITEM-1","itemData":{"DOI":"10.1016/j.bbrc.2004.05.217","ISSN":"0006-291X","PMID":"15240117","abstract":"We investigated which isoforms of PKCs can be modulated and what their roles are during l-buthionine-S,R-sulfoximine (BSO)-induced neuronal death. We observed the isoform specific translocation of PKC-epsilon from the soluble fraction to the particulate in cortical neurons treated with 10 mM BSO. The translocation of PKC-epsilon by BSO was blocked by antioxidant trolox, suggesting the PKC-epsilon as a downstream of reactive oxygen species (ROS) elevated by BSO. Trolox inhibited the ROS elevation and the neuronal death in BSO-treated cortical cells. The BSO-induced neuronal death was remarkably inhibited by both the pharmacological inhibition of PKC-epsilon with epsilonV1-2 and the functional blockade for PKC-epsilon through overexpression of PKC-epsilon V1 region, suggesting the detrimental role of PKC-epsilon. These results suggest that PKC-epsilon is the major PKC isoform involved in the pathways triggered by ROS, leading to neuronal death in BSO-treated cortical neurons.","author":[{"dropping-particle":"","family":"Jung","given":"Yi-Sook","non-dropping-particle":"","parse-names":false,"suffix":""},{"dropping-particle":"","family":"Ryu","given":"Bo Rum","non-dropping-particle":"","parse-names":false,"suffix":""},{"dropping-particle":"","family":"Lee","given":"Bo Kyung","non-dropping-particle":"","parse-names":false,"suffix":""},{"dropping-particle":"","family":"Mook-Jung","given":"Inhee","non-dropping-particle":"","parse-names":false,"suffix":""},{"dropping-particle":"","family":"Kim","given":"Seung Up","non-dropping-particle":"","parse-names":false,"suffix":""},{"dropping-particle":"","family":"Lee","given":"Soo Hwan","non-dropping-particle":"","parse-names":false,"suffix":""},{"dropping-particle":"","family":"Baik","given":"Eun Joo","non-dropping-particle":"","parse-names":false,"suffix":""},{"dropping-particle":"","family":"Moon","given":"Chang-Hyun","non-dropping-particle":"","parse-names":false,"suffix":""}],"container-title":"Biochemical and biophysical research communications","id":"ITEM-1","issue":"3","issued":{"date-parts":[["2004"]]},"page":"789-94","title":"Role for PKC-epsilon in neuronal death induced by oxidative stress.","type":"article-journal","volume":"320"},"uris":["http://www.mendeley.com/documents/?uuid=43bd0d37-53f5-49f9-bde2-f03696b2ad7e"]}],"mendeley":{"formattedCitation":"(Jung et al., 2004)","plainTextFormattedCitation":"(Jung et al., 2004)","previouslyFormattedCitation":"(Jung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(Jung et al., 2004)</w:t>
      </w:r>
      <w:r w:rsidR="00844011" w:rsidRPr="00CB1C44">
        <w:rPr>
          <w:rFonts w:ascii="Arial" w:hAnsi="Arial" w:cs="Arial"/>
          <w:lang w:val="en-US"/>
        </w:rPr>
        <w:fldChar w:fldCharType="end"/>
      </w:r>
      <w:r w:rsidR="00A71D4E" w:rsidRPr="00CB1C44">
        <w:rPr>
          <w:rFonts w:ascii="Arial" w:hAnsi="Arial" w:cs="Arial"/>
          <w:lang w:val="en-US"/>
        </w:rPr>
        <w:t>. Huang and colleagues demonstrated that PKC can phosphorylate Nrf2 in its Neh2 domain</w:t>
      </w:r>
      <w:r w:rsidR="004116B0" w:rsidRPr="00CB1C44">
        <w:rPr>
          <w:rFonts w:ascii="Arial" w:hAnsi="Arial" w:cs="Arial"/>
          <w:lang w:val="en-US"/>
        </w:rPr>
        <w:t>,</w:t>
      </w:r>
      <w:r w:rsidR="00A71D4E" w:rsidRPr="00CB1C44">
        <w:rPr>
          <w:rFonts w:ascii="Arial" w:hAnsi="Arial" w:cs="Arial"/>
          <w:lang w:val="en-US"/>
        </w:rPr>
        <w:t xml:space="preserve"> at Ser40, induc</w:t>
      </w:r>
      <w:r w:rsidR="00FB69E0" w:rsidRPr="00CB1C44">
        <w:rPr>
          <w:rFonts w:ascii="Arial" w:hAnsi="Arial" w:cs="Arial"/>
          <w:lang w:val="en-US"/>
        </w:rPr>
        <w:t>ing</w:t>
      </w:r>
      <w:r w:rsidR="00A71D4E" w:rsidRPr="00CB1C44">
        <w:rPr>
          <w:rFonts w:ascii="Arial" w:hAnsi="Arial" w:cs="Arial"/>
          <w:lang w:val="en-US"/>
        </w:rPr>
        <w:t xml:space="preserve"> </w:t>
      </w:r>
      <w:r w:rsidR="005C5AF2" w:rsidRPr="00CB1C44">
        <w:rPr>
          <w:rFonts w:ascii="Arial" w:hAnsi="Arial" w:cs="Arial"/>
          <w:lang w:val="en-US"/>
        </w:rPr>
        <w:t xml:space="preserve">dissociation from </w:t>
      </w:r>
      <w:r w:rsidR="00A71D4E" w:rsidRPr="00CB1C44">
        <w:rPr>
          <w:rFonts w:ascii="Arial" w:hAnsi="Arial" w:cs="Arial"/>
          <w:lang w:val="en-US"/>
        </w:rPr>
        <w:t xml:space="preserve">Keap1 and consequent </w:t>
      </w:r>
      <w:r w:rsidR="00EC0138" w:rsidRPr="00CB1C44">
        <w:rPr>
          <w:rFonts w:ascii="Arial" w:hAnsi="Arial" w:cs="Arial"/>
          <w:lang w:val="en-US"/>
        </w:rPr>
        <w:t xml:space="preserve">Nrf2 </w:t>
      </w:r>
      <w:r w:rsidR="005C3F7F" w:rsidRPr="00CB1C44">
        <w:rPr>
          <w:rFonts w:ascii="Arial" w:hAnsi="Arial" w:cs="Arial"/>
          <w:lang w:val="en-US"/>
        </w:rPr>
        <w:t xml:space="preserve">nuclear </w:t>
      </w:r>
      <w:r w:rsidR="00EC0138" w:rsidRPr="00CB1C44">
        <w:rPr>
          <w:rFonts w:ascii="Arial" w:hAnsi="Arial" w:cs="Arial"/>
          <w:lang w:val="en-US"/>
        </w:rPr>
        <w:t xml:space="preserve">translocation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{"citationItems":[{"id":"ITEM-1","itemData":{"DOI":"10.1074/jbc.M206911200","ISBN":"9087407300","ISSN":"0021-9258","PMID":"12198130","abstract":"Nrf2, a basic leucine zipper transcription factor, is an essential activator of the coordinated transcription of genes encoding antioxidant enzymes and phase II detoxifying enzymes through the regulatory sequence termed antioxidant response element (ARE). Recently we reported evidence for the involvement of protein kinase C (PKC) in phosphorylating Nrf2 and triggering its nuclear translocation in response to oxidative stress. We show here that phosphorylation of purified rat Nrf2 by the catalytic subunit of PKC was blocked by a synthetic peptide mimicking one of the potential PKC sites. Accordingly, Nrf2 bearing a Ser to Ala mutation at amino acid 40 (S40A) could not be phosphorylated by PKC. The S40A mutation did not affect in vitro binding of Nrf2/MafK to the ARE. However, it partially impaired Nrf2 activation of ARE-driven transcription in a reporter gene assay when Keap1 was overexpressed. In vitro transcribed/translated Keap1 could be coimmunoprecipitated with Nrf2. Phosphorylation of wild-type Nrf2 by PKC promoted its dissociation from Keap1, whereas the Nrf2-S40A mutant remained associated. These findings together with our prior studies suggest that the PKC-catalyzed phosphorylation of Nrf2 at Ser-40 is a critical signaling event leading to ARE-mediated cellular antioxidant response.","author":[{"dropping-particle":"","family":"Huang","given":"H.-C.","non-dropping-particle":"","parse-names":false,"suffix":""},{"dropping-particle":"","family":"Nguyen","given":"Truyen","non-dropping-particle":"","parse-names":false,"suffix":""},{"dropping-particle":"","family":"Pickett","given":"Cecil B.","non-dropping-particle":"","parse-names":false,"suffix":""}],"container-title":"Journal of Biological Chemistry","id":"ITEM-1","issue":"45","issued":{"date-parts":[["2002","11","8"]]},"page":"42769-42774","title":"Phosphorylation of Nrf2 at Ser-40 by Protein Kinase C Regulates Antioxidant Response Element-mediated Transcription","type":"article-journal","volume":"277"},"uris":["http://www.mendeley.com/documents/?uuid=2d524c22-b005-4210-9639-db79fceb91b4"]}],"mendeley":{"formattedCitation":"(Huang et al., 2002)","plainTextFormattedCitation":"(Huang et al., 2002)","previouslyFormattedCitation":"(Huang et al., 2002)"},"properties":{"noteIndex":0},"schema":"https://github.com/citation-style-language/schema/raw/master/csl-citation.json"}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(Huang et al., 2002)</w:t>
      </w:r>
      <w:r w:rsidR="00844011" w:rsidRPr="00CB1C44">
        <w:rPr>
          <w:rFonts w:ascii="Arial" w:hAnsi="Arial" w:cs="Arial"/>
          <w:lang w:val="en-US"/>
        </w:rPr>
        <w:fldChar w:fldCharType="end"/>
      </w:r>
      <w:r w:rsidR="00EC0138" w:rsidRPr="00CB1C44">
        <w:rPr>
          <w:rFonts w:ascii="Arial" w:hAnsi="Arial" w:cs="Arial"/>
          <w:lang w:val="en-US"/>
        </w:rPr>
        <w:t>.</w:t>
      </w:r>
      <w:r w:rsidR="00A71D4E" w:rsidRPr="00CB1C44">
        <w:rPr>
          <w:rFonts w:ascii="Arial" w:hAnsi="Arial" w:cs="Arial"/>
          <w:lang w:val="en-US"/>
        </w:rPr>
        <w:t xml:space="preserve"> </w:t>
      </w:r>
      <w:r w:rsidR="009C083C" w:rsidRPr="00CB1C44">
        <w:rPr>
          <w:rFonts w:ascii="Arial" w:hAnsi="Arial" w:cs="Arial"/>
          <w:lang w:val="en-US"/>
        </w:rPr>
        <w:t>Interestingly</w:t>
      </w:r>
      <w:r w:rsidR="00573725" w:rsidRPr="00CB1C44">
        <w:rPr>
          <w:rFonts w:ascii="Arial" w:hAnsi="Arial" w:cs="Arial"/>
          <w:lang w:val="en-US"/>
        </w:rPr>
        <w:t>,</w:t>
      </w:r>
      <w:r w:rsidR="005A3816" w:rsidRPr="00CB1C44">
        <w:rPr>
          <w:rFonts w:ascii="Arial" w:hAnsi="Arial" w:cs="Arial"/>
          <w:lang w:val="en-US"/>
        </w:rPr>
        <w:t xml:space="preserve"> </w:t>
      </w:r>
      <w:r w:rsidR="00EC0138" w:rsidRPr="00CB1C44">
        <w:rPr>
          <w:rFonts w:ascii="Arial" w:hAnsi="Arial" w:cs="Arial"/>
          <w:lang w:val="en-US"/>
        </w:rPr>
        <w:t xml:space="preserve">Nrf2 phosphorylation at Ser40 is necessary for its </w:t>
      </w:r>
      <w:r w:rsidR="005C3F7F" w:rsidRPr="00CB1C44">
        <w:rPr>
          <w:rFonts w:ascii="Arial" w:hAnsi="Arial" w:cs="Arial"/>
          <w:lang w:val="en-US"/>
        </w:rPr>
        <w:t>translocation</w:t>
      </w:r>
      <w:r w:rsidR="007F24F3" w:rsidRPr="00CB1C44">
        <w:rPr>
          <w:rFonts w:ascii="Arial" w:hAnsi="Arial" w:cs="Arial"/>
          <w:lang w:val="en-US"/>
        </w:rPr>
        <w:t>,</w:t>
      </w:r>
      <w:r w:rsidR="00EC0138" w:rsidRPr="00CB1C44">
        <w:rPr>
          <w:rFonts w:ascii="Arial" w:hAnsi="Arial" w:cs="Arial"/>
          <w:lang w:val="en-US"/>
        </w:rPr>
        <w:t xml:space="preserve"> but not for its nuclear accumulation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{"citationItems":[{"id":"ITEM-1","itemData":{"DOI":"10.1074/jbc.M307633200","ISBN":"4467544682","ISSN":"0021-9258","PMID":"12947090","abstract":"The antioxidant response element (ARE) and transcription factor Nrf2 regulate basal expression and antioxidant induction of NAD(P)H:quinone oxidoreductase-1 (NQO1) and other detoxifying genes. Under normal conditions, Nrf2 is targeted for proteasomal degradation by INrf2. Oxidative stress causes release of Nrf2 from INrf2. Nrf2 translocates to the nucleus, binds to the ARE, and activates gene expression. In this study, we demonstrate that protein kinase C (PKC) plays a significant role in the regulation of ARE-mediated NQO1 gene expression and induction in response to t-butylhydroquinone. Treatment of HepG2 cells with the PKC inhibitors staurosporine and calphostin C repressed ARE-mediated induction of a luciferase reporter as well as that of the endogenous NQO1 gene. Similar experiments with inhibitors of MEK/ERK, p38, phosphatidylinositol 3-kinase, and tyrosine kinases failed to repress ARE-mediated gene expression. The PKC inhibitor staurosporine blocked the nuclear translocation of Nrf2, suggesting that Nrf2 might be the target for PKC regulation. A Prosite search revealed the presence of seven putative PKC sites in mouse Nrf2. The PKC site at Ser40 is conserved among species and lies in the Neh2 domain, which interacts with INrf2. We demonstrate that phosphorylation of Ser40 is necessary for Nrf2 release from INrf2, but is not required for Nrf2 stabilization/accumulation in the nucleus and transcriptional activation of ARE-mediated NQO1 gene expression. A peptide that competes with endogenous Nrf2 for INrf2 binding was able to induce ARE activity more effectively than t-butylhydroquinone, and Nrf2 that accumulated in the nucleus as a result was not phosphorylated.","author":[{"dropping-particle":"","family":"Bloom","given":"David A.","non-dropping-particle":"","parse-names":false,"suffix":""},{"dropping-particle":"","family":"Jaiswal","given":"Anil K.","non-dropping-particle":"","parse-names":false,"suffix":""}],"container-title":"The Journal of biological chemistry","id":"ITEM-1","issue":"45","issued":{"date-parts":[["2003","11","7"]]},"page":"44675-82","title":"Phosphorylation of Nrf2 at Ser40 by protein kinase C in response to antioxidants leads to the release of Nrf2 from INrf2, but is not required for Nrf2 stabilization/accumulation in the nucleus and transcriptional activation of antioxidant response element","type":"article-journal","volume":"278"},"uris":["http://www.mendeley.com/documents/?uuid=10635e58-4c3c-44c6-b490-dae56c930a16"]}],"mendeley":{"formattedCitation":"(Bloom and Jaiswal, 2003)","plainTextFormattedCitation":"(Bloom and Jaiswal, 2003)","previouslyFormattedCitation":"(Bloom and Jaiswal,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(Bloom and Jaiswal, 2003)</w:t>
      </w:r>
      <w:r w:rsidR="00844011" w:rsidRPr="00CB1C44">
        <w:rPr>
          <w:rFonts w:ascii="Arial" w:hAnsi="Arial" w:cs="Arial"/>
          <w:lang w:val="en-US"/>
        </w:rPr>
        <w:fldChar w:fldCharType="end"/>
      </w:r>
      <w:r w:rsidR="00773D5A" w:rsidRPr="00CB1C44">
        <w:rPr>
          <w:rFonts w:ascii="Arial" w:hAnsi="Arial" w:cs="Arial"/>
          <w:lang w:val="en-US"/>
        </w:rPr>
        <w:t>,</w:t>
      </w:r>
      <w:r w:rsidR="00EC0138" w:rsidRPr="00CB1C44">
        <w:rPr>
          <w:rFonts w:ascii="Arial" w:hAnsi="Arial" w:cs="Arial"/>
          <w:lang w:val="en-US"/>
        </w:rPr>
        <w:t xml:space="preserve"> suggesting that</w:t>
      </w:r>
      <w:r w:rsidR="00573725" w:rsidRPr="00CB1C44">
        <w:rPr>
          <w:rFonts w:ascii="Arial" w:hAnsi="Arial" w:cs="Arial"/>
          <w:lang w:val="en-US"/>
        </w:rPr>
        <w:t xml:space="preserve"> other mechanisms are necessary</w:t>
      </w:r>
      <w:r w:rsidR="00EC0138" w:rsidRPr="00CB1C44">
        <w:rPr>
          <w:rFonts w:ascii="Arial" w:hAnsi="Arial" w:cs="Arial"/>
          <w:lang w:val="en-US"/>
        </w:rPr>
        <w:t xml:space="preserve"> </w:t>
      </w:r>
      <w:r w:rsidR="003B52F9" w:rsidRPr="00CB1C44">
        <w:rPr>
          <w:rFonts w:ascii="Arial" w:hAnsi="Arial" w:cs="Arial"/>
          <w:lang w:val="en-US"/>
        </w:rPr>
        <w:t>for Nrf2 stabilization and accumulation in the nucleus</w:t>
      </w:r>
      <w:r w:rsidR="00573725" w:rsidRPr="00CB1C44">
        <w:rPr>
          <w:rFonts w:ascii="Arial" w:hAnsi="Arial" w:cs="Arial"/>
          <w:lang w:val="en-US"/>
        </w:rPr>
        <w:t>, besides Keap1 decoupling</w:t>
      </w:r>
      <w:r w:rsidR="003B52F9" w:rsidRPr="00CB1C44">
        <w:rPr>
          <w:rFonts w:ascii="Arial" w:hAnsi="Arial" w:cs="Arial"/>
          <w:lang w:val="en-US"/>
        </w:rPr>
        <w:t xml:space="preserve">. </w:t>
      </w:r>
      <w:r w:rsidR="00721AF3" w:rsidRPr="00CB1C44">
        <w:rPr>
          <w:rFonts w:ascii="Arial" w:hAnsi="Arial" w:cs="Arial"/>
          <w:lang w:val="en-US"/>
        </w:rPr>
        <w:t xml:space="preserve">Recently, </w:t>
      </w:r>
      <w:r w:rsidR="00EF1EAF" w:rsidRPr="00CB1C44">
        <w:rPr>
          <w:rFonts w:ascii="Arial" w:hAnsi="Arial" w:cs="Arial"/>
          <w:lang w:val="en-US"/>
        </w:rPr>
        <w:t>we demonstrate</w:t>
      </w:r>
      <w:r w:rsidR="002A5FDF" w:rsidRPr="00CB1C44">
        <w:rPr>
          <w:rFonts w:ascii="Arial" w:hAnsi="Arial" w:cs="Arial"/>
          <w:lang w:val="en-US"/>
        </w:rPr>
        <w:t>d</w:t>
      </w:r>
      <w:r w:rsidR="00EF1EAF" w:rsidRPr="00CB1C44">
        <w:rPr>
          <w:rFonts w:ascii="Arial" w:hAnsi="Arial" w:cs="Arial"/>
          <w:lang w:val="en-US"/>
        </w:rPr>
        <w:t xml:space="preserve"> the</w:t>
      </w:r>
      <w:r w:rsidR="0014051E" w:rsidRPr="00CB1C44">
        <w:rPr>
          <w:rFonts w:ascii="Arial" w:hAnsi="Arial" w:cs="Arial"/>
          <w:lang w:val="en-US"/>
        </w:rPr>
        <w:t xml:space="preserve"> essential</w:t>
      </w:r>
      <w:r w:rsidR="00EF1EAF" w:rsidRPr="00CB1C44">
        <w:rPr>
          <w:rFonts w:ascii="Arial" w:hAnsi="Arial" w:cs="Arial"/>
          <w:lang w:val="en-US"/>
        </w:rPr>
        <w:t xml:space="preserve"> involvement of c-</w:t>
      </w:r>
      <w:proofErr w:type="spellStart"/>
      <w:r w:rsidR="00EF1EAF" w:rsidRPr="00CB1C44">
        <w:rPr>
          <w:rFonts w:ascii="Arial" w:hAnsi="Arial" w:cs="Arial"/>
          <w:lang w:val="en-US"/>
        </w:rPr>
        <w:t>Src</w:t>
      </w:r>
      <w:proofErr w:type="spellEnd"/>
      <w:r w:rsidR="00EF1EAF" w:rsidRPr="00CB1C44">
        <w:rPr>
          <w:rFonts w:ascii="Arial" w:hAnsi="Arial" w:cs="Arial"/>
          <w:lang w:val="en-US"/>
        </w:rPr>
        <w:t xml:space="preserve"> kinase in Nrf2 regulation, through PKC</w:t>
      </w:r>
      <w:r w:rsidR="00EF1EAF" w:rsidRPr="00CB1C44">
        <w:rPr>
          <w:rFonts w:ascii="Arial" w:hAnsi="Arial" w:cs="Arial"/>
          <w:lang w:val="en-US"/>
        </w:rPr>
        <w:sym w:font="Symbol" w:char="F064"/>
      </w:r>
      <w:r w:rsidR="00EF1EAF" w:rsidRPr="00CB1C44">
        <w:rPr>
          <w:rFonts w:ascii="Arial" w:hAnsi="Arial" w:cs="Arial"/>
          <w:lang w:val="en-US"/>
        </w:rPr>
        <w:t xml:space="preserve">, after an oxidant stimulus. </w:t>
      </w:r>
      <w:r w:rsidR="004B4112" w:rsidRPr="00CB1C44">
        <w:rPr>
          <w:rFonts w:ascii="Arial" w:hAnsi="Arial" w:cs="Arial"/>
          <w:lang w:val="en-US"/>
        </w:rPr>
        <w:t xml:space="preserve">We showed that </w:t>
      </w:r>
      <w:r w:rsidR="0014051E" w:rsidRPr="00CB1C44">
        <w:rPr>
          <w:rFonts w:ascii="Arial" w:hAnsi="Arial" w:cs="Arial"/>
          <w:lang w:val="en-US"/>
        </w:rPr>
        <w:t>Nrf2 phosphorylation at Ser40, its nuclear accumulation and transcriptional activity involving heme oxygenase-1 (HO-1) expression were dependent on c-</w:t>
      </w:r>
      <w:proofErr w:type="spellStart"/>
      <w:r w:rsidR="0014051E" w:rsidRPr="00CB1C44">
        <w:rPr>
          <w:rFonts w:ascii="Arial" w:hAnsi="Arial" w:cs="Arial"/>
          <w:lang w:val="en-US"/>
        </w:rPr>
        <w:t>Src</w:t>
      </w:r>
      <w:proofErr w:type="spellEnd"/>
      <w:r w:rsidR="0014051E" w:rsidRPr="00CB1C44">
        <w:rPr>
          <w:rFonts w:ascii="Arial" w:hAnsi="Arial" w:cs="Arial"/>
          <w:lang w:val="en-US"/>
        </w:rPr>
        <w:t xml:space="preserve"> kinase activation, through </w:t>
      </w:r>
      <w:proofErr w:type="spellStart"/>
      <w:r w:rsidR="0014051E" w:rsidRPr="00CB1C44">
        <w:rPr>
          <w:rFonts w:ascii="Arial" w:hAnsi="Arial" w:cs="Arial"/>
          <w:lang w:val="en-US"/>
        </w:rPr>
        <w:t>PKCδ</w:t>
      </w:r>
      <w:proofErr w:type="spellEnd"/>
      <w:r w:rsidR="0014051E" w:rsidRPr="00CB1C44">
        <w:rPr>
          <w:rFonts w:ascii="Arial" w:hAnsi="Arial" w:cs="Arial"/>
          <w:lang w:val="en-US"/>
        </w:rPr>
        <w:t xml:space="preserve"> phosphorylation at Tyr311, in HT22 mouse hippocampal neural cells expos</w:t>
      </w:r>
      <w:r w:rsidR="002A5FDF" w:rsidRPr="00CB1C44">
        <w:rPr>
          <w:rFonts w:ascii="Arial" w:hAnsi="Arial" w:cs="Arial"/>
          <w:lang w:val="en-US"/>
        </w:rPr>
        <w:t>ed</w:t>
      </w:r>
      <w:r w:rsidR="0014051E" w:rsidRPr="00CB1C44">
        <w:rPr>
          <w:rFonts w:ascii="Arial" w:hAnsi="Arial" w:cs="Arial"/>
          <w:lang w:val="en-US"/>
        </w:rPr>
        <w:t xml:space="preserve"> to H</w:t>
      </w:r>
      <w:r w:rsidR="0014051E" w:rsidRPr="00CB1C44">
        <w:rPr>
          <w:rFonts w:ascii="Arial" w:hAnsi="Arial" w:cs="Arial"/>
          <w:vertAlign w:val="subscript"/>
          <w:lang w:val="en-US"/>
        </w:rPr>
        <w:t>2</w:t>
      </w:r>
      <w:r w:rsidR="0014051E" w:rsidRPr="00CB1C44">
        <w:rPr>
          <w:rFonts w:ascii="Arial" w:hAnsi="Arial" w:cs="Arial"/>
          <w:lang w:val="en-US"/>
        </w:rPr>
        <w:t>O</w:t>
      </w:r>
      <w:r w:rsidR="0014051E" w:rsidRPr="00CB1C44">
        <w:rPr>
          <w:rFonts w:ascii="Arial" w:hAnsi="Arial" w:cs="Arial"/>
          <w:vertAlign w:val="subscript"/>
          <w:lang w:val="en-US"/>
        </w:rPr>
        <w:t>2</w:t>
      </w:r>
      <w:r w:rsidR="0014051E" w:rsidRPr="00CB1C44">
        <w:rPr>
          <w:rFonts w:ascii="Arial" w:hAnsi="Arial" w:cs="Arial"/>
          <w:lang w:val="en-US"/>
        </w:rPr>
        <w:t xml:space="preserve"> </w:t>
      </w:r>
      <w:r w:rsidR="00E2710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{"citationItems":[{"id":"ITEM-1","itemData":{"DOI":"S0167488918302428","ISSN":"01674889","abstract":"&lt;p&gt;Publication date: Available online 24 January 2019&lt;/p&gt;&lt;p&gt;&lt;b&gt;Source:&lt;/b&gt; Biochimica et Biophysica Acta (BBA) - Molecular Cell Research&lt;/p&gt;&lt;p&gt;Author(s): Lígia Fão, Sandra I. Mota, A. Cristina Rego&lt;/p&gt;&lt;div xml:lang=\"en\"&gt;&lt;h5&gt;Abstract&lt;/h5&gt;&lt;div&gt;&lt;p&gt;Nrf2 is the main transcription factor involved in expression of cell defense enzymes, which is altered in several oxidant-related disorders. Cytosolic Nrf2 activation is modulated through phosphorylation by PKCδ, an enzyme controlled by Src tyrosine kinases. Of relevance, Src family members are involved in numerous cellular processes and regulated by hydrogen peroxide (H&lt;sub&gt;2&lt;/sub&gt;O&lt;sub&gt;2&lt;/sub&gt;). In this study we analysed the activation of cell survival-related signaling proteins, c-Src and Nrf2, and the influence of c-Src kinase on Nrf2 regulation after exposure to H&lt;sub&gt;2&lt;/sub&gt;O&lt;sub&gt;2&lt;/sub&gt;. Acute exposure of HT22 mouse hippocampal neural cells to H&lt;sub&gt;2&lt;/sub&gt;O&lt;sub&gt;2&lt;/sub&gt; increased c-Src and Nrf2 phosphorylation/activation at Tyr416 and Ser40, respectively. Nrf2 phosphorylation at Ser40, its nuclear accumulation and transcriptional activity involving heme oxygenase-1 (HO-1) expression were dependent on c-Src kinase activation. Moreover, modulation of Nrf2 activity by c-Src occurred through PKCδ phosphorylation at Tyr311. We demonstrate, for the first time, c-Src-mediated regulation of Nrf2 transcriptional activity, &lt;em&gt;via&lt;/em&gt; PKCδ activation, following an acute H&lt;sub&gt;2&lt;/sub&gt;O&lt;sub&gt;2&lt;/sub&gt; stimulus. This work supports that the c-Src/PKCδ/Nrf2 pathway may constitute a novel signaling pathway stimulated by H&lt;sub&gt;2&lt;/sub&gt;O&lt;sub&gt;2&lt;/sub&gt; and a potential target for the treatment of diseases involving redox deregulation.&lt;/p&gt;&lt;/div&gt;&lt;/div&gt;&lt;div xml:lang=\"en\"&gt;&lt;h5&gt;Graphical abstract&lt;/h5&gt;&lt;div&gt;&lt;p&gt;&lt;figure&gt;&lt;img src=\"https://ars.els-cdn.com/content/image/1-s2.0-S0167488918302428-ga1.jpg\" width=\"326\" alt=\"Unlabelled Image\" title=\"Unlabelled Image\" /&gt;&lt;/figure&gt;&lt;/p&gt;&lt;/div&gt;&lt;/div&gt;","author":[{"dropping-particle":"","family":"Fão","given":"Lígia","non-dropping-particle":"","parse-names":false,"suffix":""},{"dropping-particle":"","family":"Mota","given":"Sandra I.","non-dropping-particle":"","parse-names":false,"suffix":""},{"dropping-particle":"","family":"Rego","given":"A. Cristina","non-dropping-particle":"","parse-names":false,"suffix":""}],"container-title":"Biochimica et Biophysica Acta - Molecular Cell Research","id":"ITEM-1","issue":"4","issued":{"date-parts":[["2019"]]},"page":"686-698","publisher":"Elsevier","title":"c-Src regulates Nrf2 activity through PKCδ after oxidant stimulus","type":"article-journal","volume":"1866"},"uris":["http://www.mendeley.com/documents/?uuid=58cf40ec-b0ed-458e-bf9c-ec1225f14331"]}],"mendeley":{"formattedCitation":"(Fão et al., 2019)","plainTextFormattedCitation":"(Fão et al., 2019)","previouslyFormattedCitation":"(Fão et al., 2019)"},"properties":{"noteIndex":0},"schema":"https://github.com/citation-style-language/schema/raw/master/csl-citation.json"}</w:instrText>
      </w:r>
      <w:r w:rsidR="00E27104" w:rsidRPr="00CB1C44">
        <w:rPr>
          <w:rFonts w:ascii="Arial" w:hAnsi="Arial" w:cs="Arial"/>
          <w:lang w:val="en-US"/>
        </w:rPr>
        <w:fldChar w:fldCharType="separate"/>
      </w:r>
      <w:r w:rsidR="00DD645C" w:rsidRPr="00CB1C44">
        <w:rPr>
          <w:rFonts w:ascii="Arial" w:hAnsi="Arial" w:cs="Arial"/>
          <w:noProof/>
          <w:lang w:val="en-US"/>
        </w:rPr>
        <w:t>(Fão et al., 2019)</w:t>
      </w:r>
      <w:r w:rsidR="00E27104" w:rsidRPr="00CB1C44">
        <w:rPr>
          <w:rFonts w:ascii="Arial" w:hAnsi="Arial" w:cs="Arial"/>
          <w:lang w:val="en-US"/>
        </w:rPr>
        <w:fldChar w:fldCharType="end"/>
      </w:r>
      <w:r w:rsidR="0014051E" w:rsidRPr="00CB1C44">
        <w:rPr>
          <w:rFonts w:ascii="Arial" w:hAnsi="Arial" w:cs="Arial"/>
          <w:lang w:val="en-US"/>
        </w:rPr>
        <w:t xml:space="preserve">. </w:t>
      </w:r>
    </w:p>
    <w:p w14:paraId="2BCF7DD9" w14:textId="77777777" w:rsidR="004E7D4E" w:rsidRPr="00CB1C44" w:rsidRDefault="007F24F3" w:rsidP="004038B5">
      <w:pPr>
        <w:spacing w:after="0" w:line="360" w:lineRule="auto"/>
        <w:jc w:val="both"/>
        <w:rPr>
          <w:rFonts w:ascii="Arial" w:hAnsi="Arial" w:cs="Arial"/>
          <w:lang w:val="en-US"/>
        </w:rPr>
      </w:pPr>
      <w:r w:rsidRPr="00CB1C44">
        <w:rPr>
          <w:rFonts w:ascii="Arial" w:hAnsi="Arial" w:cs="Arial"/>
          <w:lang w:val="en-US"/>
        </w:rPr>
        <w:lastRenderedPageBreak/>
        <w:t>C</w:t>
      </w:r>
      <w:r w:rsidR="00FE2575" w:rsidRPr="00CB1C44">
        <w:rPr>
          <w:rFonts w:ascii="Arial" w:hAnsi="Arial" w:cs="Arial"/>
          <w:lang w:val="en-US"/>
        </w:rPr>
        <w:t>asein kinase II</w:t>
      </w:r>
      <w:r w:rsidR="00773D5A" w:rsidRPr="00CB1C44">
        <w:rPr>
          <w:rFonts w:ascii="Arial" w:hAnsi="Arial" w:cs="Arial"/>
          <w:lang w:val="en-US"/>
        </w:rPr>
        <w:t xml:space="preserve"> (CK2)</w:t>
      </w:r>
      <w:r w:rsidR="00FE2575" w:rsidRPr="00CB1C44">
        <w:rPr>
          <w:rFonts w:ascii="Arial" w:hAnsi="Arial" w:cs="Arial"/>
          <w:lang w:val="en-US"/>
        </w:rPr>
        <w:t>,</w:t>
      </w:r>
      <w:r w:rsidR="005566E5" w:rsidRPr="00CB1C44">
        <w:rPr>
          <w:rFonts w:ascii="Arial" w:hAnsi="Arial" w:cs="Arial"/>
          <w:lang w:val="en-US"/>
        </w:rPr>
        <w:t xml:space="preserve"> </w:t>
      </w:r>
      <w:r w:rsidR="007C2718" w:rsidRPr="00CB1C44">
        <w:rPr>
          <w:rFonts w:ascii="Arial" w:hAnsi="Arial" w:cs="Arial"/>
          <w:lang w:val="en-US"/>
        </w:rPr>
        <w:t xml:space="preserve">a protein </w:t>
      </w:r>
      <w:r w:rsidR="00CF38FC" w:rsidRPr="00CB1C44">
        <w:rPr>
          <w:rFonts w:ascii="Arial" w:hAnsi="Arial" w:cs="Arial"/>
          <w:lang w:val="en-US"/>
        </w:rPr>
        <w:t>involved in replication, gene transcription</w:t>
      </w:r>
      <w:r w:rsidR="00FE2575" w:rsidRPr="00CB1C44">
        <w:rPr>
          <w:rFonts w:ascii="Arial" w:hAnsi="Arial" w:cs="Arial"/>
          <w:lang w:val="en-US"/>
        </w:rPr>
        <w:t xml:space="preserve"> and</w:t>
      </w:r>
      <w:r w:rsidR="00CF38FC" w:rsidRPr="00CB1C44">
        <w:rPr>
          <w:rFonts w:ascii="Arial" w:hAnsi="Arial" w:cs="Arial"/>
          <w:lang w:val="en-US"/>
        </w:rPr>
        <w:t xml:space="preserve"> transduction</w:t>
      </w:r>
      <w:r w:rsidR="007C2718" w:rsidRPr="00CB1C44">
        <w:rPr>
          <w:rFonts w:ascii="Arial" w:hAnsi="Arial" w:cs="Arial"/>
          <w:lang w:val="en-US"/>
        </w:rPr>
        <w:t xml:space="preserve"> processes</w:t>
      </w:r>
      <w:r w:rsidR="00A41814" w:rsidRPr="00CB1C44">
        <w:rPr>
          <w:rFonts w:ascii="Arial" w:hAnsi="Arial" w:cs="Arial"/>
          <w:lang w:val="en-US"/>
        </w:rPr>
        <w:t>,</w:t>
      </w:r>
      <w:r w:rsidR="00FE2575" w:rsidRPr="00CB1C44">
        <w:rPr>
          <w:rFonts w:ascii="Arial" w:hAnsi="Arial" w:cs="Arial"/>
          <w:lang w:val="en-US"/>
        </w:rPr>
        <w:t xml:space="preserve"> </w:t>
      </w:r>
      <w:r w:rsidRPr="00CB1C44">
        <w:rPr>
          <w:rFonts w:ascii="Arial" w:hAnsi="Arial" w:cs="Arial"/>
          <w:lang w:val="en-US"/>
        </w:rPr>
        <w:t xml:space="preserve">also </w:t>
      </w:r>
      <w:r w:rsidR="007C2718" w:rsidRPr="00CB1C44">
        <w:rPr>
          <w:rFonts w:ascii="Arial" w:hAnsi="Arial" w:cs="Arial"/>
          <w:lang w:val="en-US"/>
        </w:rPr>
        <w:t>control</w:t>
      </w:r>
      <w:r w:rsidRPr="00CB1C44">
        <w:rPr>
          <w:rFonts w:ascii="Arial" w:hAnsi="Arial" w:cs="Arial"/>
          <w:lang w:val="en-US"/>
        </w:rPr>
        <w:t>s</w:t>
      </w:r>
      <w:r w:rsidR="007C2718" w:rsidRPr="00CB1C44">
        <w:rPr>
          <w:rFonts w:ascii="Arial" w:hAnsi="Arial" w:cs="Arial"/>
          <w:lang w:val="en-US"/>
        </w:rPr>
        <w:t xml:space="preserve"> Nrf2 activity through Nrf2 phosphorylation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{"citationItems":[{"id":"ITEM-1","itemData":{"DOI":"10.1016/j.freeradbiomed.2007.03.001","ISBN":"0891-5849 (Print)\\r0891-5849 (Linking)","ISSN":"08915849","PMID":"17512459","abstract":"Nrf2 is a key transcription factor in the cellular response to oxidative stress. In this study we identify two phosphorylated forms of endogenous human Nrf2 after chemically induced oxidative stress and provide evidence that protein kinase CK2-mediated sequential phosphorylation plays potential roles in Nrf2 activation and degradation. Human Nrf2 has a predicted molecular mass of 66??kDa. However, immunoblots showed that two bands at 98 and 118??kDa, which are identified as phosphorylated forms, are increased in response to Nrf2 inducers. In addition, human Nrf2 was found to be a substrate for CK2 which mediated two steps of phosphorylation, resulting in two forms of Nrf2 migrating with differing Mr at 98??kDa (Nrf2-98) and 118??kDa (Nrf2-118). Our results support a role in which calmodulin binding regulates CK2 activity, in that cold (25????C) Ca2+-free media (cold/Ca2+-free) decreased both cellular calcium levels and CK2-calmodulin binding and induced Nrf2-118 formation, the latter of which was prevented by CK2-specific inhibitors. Gel shift assays showed that the Nrf2-118 generated under cold/Ca2+-free conditions does not bind to the antioxidant response element, indicating that Nrf2-98 has transcriptional activity. In contrast, Nrf2-118 is more susceptible to degradation. These results provide evidence for phosphorylation by CK2 as a critical controlling factor in Nrf2-mediated cellular antioxidant response. ?? 2007 Elsevier Inc. All rights reserved.","author":[{"dropping-particle":"","family":"Pi","given":"Jingbo","non-dropping-particle":"","parse-names":false,"suffix":""},{"dropping-particle":"","family":"Bai","given":"Yushi","non-dropping-particle":"","parse-names":false,"suffix":""},{"dropping-particle":"","family":"Reece","given":"Jeffrey M.","non-dropping-particle":"","parse-names":false,"suffix":""},{"dropping-particle":"","family":"Williams","given":"Jason","non-dropping-particle":"","parse-names":false,"suffix":""},{"dropping-particle":"","family":"Liu","given":"Dianxin","non-dropping-particle":"","parse-names":false,"suffix":""},{"dropping-particle":"","family":"Freeman","given":"Michael L.","non-dropping-particle":"","parse-names":false,"suffix":""},{"dropping-particle":"","family":"Fahl","given":"William E.","non-dropping-particle":"","parse-names":false,"suffix":""},{"dropping-particle":"","family":"Shugar","given":"David","non-dropping-particle":"","parse-names":false,"suffix":""},{"dropping-particle":"","family":"Liu","given":"Jie","non-dropping-particle":"","parse-names":false,"suffix":""},{"dropping-particle":"","family":"Qu","given":"Wei","non-dropping-particle":"","parse-names":false,"suffix":""},{"dropping-particle":"","family":"Collins","given":"Sheila","non-dropping-particle":"","parse-names":false,"suffix":""},{"dropping-particle":"","family":"Waalkes","given":"Michael P.","non-dropping-particle":"","parse-names":false,"suffix":""}],"container-title":"Free Radical Biology and Medicine","id":"ITEM-1","issue":"12","issued":{"date-parts":[["2007"]]},"page":"1797-1806","title":"Molecular mechanism of human Nrf2 activation and degradation: Role of sequential phosphorylation by protein kinase CK2","type":"article-journal","volume":"42"},"uris":["http://www.mendeley.com/documents/?uuid=e483034c-5b5e-465e-8a5d-fcd2af6a0899"]}],"mendeley":{"formattedCitation":"(Pi et al., 2007)","plainTextFormattedCitation":"(Pi et al., 2007)","previouslyFormattedCitation":"(Pi et al., 2007)"},"properties":{"noteIndex":0},"schema":"https://github.com/citation-style-language/schema/raw/master/csl-citation.json"}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(Pi et al., 2007)</w:t>
      </w:r>
      <w:r w:rsidR="00844011" w:rsidRPr="00CB1C44">
        <w:rPr>
          <w:rFonts w:ascii="Arial" w:hAnsi="Arial" w:cs="Arial"/>
          <w:lang w:val="en-US"/>
        </w:rPr>
        <w:fldChar w:fldCharType="end"/>
      </w:r>
      <w:r w:rsidR="00533558" w:rsidRPr="00CB1C44">
        <w:rPr>
          <w:rFonts w:ascii="Arial" w:hAnsi="Arial" w:cs="Arial"/>
          <w:lang w:val="en-US"/>
        </w:rPr>
        <w:t xml:space="preserve">. </w:t>
      </w:r>
      <w:proofErr w:type="spellStart"/>
      <w:r w:rsidR="008449AB" w:rsidRPr="00CB1C44">
        <w:rPr>
          <w:rFonts w:ascii="Arial" w:hAnsi="Arial" w:cs="Arial"/>
          <w:lang w:val="en-US"/>
        </w:rPr>
        <w:t>Apopa</w:t>
      </w:r>
      <w:proofErr w:type="spellEnd"/>
      <w:r w:rsidR="008449AB" w:rsidRPr="00CB1C44">
        <w:rPr>
          <w:rFonts w:ascii="Arial" w:hAnsi="Arial" w:cs="Arial"/>
          <w:lang w:val="en-US"/>
        </w:rPr>
        <w:t xml:space="preserve"> and colleagues identified </w:t>
      </w:r>
      <w:r w:rsidR="004B00BF" w:rsidRPr="00CB1C44">
        <w:rPr>
          <w:rFonts w:ascii="Arial" w:hAnsi="Arial" w:cs="Arial"/>
          <w:lang w:val="en-US"/>
        </w:rPr>
        <w:t xml:space="preserve">Nrf2’s </w:t>
      </w:r>
      <w:r w:rsidR="008449AB" w:rsidRPr="00CB1C44">
        <w:rPr>
          <w:rFonts w:ascii="Arial" w:hAnsi="Arial" w:cs="Arial"/>
          <w:lang w:val="en-US"/>
        </w:rPr>
        <w:t xml:space="preserve">transcription activation </w:t>
      </w:r>
      <w:r w:rsidR="00A32FBA" w:rsidRPr="00CB1C44">
        <w:rPr>
          <w:rFonts w:ascii="Arial" w:hAnsi="Arial" w:cs="Arial"/>
          <w:lang w:val="en-US"/>
        </w:rPr>
        <w:t>domains</w:t>
      </w:r>
      <w:r w:rsidR="004B00BF" w:rsidRPr="00CB1C44">
        <w:rPr>
          <w:rFonts w:ascii="Arial" w:hAnsi="Arial" w:cs="Arial"/>
          <w:lang w:val="en-US"/>
        </w:rPr>
        <w:t>,</w:t>
      </w:r>
      <w:r w:rsidR="00A32FBA" w:rsidRPr="00CB1C44">
        <w:rPr>
          <w:rFonts w:ascii="Arial" w:hAnsi="Arial" w:cs="Arial"/>
          <w:lang w:val="en-US"/>
        </w:rPr>
        <w:t xml:space="preserve"> </w:t>
      </w:r>
      <w:r w:rsidR="008449AB" w:rsidRPr="00CB1C44">
        <w:rPr>
          <w:rFonts w:ascii="Arial" w:hAnsi="Arial" w:cs="Arial"/>
          <w:lang w:val="en-US"/>
        </w:rPr>
        <w:t>Neh4 and Neh5</w:t>
      </w:r>
      <w:r w:rsidR="004B00BF" w:rsidRPr="00CB1C44">
        <w:rPr>
          <w:rFonts w:ascii="Arial" w:hAnsi="Arial" w:cs="Arial"/>
          <w:lang w:val="en-US"/>
        </w:rPr>
        <w:t>,</w:t>
      </w:r>
      <w:r w:rsidR="008449AB" w:rsidRPr="00CB1C44">
        <w:rPr>
          <w:rFonts w:ascii="Arial" w:hAnsi="Arial" w:cs="Arial"/>
          <w:lang w:val="en-US"/>
        </w:rPr>
        <w:t xml:space="preserve"> </w:t>
      </w:r>
      <w:r w:rsidR="00A32FBA" w:rsidRPr="00CB1C44">
        <w:rPr>
          <w:rFonts w:ascii="Arial" w:hAnsi="Arial" w:cs="Arial"/>
          <w:lang w:val="en-US"/>
        </w:rPr>
        <w:t>as</w:t>
      </w:r>
      <w:r w:rsidR="00822897" w:rsidRPr="00CB1C44">
        <w:rPr>
          <w:rFonts w:ascii="Arial" w:hAnsi="Arial" w:cs="Arial"/>
          <w:lang w:val="en-US"/>
        </w:rPr>
        <w:t xml:space="preserve"> CK2 </w:t>
      </w:r>
      <w:r w:rsidR="008449AB" w:rsidRPr="00CB1C44">
        <w:rPr>
          <w:rFonts w:ascii="Arial" w:hAnsi="Arial" w:cs="Arial"/>
          <w:lang w:val="en-US"/>
        </w:rPr>
        <w:t>target</w:t>
      </w:r>
      <w:r w:rsidR="00822897" w:rsidRPr="00CB1C44">
        <w:rPr>
          <w:rFonts w:ascii="Arial" w:hAnsi="Arial" w:cs="Arial"/>
          <w:lang w:val="en-US"/>
        </w:rPr>
        <w:t>s</w:t>
      </w:r>
      <w:r w:rsidR="008449AB" w:rsidRPr="00CB1C44">
        <w:rPr>
          <w:rFonts w:ascii="Arial" w:hAnsi="Arial" w:cs="Arial"/>
          <w:lang w:val="en-US"/>
        </w:rPr>
        <w:t xml:space="preserve"> </w:t>
      </w:r>
      <w:r w:rsidR="00822897" w:rsidRPr="00CB1C44">
        <w:rPr>
          <w:rFonts w:ascii="Arial" w:hAnsi="Arial" w:cs="Arial"/>
          <w:lang w:val="en-US"/>
        </w:rPr>
        <w:t>and</w:t>
      </w:r>
      <w:r w:rsidR="00020677" w:rsidRPr="00CB1C44">
        <w:rPr>
          <w:rFonts w:ascii="Arial" w:hAnsi="Arial" w:cs="Arial"/>
          <w:lang w:val="en-US"/>
        </w:rPr>
        <w:t xml:space="preserve"> </w:t>
      </w:r>
      <w:r w:rsidR="005C3F7F" w:rsidRPr="00CB1C44">
        <w:rPr>
          <w:rFonts w:ascii="Arial" w:hAnsi="Arial" w:cs="Arial"/>
          <w:lang w:val="en-US"/>
        </w:rPr>
        <w:t xml:space="preserve">demonstrated the </w:t>
      </w:r>
      <w:r w:rsidR="00EC16F2" w:rsidRPr="00CB1C44">
        <w:rPr>
          <w:rFonts w:ascii="Arial" w:hAnsi="Arial" w:cs="Arial"/>
          <w:lang w:val="en-US"/>
        </w:rPr>
        <w:t xml:space="preserve">role of Nrf2 phosphorylation by CK2 for </w:t>
      </w:r>
      <w:r w:rsidR="008449AB" w:rsidRPr="00CB1C44">
        <w:rPr>
          <w:rFonts w:ascii="Arial" w:hAnsi="Arial" w:cs="Arial"/>
          <w:lang w:val="en-US"/>
        </w:rPr>
        <w:t xml:space="preserve">Nrf2 </w:t>
      </w:r>
      <w:r w:rsidR="005C3F7F" w:rsidRPr="00CB1C44">
        <w:rPr>
          <w:rFonts w:ascii="Arial" w:hAnsi="Arial" w:cs="Arial"/>
          <w:lang w:val="en-US"/>
        </w:rPr>
        <w:t xml:space="preserve">nuclear </w:t>
      </w:r>
      <w:r w:rsidR="008449AB" w:rsidRPr="00CB1C44">
        <w:rPr>
          <w:rFonts w:ascii="Arial" w:hAnsi="Arial" w:cs="Arial"/>
          <w:lang w:val="en-US"/>
        </w:rPr>
        <w:t>accumulation</w:t>
      </w:r>
      <w:r w:rsidR="00EC16F2"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{"citationItems":[{"id":"ITEM-1","itemData":{"DOI":"10.1002/jbt.20212","ISBN":"1099-0461 (Electronic)\\n1095-6670 (Linking)","ISSN":"10956670","PMID":"18273910","abstract":"The antioxidant-activated transcription factor nuclear factor erythroid 2-related factor 2 (Nrf2) regulates the induction of cytoprotective genes against chemical toxicity and oxidative injuries. The role of phosphorylation in Nrf2 activation has been suggested but remains elusive. We report that phenolic antioxidant/pro-oxidant tert-butylhydroquinone (tBHQ) induced two forms of the Nrf2 protein in neuroblastoma cells (IMR-32), which migrated as distinctive bands on SDS-PAGE. In vitro treatment with lambda phosphatase eliminated the slower migrating form and increased the amount of the faster migrating form of Nrf2. In vivo (32)Pi-phosphorylation resulted in (32)Pi-labeling of the Nrf2 protein in the presence of tBHQ that can be dephosphorylated by lambda phosphotase, indicating that the slower migrating form is a phosphorylated Nrf2 protein and the faster form an unphosphorylated Nrf2. Unphosphorylated Nrf2 predominated in the cytoplasm, whereas the phosphorylated form preferentially localized in the nucleus. Nuclear Nrf2 can be dephosphorylated by lambda phosphotase in vitro and be converted to the faster migrating form, implicating phosphorylation of Nrf2 in the cytoplasmic-nuclear translocation of the protein. Deletional analyses from both the carboxyl- and amino-ends revealed the transcription activation (TA) domains Neh4 (Nrf2-ECH homology 4) and Neh5 (Nrf2-ECH homology 5) as a major region necessary for the phosphorylation. The TA domains are characterized by the presence of multiple phosphorylation sites of casein kinase 2 (CK2). Moreover, CK2 phosphorylated the TA domains in vitro. Treatment with CK2 inhibitor 2-dimethylamino-4,5,6,7,-tetrabromo-1H-benzimidazole (DMAT) blocked the induction of endogenous target genes of Nrf2 in cells and inhibited the TA activities of both the full length and the TA domains of Nrf2 to a large extent. Finally, phosphorylation of the TA domains correlated with the nuclear translocation of Nrf2 that was inhibited by DMAT in a concentration-dependent manner. The findings demonstrated that phosphorylation of Nrf2 at the TA domains by CK2 is an integral component of Nrf2 activation necessary for the nuclear localization and transcription activation function of Nrf2 in neuroblastoma cells.","author":[{"dropping-particle":"","family":"Apopa","given":"Patrick L.","non-dropping-particle":"","parse-names":false,"suffix":""},{"dropping-particle":"","family":"He","given":"Xiaoqing","non-dropping-particle":"","parse-names":false,"suffix":""},{"dropping-particle":"","family":"Ma","given":"Qiang","non-dropping-particle":"","parse-names":false,"suffix":""}],"container-title":"Journal of Biochemical and Molecular Toxicology","id":"ITEM-1","issue":"1","issued":{"date-parts":[["2008"]]},"page":"63-76","title":"Phosphorylation of Nrf2 in the transcription activation domain by casein kinase 2 (CK2) is critical for the nuclear translocation and transcription activation function of Nrf2 in IMR-32 neuroblastoma cells","type":"article-journal","volume":"22"},"uris":["http://www.mendeley.com/documents/?uuid=505cfcca-74bd-4e10-8e19-e48059199be4"]}],"mendeley":{"formattedCitation":"(Apopa et al., 2008)","plainTextFormattedCitation":"(Apopa et al., 2008)","previouslyFormattedCitation":"(Apopa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(Apopa et al., 2008)</w:t>
      </w:r>
      <w:r w:rsidR="00844011" w:rsidRPr="00CB1C44">
        <w:rPr>
          <w:rFonts w:ascii="Arial" w:hAnsi="Arial" w:cs="Arial"/>
          <w:lang w:val="en-US"/>
        </w:rPr>
        <w:fldChar w:fldCharType="end"/>
      </w:r>
      <w:r w:rsidR="008449AB" w:rsidRPr="00CB1C44">
        <w:rPr>
          <w:rFonts w:ascii="Arial" w:hAnsi="Arial" w:cs="Arial"/>
          <w:lang w:val="en-US"/>
        </w:rPr>
        <w:t>.</w:t>
      </w:r>
      <w:r w:rsidR="004F0435" w:rsidRPr="00CB1C44">
        <w:rPr>
          <w:rFonts w:ascii="Arial" w:hAnsi="Arial" w:cs="Arial"/>
          <w:lang w:val="en-US"/>
        </w:rPr>
        <w:t xml:space="preserve"> </w:t>
      </w:r>
    </w:p>
    <w:p w14:paraId="04022EE4" w14:textId="45D8DE28" w:rsidR="00365416" w:rsidRPr="00CB1C44" w:rsidRDefault="007F24F3" w:rsidP="004038B5">
      <w:pPr>
        <w:spacing w:after="0" w:line="360" w:lineRule="auto"/>
        <w:jc w:val="both"/>
        <w:rPr>
          <w:rFonts w:ascii="Arial" w:hAnsi="Arial" w:cs="Arial"/>
          <w:lang w:val="en-US"/>
        </w:rPr>
      </w:pPr>
      <w:r w:rsidRPr="00CB1C44">
        <w:rPr>
          <w:rFonts w:ascii="Arial" w:hAnsi="Arial" w:cs="Arial"/>
          <w:lang w:val="en-US"/>
        </w:rPr>
        <w:t>Moreover</w:t>
      </w:r>
      <w:r w:rsidR="004F0435" w:rsidRPr="00CB1C44">
        <w:rPr>
          <w:rFonts w:ascii="Arial" w:hAnsi="Arial" w:cs="Arial"/>
          <w:lang w:val="en-US"/>
        </w:rPr>
        <w:t xml:space="preserve">, mitogen-activated protein kinases (MAPK) are involved in gene expression </w:t>
      </w:r>
      <w:r w:rsidR="004F043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{"citationItems":[{"id":"ITEM-1","itemData":{"DOI":"10.1038/sj.onc.1210415","ISBN":"0950-9232 (Print)","ISSN":"0950-9232","PMID":"17496919","abstract":"The mitogen-activated protein kinases (MAPKs) are a family of serine/threonine kinases that play an essential role in signal transduction by modulating gene transcription in the nucleus in response to changes in the cellular environment. They include the extracellular signal-regulated protein kinases (ERK1 and ERK2); c-Jun N-terminal kinases (JNK1, JNK2, JNK3); p38s (p38alpha, p38beta, p38gamma, p38delta) and ERK5. The molecular events in which MAPKs function can be separated in discrete and yet interrelated steps: activation of the MAPK by their upstream kinases, changes in the subcellular localization of MAPKs, and recognition, binding and phosphorylation of MAPK downstream targets. The resulting pattern of gene expression will ultimately depend on the integration of the combinatorial signals provided by the temporal activation of each group of MAPKs. This review will focus on how the specificity of signal transmission by MAPKs is achieved by scaffolding molecules and by the presence of structural motifs in MAPKs that are dynamically regulated by phosphorylation and protein-protein interactions. We discuss also how MAPKs recognize and phosphorylate their target nuclear proteins, including transcription factors, co-activators and repressors and chromatin-remodeling molecules, thereby affecting an intricate balance of nuclear regulatory molecules that ultimately control gene expression in response to environmental cues.","author":[{"dropping-particle":"","family":"Turjanski","given":"A G","non-dropping-particle":"","parse-names":false,"suffix":""},{"dropping-particle":"","family":"Vaqué","given":"J P","non-dropping-particle":"","parse-names":false,"suffix":""},{"dropping-particle":"","family":"Gutkind","given":"J S","non-dropping-particle":"","parse-names":false,"suffix":""}],"container-title":"Oncogene","id":"ITEM-1","issue":"22","issued":{"date-parts":[["2007"]]},"page":"3240-53","title":"MAP kinases and the control of nuclear events.","type":"article-journal","volume":"26"},"uris":["http://www.mendeley.com/documents/?uuid=9a2ad4dd-d78e-49a3-954c-175be59d6264"]}],"mendeley":{"formattedCitation":"(Turjanski et al., 2007)","plainTextFormattedCitation":"(Turjanski et al., 2007)","previouslyFormattedCitation":"(Turjanski et al., 2007)"},"properties":{"noteIndex":0},"schema":"https://github.com/citation-style-language/schema/raw/master/csl-citation.json"}</w:instrText>
      </w:r>
      <w:r w:rsidR="004F0435" w:rsidRPr="00CB1C44">
        <w:rPr>
          <w:rFonts w:ascii="Arial" w:hAnsi="Arial" w:cs="Arial"/>
          <w:lang w:val="en-US"/>
        </w:rPr>
        <w:fldChar w:fldCharType="separate"/>
      </w:r>
      <w:r w:rsidR="00DD645C" w:rsidRPr="00CB1C44">
        <w:rPr>
          <w:rFonts w:ascii="Arial" w:hAnsi="Arial" w:cs="Arial"/>
          <w:noProof/>
          <w:lang w:val="en-US"/>
        </w:rPr>
        <w:t>(Turjanski et al., 2007)</w:t>
      </w:r>
      <w:r w:rsidR="004F0435" w:rsidRPr="00CB1C44">
        <w:rPr>
          <w:rFonts w:ascii="Arial" w:hAnsi="Arial" w:cs="Arial"/>
          <w:lang w:val="en-US"/>
        </w:rPr>
        <w:fldChar w:fldCharType="end"/>
      </w:r>
      <w:r w:rsidR="00BD1D2A" w:rsidRPr="00CB1C44">
        <w:rPr>
          <w:rFonts w:ascii="Arial" w:hAnsi="Arial" w:cs="Arial"/>
          <w:lang w:val="en-US"/>
        </w:rPr>
        <w:t>,</w:t>
      </w:r>
      <w:r w:rsidR="004F0435" w:rsidRPr="00CB1C44">
        <w:rPr>
          <w:rFonts w:ascii="Arial" w:hAnsi="Arial" w:cs="Arial"/>
          <w:lang w:val="en-US"/>
        </w:rPr>
        <w:t xml:space="preserve"> cell survival and apoptosis </w:t>
      </w:r>
      <w:r w:rsidR="004F043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{"citationItems":[{"id":"ITEM-1","itemData":{"DOI":"10.1080/15216540600957438","ISBN":"1521-6543 (Print)\\r1521-6543 (Linking)","ISSN":"1521-6543","PMID":"17085381","abstract":"ERK1/2 is an important subfamily of mitogen-activated protein kinases that control a broad range of cellular activities and physiological processes. ERK1/2 can be activated transiently or persistently by MEK1/2 and upstream MAP3Ks in conjunction with regulation and involvement of scaffolding proteins and phosphatases. Activation of ERK1/2 generally promotes cell survival; but under certain conditions, ERK1/2 can have pro-apoptotic functions.","author":[{"dropping-particle":"","family":"Lu","given":"Z","non-dropping-particle":"","parse-names":false,"suffix":""},{"dropping-particle":"","family":"Xu","given":"S","non-dropping-particle":"","parse-names":false,"suffix":""}],"container-title":"IUBMB Life","id":"ITEM-1","issue":"11","issued":{"date-parts":[["2006"]]},"page":"621-631","title":"ERK1/2 MAP kinases in cell survival and apoptosis","type":"article-journal","volume":"58"},"uris":["http://www.mendeley.com/documents/?uuid=58c94631-4060-4d13-bc6c-d29923fa759e"]}],"mendeley":{"formattedCitation":"(Lu and Xu, 2006)","plainTextFormattedCitation":"(Lu and Xu, 2006)","previouslyFormattedCitation":"(Lu and Xu, 2006)"},"properties":{"noteIndex":0},"schema":"https://github.com/citation-style-language/schema/raw/master/csl-citation.json"}</w:instrText>
      </w:r>
      <w:r w:rsidR="004F0435" w:rsidRPr="00CB1C44">
        <w:rPr>
          <w:rFonts w:ascii="Arial" w:hAnsi="Arial" w:cs="Arial"/>
          <w:lang w:val="en-US"/>
        </w:rPr>
        <w:fldChar w:fldCharType="separate"/>
      </w:r>
      <w:r w:rsidR="00DD645C" w:rsidRPr="00CB1C44">
        <w:rPr>
          <w:rFonts w:ascii="Arial" w:hAnsi="Arial" w:cs="Arial"/>
          <w:noProof/>
          <w:lang w:val="en-US"/>
        </w:rPr>
        <w:t>(Lu and Xu, 2006)</w:t>
      </w:r>
      <w:r w:rsidR="004F0435" w:rsidRPr="00CB1C44">
        <w:rPr>
          <w:rFonts w:ascii="Arial" w:hAnsi="Arial" w:cs="Arial"/>
          <w:lang w:val="en-US"/>
        </w:rPr>
        <w:fldChar w:fldCharType="end"/>
      </w:r>
      <w:r w:rsidR="00BD1D2A" w:rsidRPr="00CB1C44">
        <w:rPr>
          <w:rFonts w:ascii="Arial" w:hAnsi="Arial" w:cs="Arial"/>
          <w:lang w:val="en-US"/>
        </w:rPr>
        <w:t>;</w:t>
      </w:r>
      <w:r w:rsidR="004F0435" w:rsidRPr="00CB1C44">
        <w:rPr>
          <w:rFonts w:ascii="Arial" w:hAnsi="Arial" w:cs="Arial"/>
          <w:lang w:val="en-US"/>
        </w:rPr>
        <w:t xml:space="preserve"> p38 MAPK phosphorylates Nrf2 in </w:t>
      </w:r>
      <w:r w:rsidR="00252CE5" w:rsidRPr="00CB1C44">
        <w:rPr>
          <w:rFonts w:ascii="Arial" w:hAnsi="Arial" w:cs="Arial"/>
          <w:lang w:val="en-US"/>
        </w:rPr>
        <w:t>three serine residues (Ser215, Ser408 and Ser577),</w:t>
      </w:r>
      <w:r w:rsidR="00640652" w:rsidRPr="00CB1C44">
        <w:rPr>
          <w:rFonts w:ascii="Arial" w:hAnsi="Arial" w:cs="Arial"/>
          <w:lang w:val="en-US"/>
        </w:rPr>
        <w:t xml:space="preserve"> </w:t>
      </w:r>
      <w:r w:rsidR="00252CE5" w:rsidRPr="00CB1C44">
        <w:rPr>
          <w:rFonts w:ascii="Arial" w:hAnsi="Arial" w:cs="Arial"/>
          <w:lang w:val="en-US"/>
        </w:rPr>
        <w:t>which promote</w:t>
      </w:r>
      <w:r w:rsidR="0026352A" w:rsidRPr="00CB1C44">
        <w:rPr>
          <w:rFonts w:ascii="Arial" w:hAnsi="Arial" w:cs="Arial"/>
          <w:lang w:val="en-US"/>
        </w:rPr>
        <w:t>s</w:t>
      </w:r>
      <w:r w:rsidR="004F0435" w:rsidRPr="00CB1C44">
        <w:rPr>
          <w:rFonts w:ascii="Arial" w:hAnsi="Arial" w:cs="Arial"/>
          <w:lang w:val="en-US"/>
        </w:rPr>
        <w:t xml:space="preserve"> decreasing Nrf2 nuclear accumulation </w:t>
      </w:r>
      <w:r w:rsidR="004F043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{"citationItems":[{"id":"ITEM-1","itemData":{"DOI":"10.1158/0008-5472.CAN-05-3513","ISBN":"1538-7445 (Electronic)\\r0008-5472 (Linking)","ISSN":"1538-7445","PMID":"16951197","abstract":"Exposure of sulforaphane to HepG2 cells increased heme oxygenase-1 (HO-1) expression by activating antioxidant response element (ARE) through induction of Nrf2 and suppression of Kelch-like ECH-associated protein 1 (Keap1). Using human HO-1 promoter reporter plasmids and ChIP assay, we have identified that sulforaphane transcriptionally activated the upstream ARE-rich enhancer region, located at -9.0 kb upstream human HO-1 promoter. Induction of HO-1 by sulforaphane was attenuated by overexpression of mutant Nrf2 plasmid in HepG2 cells and totally abolished in Nrf2 knockout mouse embryonic keratinocytes and fibroblasts. Overexpression of individual p38 mitogen-activated protein (MAP) kinase (MAPK) isoforms also suppressed constitutive as well as sulforaphane- or Nrf2-induced ARE-dependent gene expression. Among the upstream kinases, although MKK3 was not involved in suppression of ARE by any of p38 MAPK isoforms, MKK6 selectively suppressed ARE by p38 gamma or p38 delta, but not by p38 alpha or p38 beta. Importantly, sulforaphane not only activated MAP/extracellular signal-regulated kinase (ERK) kinases 1/2 and ERK1/2, but also strongly suppressed anisomycin-induced activation of p38 MAPK isoforms by blocking phosphorylation of upstream kinases, MKK3/6. Finally, we found that stimulation of p38 MAPK isoforms phosphorylated purified Nrf2 protein and caused an increase in the interaction between Nrf2 and Keap1 in vitro and the suppression of Nrf2 translocation into the nucleus. Collectively, our results indicate that transcriptional activation of Nrf2/ARE is critical in sulforaphane-mediated induction of HO-1, which can be modulated in part by the blockade of p38 MAPK signaling pathway. In addition, our study shows that p38 MAPK can phosphorylate Nrf2 and promotes the association between Nrf2 and Keap1 proteins, thereby potentially inhibiting nuclear translocation of Nrf2.","author":[{"dropping-particle":"","family":"Keum","given":"Young-Sam","non-dropping-particle":"","parse-names":false,"suffix":""},{"dropping-particle":"","family":"Yu","given":"Siwang","non-dropping-particle":"","parse-names":false,"suffix":""},{"dropping-particle":"","family":"Chang","given":"Peter Pil-Jae","non-dropping-particle":"","parse-names":false,"suffix":""},{"dropping-particle":"","family":"Yuan","given":"Xiaoling","non-dropping-particle":"","parse-names":false,"suffix":""},{"dropping-particle":"","family":"Kim","given":"Jung-Hwan","non-dropping-particle":"","parse-names":false,"suffix":""},{"dropping-particle":"","family":"Xu","given":"Changjiang","non-dropping-particle":"","parse-names":false,"suffix":""},{"dropping-particle":"","family":"Han","given":"Jiahuai","non-dropping-particle":"","parse-names":false,"suffix":""},{"dropping-particle":"","family":"Agarwal","given":"Anupam","non-dropping-particle":"","parse-names":false,"suffix":""},{"dropping-particle":"","family":"Kong","given":"Ah-Ng Tony","non-dropping-particle":"","parse-names":false,"suffix":""}],"container-title":"Cancer research","id":"ITEM-1","issue":"17","issued":{"date-parts":[["2006","9","1"]]},"page":"8804-13","title":"Mechanism of action of sulforaphane: inhibition of p38 mitogen-activated protein kinase isoforms contributing to the induction of antioxidant response element-mediated heme oxygenase-1 in human hepatoma HepG2 cells.","type":"article-journal","volume":"66"},"uris":["http://www.mendeley.com/documents/?uuid=1fc7020a-2997-4b88-b10d-d55cb42efac9"]},{"id":"ITEM-2","itemData":{"DOI":"10.1371/journal.pone.0006588","ISBN":"1932-6203 (Electronic)\\r1932-6203 (Linking)","ISSN":"19326203","PMID":"19668370","abstract":"The bZIP transcription factor Nrf2 has emerged as a pivotal regulator of intracellular redox homeostasis by controlling the expression of many endogenous antioxidants and phase II detoxification enzymes. Upon oxidative stress, Nrf2 is induced at protein levels through redox-sensitive modifications on cysteine residues of Keap1, a component of the E3 ubiquitin ligase that targets Nrf2 for ubiquitin-dependent degradation. The mitogen activated protein kinases (MAPKs) have previously been proposed to regulate Nrf2 in response to oxidative stress. However, the exact role of MAPKs and the underlying molecular mechanism remain poorly defined. Here we report the first evidence that Nrf2 is phosphorylated in vivo by MAPKs. We have identified multiple serine/threonine residues as major targets of MAPK-mediated phosphorylation. Combined alanine substitution on those residues leads to a moderate decrease in the transcriptional activity of Nrf2, most likely due to a slight reduction in its nuclear accumulation. More importantly, Nrf2 protein stability, primarily controlled by Keap1, is not altered by Nrf2 phosphorylation in vivo. These data indicate that direct phosphorylation of Nrf2 by MAPKs has limited contribution in modulating Nrf2 activity. We suggest that MAPKs regulate the Nrf2 signaling pathway mainly through indirect mechanisms.","author":[{"dropping-particle":"","family":"Sun","given":"Zheng","non-dropping-particle":"","parse-names":false,"suffix":""},{"dropping-particle":"","family":"Huang","given":"Zheping","non-dropping-particle":"","parse-names":false,"suffix":""},{"dropping-particle":"","family":"Zhang","given":"Donna D.","non-dropping-particle":"","parse-names":false,"suffix":""}],"container-title":"PLoS ONE","id":"ITEM-2","issued":{"date-parts":[["2009"]]},"title":"Phosphorylation of Nrf2 at multiple sites by MAP kinases has a limited contribution in modulating the Nrf2-dependent antioxidant response","type":"article-journal"},"uris":["http://www.mendeley.com/documents/?uuid=a5a794e3-a5fd-4f50-8b9f-49926ea39dc4"]}],"mendeley":{"formattedCitation":"(Keum et al., 2006; Sun et al., 2009)","plainTextFormattedCitation":"(Keum et al., 2006; Sun et al., 2009)","previouslyFormattedCitation":"(Keum et al., 2006; Sun et al., 2009)"},"properties":{"noteIndex":0},"schema":"https://github.com/citation-style-language/schema/raw/master/csl-citation.json"}</w:instrText>
      </w:r>
      <w:r w:rsidR="004F0435" w:rsidRPr="00CB1C44">
        <w:rPr>
          <w:rFonts w:ascii="Arial" w:hAnsi="Arial" w:cs="Arial"/>
          <w:lang w:val="en-US"/>
        </w:rPr>
        <w:fldChar w:fldCharType="separate"/>
      </w:r>
      <w:r w:rsidR="00DD645C" w:rsidRPr="00CB1C44">
        <w:rPr>
          <w:rFonts w:ascii="Arial" w:hAnsi="Arial" w:cs="Arial"/>
          <w:noProof/>
          <w:lang w:val="en-US"/>
        </w:rPr>
        <w:t>(Keum et al., 2006; Sun et al., 2009)</w:t>
      </w:r>
      <w:r w:rsidR="004F0435" w:rsidRPr="00CB1C44">
        <w:rPr>
          <w:rFonts w:ascii="Arial" w:hAnsi="Arial" w:cs="Arial"/>
          <w:lang w:val="en-US"/>
        </w:rPr>
        <w:fldChar w:fldCharType="end"/>
      </w:r>
      <w:r w:rsidR="004F0435" w:rsidRPr="00CB1C44">
        <w:rPr>
          <w:rFonts w:ascii="Arial" w:hAnsi="Arial" w:cs="Arial"/>
          <w:lang w:val="en-US"/>
        </w:rPr>
        <w:t xml:space="preserve">. </w:t>
      </w:r>
      <w:r w:rsidR="00730CA1" w:rsidRPr="00CB1C44">
        <w:rPr>
          <w:rFonts w:ascii="Arial" w:hAnsi="Arial" w:cs="Arial"/>
          <w:lang w:val="en-US"/>
        </w:rPr>
        <w:t>Additionally</w:t>
      </w:r>
      <w:r w:rsidR="00210C87" w:rsidRPr="00CB1C44">
        <w:rPr>
          <w:rFonts w:ascii="Arial" w:hAnsi="Arial" w:cs="Arial"/>
          <w:lang w:val="en-US"/>
        </w:rPr>
        <w:t>, protein kinase RNA-like endoplasmic reticulum kinase</w:t>
      </w:r>
      <w:r w:rsidR="0078129D" w:rsidRPr="00CB1C44">
        <w:rPr>
          <w:rFonts w:ascii="Arial" w:hAnsi="Arial" w:cs="Arial"/>
          <w:lang w:val="en-US"/>
        </w:rPr>
        <w:t xml:space="preserve"> (PERK</w:t>
      </w:r>
      <w:r w:rsidR="00210C87" w:rsidRPr="00CB1C44">
        <w:rPr>
          <w:rFonts w:ascii="Arial" w:hAnsi="Arial" w:cs="Arial"/>
          <w:lang w:val="en-US"/>
        </w:rPr>
        <w:t xml:space="preserve">), a critical protein </w:t>
      </w:r>
      <w:r w:rsidR="00FF28EB" w:rsidRPr="00CB1C44">
        <w:rPr>
          <w:rFonts w:ascii="Arial" w:hAnsi="Arial" w:cs="Arial"/>
          <w:lang w:val="en-US"/>
        </w:rPr>
        <w:t xml:space="preserve">for </w:t>
      </w:r>
      <w:r w:rsidR="00210C87" w:rsidRPr="00CB1C44">
        <w:rPr>
          <w:rFonts w:ascii="Arial" w:hAnsi="Arial" w:cs="Arial"/>
          <w:lang w:val="en-US"/>
        </w:rPr>
        <w:t>cell survival</w:t>
      </w:r>
      <w:r w:rsidR="00821976" w:rsidRPr="00CB1C44">
        <w:rPr>
          <w:rFonts w:ascii="Arial" w:hAnsi="Arial" w:cs="Arial"/>
          <w:lang w:val="en-US"/>
        </w:rPr>
        <w:t>,</w:t>
      </w:r>
      <w:r w:rsidR="00210C87" w:rsidRPr="00CB1C44">
        <w:rPr>
          <w:rFonts w:ascii="Arial" w:hAnsi="Arial" w:cs="Arial"/>
          <w:lang w:val="en-US"/>
        </w:rPr>
        <w:t xml:space="preserve"> can phosphorylate Nrf2</w:t>
      </w:r>
      <w:r w:rsidRPr="00CB1C44">
        <w:rPr>
          <w:rFonts w:ascii="Arial" w:hAnsi="Arial" w:cs="Arial"/>
          <w:lang w:val="en-US"/>
        </w:rPr>
        <w:t>,</w:t>
      </w:r>
      <w:r w:rsidR="00210C87" w:rsidRPr="00CB1C44">
        <w:rPr>
          <w:rFonts w:ascii="Arial" w:hAnsi="Arial" w:cs="Arial"/>
          <w:lang w:val="en-US"/>
        </w:rPr>
        <w:t xml:space="preserve"> triggering its dissociation from Keap1 and consequently favoring Nrf2 activity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{"citationItems":[{"id":"ITEM-1","itemData":{"DOI":"10.1128/MCB.23.20.7198-7209.2003","ISBN":"0270-7306 (Print)\\r0270-7306 (Linking)","ISSN":"0270-7306","PMID":"14517290","abstract":"Activation of PERK following the accumulation of unfolded proteins in the endoplasmic reticulum (ER) promotes translation inhibition and cell cycle arrest. PERK function is essential for cell survival following exposure of cells to ER stress, but the mechanisms whereby PERK signaling promotes cell survival are not thoroughly understood. We have identified the Nrf2 transcription factor as a novel PERK substrate. In unstressed cells, Nrf2 is maintained in the cytoplasm via association with Keap1. PERK-dependent phosphorylation triggers dissociation of Nrf2/Keap1 complexes and inhibits reassociation of Nrf2/Keap1 complexes in vitro. Activation of PERK via agents that trigger the unfolded protein response is both necessary and sufficient for dissociation of cytoplasmic Nrf2/Keap1 and subsequent Nrf2 nuclear import. Finally, we demonstrate that cells harboring a targeted deletion of Nrf2 exhibit increased cell death relative to wild-type counterparts following exposure to ER stress. Our data demonstrate that Nrf2 is a critical effector of PERK-mediated cell survival.","author":[{"dropping-particle":"","family":"Cullinan","given":"Sara B","non-dropping-particle":"","parse-names":false,"suffix":""},{"dropping-particle":"","family":"Zhang","given":"Donna","non-dropping-particle":"","parse-names":false,"suffix":""},{"dropping-particle":"","family":"Hannink","given":"Mark","non-dropping-particle":"","parse-names":false,"suffix":""},{"dropping-particle":"","family":"Arvisais","given":"Edward","non-dropping-particle":"","parse-names":false,"suffix":""},{"dropping-particle":"","family":"Kaufman","given":"Randal J","non-dropping-particle":"","parse-names":false,"suffix":""},{"dropping-particle":"","family":"Diehl","given":"J Alan","non-dropping-particle":"","parse-names":false,"suffix":""}],"container-title":"Molecular and cellular biology","id":"ITEM-1","issue":"20","issued":{"date-parts":[["2003"]]},"page":"7198-209","title":"Nrf2 is a direct PERK substrate and effector of PERK-dependent cell survival.","type":"article-journal","volume":"23"},"uris":["http://www.mendeley.com/documents/?uuid=36475d78-984c-49f1-a384-d7149a450ad3"]}],"mendeley":{"formattedCitation":"(Cullinan et al., 2003)","plainTextFormattedCitation":"(Cullinan et al., 2003)","previouslyFormattedCitation":"(Cullinan et al.,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(Cullinan et al., 2003)</w:t>
      </w:r>
      <w:r w:rsidR="00844011" w:rsidRPr="00CB1C44">
        <w:rPr>
          <w:rFonts w:ascii="Arial" w:hAnsi="Arial" w:cs="Arial"/>
          <w:lang w:val="en-US"/>
        </w:rPr>
        <w:fldChar w:fldCharType="end"/>
      </w:r>
      <w:r w:rsidR="00210C87" w:rsidRPr="00CB1C44">
        <w:rPr>
          <w:rFonts w:ascii="Arial" w:hAnsi="Arial" w:cs="Arial"/>
          <w:lang w:val="en-US"/>
        </w:rPr>
        <w:t>.</w:t>
      </w:r>
      <w:r w:rsidR="00365416" w:rsidRPr="00CB1C44">
        <w:rPr>
          <w:rFonts w:ascii="Arial" w:hAnsi="Arial" w:cs="Arial"/>
          <w:lang w:val="en-US"/>
        </w:rPr>
        <w:t xml:space="preserve"> </w:t>
      </w:r>
    </w:p>
    <w:p w14:paraId="4E4AADD9" w14:textId="77777777" w:rsidR="002D07A8" w:rsidRPr="00CB1C44" w:rsidRDefault="002D07A8" w:rsidP="004038B5">
      <w:pPr>
        <w:spacing w:after="0" w:line="360" w:lineRule="auto"/>
        <w:jc w:val="both"/>
        <w:rPr>
          <w:rFonts w:ascii="Arial" w:hAnsi="Arial" w:cs="Arial"/>
          <w:lang w:val="en-US"/>
        </w:rPr>
      </w:pPr>
    </w:p>
    <w:p w14:paraId="2618E70B" w14:textId="5AEE1C20" w:rsidR="0095679D" w:rsidRPr="00CB1C44" w:rsidRDefault="00E969E5" w:rsidP="00771B32">
      <w:pPr>
        <w:spacing w:after="0" w:line="360" w:lineRule="auto"/>
        <w:jc w:val="both"/>
        <w:outlineLvl w:val="0"/>
        <w:rPr>
          <w:rFonts w:ascii="Arial" w:hAnsi="Arial" w:cs="Arial"/>
          <w:b/>
          <w:lang w:val="en-US"/>
        </w:rPr>
      </w:pPr>
      <w:r w:rsidRPr="00CB1C44">
        <w:rPr>
          <w:rFonts w:ascii="Arial" w:hAnsi="Arial" w:cs="Arial"/>
          <w:b/>
          <w:lang w:val="en-US"/>
        </w:rPr>
        <w:t>2.3</w:t>
      </w:r>
      <w:r w:rsidR="0095679D" w:rsidRPr="00CB1C44">
        <w:rPr>
          <w:rFonts w:ascii="Arial" w:hAnsi="Arial" w:cs="Arial"/>
          <w:b/>
          <w:lang w:val="en-US"/>
        </w:rPr>
        <w:t xml:space="preserve"> Nrf2 </w:t>
      </w:r>
      <w:r w:rsidR="007F24F3" w:rsidRPr="00CB1C44">
        <w:rPr>
          <w:rFonts w:ascii="Arial" w:hAnsi="Arial" w:cs="Arial"/>
          <w:b/>
          <w:lang w:val="en-US"/>
        </w:rPr>
        <w:t>n</w:t>
      </w:r>
      <w:r w:rsidR="0095679D" w:rsidRPr="00CB1C44">
        <w:rPr>
          <w:rFonts w:ascii="Arial" w:hAnsi="Arial" w:cs="Arial"/>
          <w:b/>
          <w:lang w:val="en-US"/>
        </w:rPr>
        <w:t xml:space="preserve">uclear </w:t>
      </w:r>
      <w:r w:rsidR="007F24F3" w:rsidRPr="00CB1C44">
        <w:rPr>
          <w:rFonts w:ascii="Arial" w:hAnsi="Arial" w:cs="Arial"/>
          <w:b/>
          <w:lang w:val="en-US"/>
        </w:rPr>
        <w:t>r</w:t>
      </w:r>
      <w:r w:rsidR="0095679D" w:rsidRPr="00CB1C44">
        <w:rPr>
          <w:rFonts w:ascii="Arial" w:hAnsi="Arial" w:cs="Arial"/>
          <w:b/>
          <w:lang w:val="en-US"/>
        </w:rPr>
        <w:t>egulation</w:t>
      </w:r>
    </w:p>
    <w:p w14:paraId="375C9FCD" w14:textId="4FA11CD1" w:rsidR="00FD1085" w:rsidRPr="00CB1C44" w:rsidRDefault="002378A0" w:rsidP="004038B5">
      <w:pPr>
        <w:spacing w:after="0" w:line="360" w:lineRule="auto"/>
        <w:jc w:val="both"/>
        <w:rPr>
          <w:rFonts w:ascii="Arial" w:hAnsi="Arial" w:cs="Arial"/>
          <w:lang w:val="en-US"/>
        </w:rPr>
      </w:pPr>
      <w:r w:rsidRPr="00CB1C44">
        <w:rPr>
          <w:rFonts w:ascii="Arial" w:hAnsi="Arial" w:cs="Arial"/>
          <w:lang w:val="en-US"/>
        </w:rPr>
        <w:t xml:space="preserve">Nrf2 </w:t>
      </w:r>
      <w:r w:rsidR="000901F4" w:rsidRPr="00CB1C44">
        <w:rPr>
          <w:rFonts w:ascii="Arial" w:hAnsi="Arial" w:cs="Arial"/>
          <w:lang w:val="en-US"/>
        </w:rPr>
        <w:t>contains nuclear localization sequences (NLSs)</w:t>
      </w:r>
      <w:r w:rsidR="00820567" w:rsidRPr="00CB1C44">
        <w:rPr>
          <w:rFonts w:ascii="Arial" w:hAnsi="Arial" w:cs="Arial"/>
          <w:lang w:val="en-US"/>
        </w:rPr>
        <w:t xml:space="preserve"> in the basic region</w:t>
      </w:r>
      <w:r w:rsidR="00736393"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{"citationItems":[{"id":"ITEM-1","itemData":{"DOI":"10.1074/jbc.M709040200","ISBN":"0021-9258 (Print)\\r0021-9258 (Linking)","ISSN":"00219258","PMID":"18238777","abstract":"Nuclear factor erythroid 2-related factor 2 (Nrf2) mediates the transcriptional response of cells to oxidative stress and is translocated into the nucleus following, or concomitant with, its activation by electrophiles or reactive oxygen species. The mechanism of its translocation into the nucleus is not entirely elucidated. Here we have identified two novel nuclear localization signal (NLS) motifs in murine Nrf2, one located near the N-terminal region (amino acid residues 42-53) and the other (residues 587-593) located near the C-terminal region. Imaging of green fluorescent protein (GFP)-tagged Nrf2 revealed that mutation(s) in any of these sequences resulted in decreased nuclear fluorescence intensity compared with the wild-type Nrf2 when Nrf2 activation was induced with the electrophile tert-butylhydroquinone. The mutations also impaired Nrf2-induced transactivation of antioxidant response element-driven reporter gene expression to the same extent as the Nrf2 construct bearing mutation in a previously identified bipartite NLS that maps at residues 494-511. When linked to GFP or to GFP-PEPCK-C each of the novel NLS motifs was sufficient to drive nuclear translocation of the fusion proteins. Co-immunoprecipitation assays demonstrated that importins alpha5 and beta1 associate with Nrf2, an interaction that was blocked by the nuclear import inhibitor SN50. SN50 also blocked tert-butylhydroquinone-induced nuclear fluorescence of GFP-Nrf2 in cells transfected with wild-type GFP-Nrf2. Overall these results reveal that multiple NLS motifs in Nrf2 function in its nuclear translocation in response to pro-oxidant stimuli and that the importin alpha-beta heterodimer nuclear import receptor system plays a critical role in the import process.","author":[{"dropping-particle":"","family":"Theodore","given":"Melanie","non-dropping-particle":"","parse-names":false,"suffix":""},{"dropping-particle":"","family":"Kawai","given":"Yumiko","non-dropping-particle":"","parse-names":false,"suffix":""},{"dropping-particle":"","family":"Yang","given":"Jianqi","non-dropping-particle":"","parse-names":false,"suffix":""},{"dropping-particle":"","family":"Kleshchenko","given":"Yuliya","non-dropping-particle":"","parse-names":false,"suffix":""},{"dropping-particle":"","family":"Reddy","given":"Sekhar P.","non-dropping-particle":"","parse-names":false,"suffix":""},{"dropping-particle":"","family":"Villalta","given":"Fernando","non-dropping-particle":"","parse-names":false,"suffix":""},{"dropping-particle":"","family":"Arinze","given":"Ifeanyi J.","non-dropping-particle":"","parse-names":false,"suffix":""}],"container-title":"Journal of Biological Chemistry","id":"ITEM-1","issue":"14","issued":{"date-parts":[["2008"]]},"page":"8984-8994","title":"Multiple nuclear localization signals function in the nuclear import of the transcription factor Nrf2","type":"article-journal","volume":"283"},"uris":["http://www.mendeley.com/documents/?uuid=df5816f8-0106-4cb5-9d39-3c98500912f5"]}],"mendeley":{"formattedCitation":"(Theodore et al., 2008)","plainTextFormattedCitation":"(Theodore et al., 2008)","previouslyFormattedCitation":"(Theodore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(Theodore et al., 2008)</w:t>
      </w:r>
      <w:r w:rsidR="00844011" w:rsidRPr="00CB1C44">
        <w:rPr>
          <w:rFonts w:ascii="Arial" w:hAnsi="Arial" w:cs="Arial"/>
          <w:lang w:val="en-US"/>
        </w:rPr>
        <w:fldChar w:fldCharType="end"/>
      </w:r>
      <w:r w:rsidR="00736393" w:rsidRPr="00CB1C44">
        <w:rPr>
          <w:rFonts w:ascii="Arial" w:hAnsi="Arial" w:cs="Arial"/>
          <w:lang w:val="en-US"/>
        </w:rPr>
        <w:t xml:space="preserve">, </w:t>
      </w:r>
      <w:r w:rsidR="000901F4" w:rsidRPr="00CB1C44">
        <w:rPr>
          <w:rFonts w:ascii="Arial" w:hAnsi="Arial" w:cs="Arial"/>
          <w:lang w:val="en-US"/>
        </w:rPr>
        <w:t>and nuclear export sequences (NESs</w:t>
      </w:r>
      <w:r w:rsidR="00736393" w:rsidRPr="00CB1C44">
        <w:rPr>
          <w:rFonts w:ascii="Arial" w:hAnsi="Arial" w:cs="Arial"/>
          <w:lang w:val="en-US"/>
        </w:rPr>
        <w:t>)</w:t>
      </w:r>
      <w:r w:rsidR="00820567" w:rsidRPr="00CB1C44">
        <w:rPr>
          <w:rFonts w:ascii="Arial" w:hAnsi="Arial" w:cs="Arial"/>
          <w:lang w:val="en-US"/>
        </w:rPr>
        <w:t xml:space="preserve"> in the leucine zipper domain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{"citationItems":[{"id":"ITEM-1","itemData":{"DOI":"10.1074/jbc.M410601200","ISBN":"0021-9258 (Print)\\r0021-9258 (Linking)","ISSN":"00219258","PMID":"15917227","abstract":"Basic leucine zipper (bZIP) protein Nrf2 is a key transcription factor mediating the antioxidant response. Under homeostatic conditions Nrf2 is anchored to cysteine-rich Keap1 and sequestered in the cytoplasm. When challenged with oxidative stress, Keap1 functions as a redox-sensitive switch and releases Nrf2. Subsequently, Nrf2 translocates into the cell nucleus and binds to a cis-acting enhancer called the antioxidant response element located in the promoters of a battery of cytoprotective genes and initiates their transcription. In this study we identify a canonical nuclear export signal (NES) ((537)LKKQLSTLYL(546)) located in the leucine zipper (ZIP) domain of the Nrf2 protein. The enhanced green fluorescent protein-tagged ZIP domain of Nrf2 (amino acids 503-589) exhibited a CRM1-dependent cytosolic distribution that could be abrogated by site-directed mutations or treatment with the nuclear export inhibitor, leptomycin B. Ectotopic expression of the Nrf2-NES could also exclude the GAL4 DNA binding domain into the cytoplasm. This NES overlapped with the ZIP motif in Nrf2, suggesting that the formation of heterodimers between Nrf2 and other bZIP proteins may simultaneously mask the NES and attenuate Nrf2 nuclear export. The Nrf2-NES appeared to be redox-insensitive. Neither oxidants (sulforaphane and diethyl maleate) nor reducing compounds (N-acetyl-l-cysteine and reducing glutathione) could disrupt the cytosolic distribution of Nrf2zip. Because Nrf2 activation is generally redox-sensitive, the redox insensitivity of this Nrf2-NES indicates the importance of Keap1 retention as a key rate-limiting step in Nrf2 activation. The characterization of the Nrf2 NES may help decipher the mechanisms governing nuclear localization and subsequent transcriptional activation of Nrf2-mediated cytoprotective genes.","author":[{"dropping-particle":"","family":"Li","given":"Wenge","non-dropping-particle":"","parse-names":false,"suffix":""},{"dropping-particle":"","family":"Jain","given":"Mohit R.","non-dropping-particle":"","parse-names":false,"suffix":""},{"dropping-particle":"","family":"Chen","given":"Chi","non-dropping-particle":"","parse-names":false,"suffix":""},{"dropping-particle":"","family":"Yue","given":"Xin","non-dropping-particle":"","parse-names":false,"suffix":""},{"dropping-particle":"","family":"Hebbar","given":"Vidya","non-dropping-particle":"","parse-names":false,"suffix":""},{"dropping-particle":"","family":"Zhou","given":"Renping","non-dropping-particle":"","parse-names":false,"suffix":""},{"dropping-particle":"","family":"Kong","given":"A. N.Tony","non-dropping-particle":"","parse-names":false,"suffix":""}],"container-title":"Journal of Biological Chemistry","id":"ITEM-1","issue":"31","issued":{"date-parts":[["2005"]]},"page":"28430-28438","title":"Nrf2 possesses a redox-insensitive nuclear export signal overlapping with the leucine zipper motif","type":"article-journal","volume":"280"},"uris":["http://www.mendeley.com/documents/?uuid=e4559e0f-5cdb-4113-810d-6d70e21a3f60"]}],"mendeley":{"formattedCitation":"(Li et al., 2005)","plainTextFormattedCitation":"(Li et al., 2005)","previouslyFormattedCitation":"(Li et al., 2005)"},"properties":{"noteIndex":0},"schema":"https://github.com/citation-style-language/schema/raw/master/csl-citation.json"}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(Li et al., 2005)</w:t>
      </w:r>
      <w:r w:rsidR="00844011" w:rsidRPr="00CB1C44">
        <w:rPr>
          <w:rFonts w:ascii="Arial" w:hAnsi="Arial" w:cs="Arial"/>
          <w:lang w:val="en-US"/>
        </w:rPr>
        <w:fldChar w:fldCharType="end"/>
      </w:r>
      <w:r w:rsidR="000901F4" w:rsidRPr="00CB1C44">
        <w:rPr>
          <w:rFonts w:ascii="Arial" w:hAnsi="Arial" w:cs="Arial"/>
          <w:lang w:val="en-US"/>
        </w:rPr>
        <w:t>. Thus, Nrf2</w:t>
      </w:r>
      <w:r w:rsidR="005273DA" w:rsidRPr="00CB1C44">
        <w:rPr>
          <w:rFonts w:ascii="Arial" w:hAnsi="Arial" w:cs="Arial"/>
          <w:lang w:val="en-US"/>
        </w:rPr>
        <w:t>’</w:t>
      </w:r>
      <w:r w:rsidR="000901F4" w:rsidRPr="00CB1C44">
        <w:rPr>
          <w:rFonts w:ascii="Arial" w:hAnsi="Arial" w:cs="Arial"/>
          <w:lang w:val="en-US"/>
        </w:rPr>
        <w:t xml:space="preserve">s NLS </w:t>
      </w:r>
      <w:r w:rsidR="006E6039" w:rsidRPr="00CB1C44">
        <w:rPr>
          <w:rFonts w:ascii="Arial" w:hAnsi="Arial" w:cs="Arial"/>
          <w:lang w:val="en-US"/>
        </w:rPr>
        <w:t>motifs</w:t>
      </w:r>
      <w:r w:rsidR="000901F4" w:rsidRPr="00CB1C44">
        <w:rPr>
          <w:rFonts w:ascii="Arial" w:hAnsi="Arial" w:cs="Arial"/>
          <w:lang w:val="en-US"/>
        </w:rPr>
        <w:t xml:space="preserve"> are recognized by </w:t>
      </w:r>
      <w:r w:rsidR="006E6039" w:rsidRPr="00CB1C44">
        <w:rPr>
          <w:rFonts w:ascii="Arial" w:hAnsi="Arial" w:cs="Arial"/>
          <w:lang w:val="en-US"/>
        </w:rPr>
        <w:t xml:space="preserve">adaptor proteins </w:t>
      </w:r>
      <w:r w:rsidR="00101BF6" w:rsidRPr="00CB1C44">
        <w:rPr>
          <w:rFonts w:ascii="Arial" w:hAnsi="Arial" w:cs="Arial"/>
          <w:lang w:val="en-US"/>
        </w:rPr>
        <w:t xml:space="preserve">(such as </w:t>
      </w:r>
      <w:r w:rsidR="006E6039" w:rsidRPr="00CB1C44">
        <w:rPr>
          <w:rFonts w:ascii="Arial" w:hAnsi="Arial" w:cs="Arial"/>
          <w:lang w:val="en-US"/>
        </w:rPr>
        <w:t>importins</w:t>
      </w:r>
      <w:r w:rsidR="00101BF6" w:rsidRPr="00CB1C44">
        <w:rPr>
          <w:rFonts w:ascii="Arial" w:hAnsi="Arial" w:cs="Arial"/>
          <w:lang w:val="en-US"/>
        </w:rPr>
        <w:t>) forming a</w:t>
      </w:r>
      <w:r w:rsidR="00A945F6" w:rsidRPr="00CB1C44">
        <w:rPr>
          <w:rFonts w:ascii="Arial" w:hAnsi="Arial" w:cs="Arial"/>
          <w:lang w:val="en-US"/>
        </w:rPr>
        <w:t xml:space="preserve"> protein</w:t>
      </w:r>
      <w:r w:rsidR="00101BF6" w:rsidRPr="00CB1C44">
        <w:rPr>
          <w:rFonts w:ascii="Arial" w:hAnsi="Arial" w:cs="Arial"/>
          <w:lang w:val="en-US"/>
        </w:rPr>
        <w:t xml:space="preserve"> complex that </w:t>
      </w:r>
      <w:r w:rsidR="006E6039" w:rsidRPr="00CB1C44">
        <w:rPr>
          <w:rFonts w:ascii="Arial" w:hAnsi="Arial" w:cs="Arial"/>
          <w:lang w:val="en-US"/>
        </w:rPr>
        <w:t>possibly allow</w:t>
      </w:r>
      <w:r w:rsidR="00634D81" w:rsidRPr="00CB1C44">
        <w:rPr>
          <w:rFonts w:ascii="Arial" w:hAnsi="Arial" w:cs="Arial"/>
          <w:lang w:val="en-US"/>
        </w:rPr>
        <w:t>s</w:t>
      </w:r>
      <w:r w:rsidR="006E6039" w:rsidRPr="00CB1C44">
        <w:rPr>
          <w:rFonts w:ascii="Arial" w:hAnsi="Arial" w:cs="Arial"/>
          <w:lang w:val="en-US"/>
        </w:rPr>
        <w:t xml:space="preserve"> Nrf2 </w:t>
      </w:r>
      <w:r w:rsidR="00A945F6" w:rsidRPr="00CB1C44">
        <w:rPr>
          <w:rFonts w:ascii="Arial" w:hAnsi="Arial" w:cs="Arial"/>
          <w:lang w:val="en-US"/>
        </w:rPr>
        <w:t>trans</w:t>
      </w:r>
      <w:r w:rsidR="00A2641E" w:rsidRPr="00CB1C44">
        <w:rPr>
          <w:rFonts w:ascii="Arial" w:hAnsi="Arial" w:cs="Arial"/>
          <w:lang w:val="en-US"/>
        </w:rPr>
        <w:t>i</w:t>
      </w:r>
      <w:r w:rsidR="00A945F6" w:rsidRPr="00CB1C44">
        <w:rPr>
          <w:rFonts w:ascii="Arial" w:hAnsi="Arial" w:cs="Arial"/>
          <w:lang w:val="en-US"/>
        </w:rPr>
        <w:t xml:space="preserve">tion to the nucleus </w:t>
      </w:r>
      <w:r w:rsidR="006E6039" w:rsidRPr="00CB1C44">
        <w:rPr>
          <w:rFonts w:ascii="Arial" w:hAnsi="Arial" w:cs="Arial"/>
          <w:lang w:val="en-US"/>
        </w:rPr>
        <w:t>through the nuclear</w:t>
      </w:r>
      <w:r w:rsidR="000901F4" w:rsidRPr="00CB1C44">
        <w:rPr>
          <w:rFonts w:ascii="Arial" w:hAnsi="Arial" w:cs="Arial"/>
          <w:lang w:val="en-US"/>
        </w:rPr>
        <w:t xml:space="preserve"> pore</w:t>
      </w:r>
      <w:r w:rsidR="006E6039"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{"citationItems":[{"id":"ITEM-1","itemData":{"DOI":"10.1074/jbc.M709040200","ISBN":"0021-9258 (Print)\\r0021-9258 (Linking)","ISSN":"00219258","PMID":"18238777","abstract":"Nuclear factor erythroid 2-related factor 2 (Nrf2) mediates the transcriptional response of cells to oxidative stress and is translocated into the nucleus following, or concomitant with, its activation by electrophiles or reactive oxygen species. The mechanism of its translocation into the nucleus is not entirely elucidated. Here we have identified two novel nuclear localization signal (NLS) motifs in murine Nrf2, one located near the N-terminal region (amino acid residues 42-53) and the other (residues 587-593) located near the C-terminal region. Imaging of green fluorescent protein (GFP)-tagged Nrf2 revealed that mutation(s) in any of these sequences resulted in decreased nuclear fluorescence intensity compared with the wild-type Nrf2 when Nrf2 activation was induced with the electrophile tert-butylhydroquinone. The mutations also impaired Nrf2-induced transactivation of antioxidant response element-driven reporter gene expression to the same extent as the Nrf2 construct bearing mutation in a previously identified bipartite NLS that maps at residues 494-511. When linked to GFP or to GFP-PEPCK-C each of the novel NLS motifs was sufficient to drive nuclear translocation of the fusion proteins. Co-immunoprecipitation assays demonstrated that importins alpha5 and beta1 associate with Nrf2, an interaction that was blocked by the nuclear import inhibitor SN50. SN50 also blocked tert-butylhydroquinone-induced nuclear fluorescence of GFP-Nrf2 in cells transfected with wild-type GFP-Nrf2. Overall these results reveal that multiple NLS motifs in Nrf2 function in its nuclear translocation in response to pro-oxidant stimuli and that the importin alpha-beta heterodimer nuclear import receptor system plays a critical role in the import process.","author":[{"dropping-particle":"","family":"Theodore","given":"Melanie","non-dropping-particle":"","parse-names":false,"suffix":""},{"dropping-particle":"","family":"Kawai","given":"Yumiko","non-dropping-particle":"","parse-names":false,"suffix":""},{"dropping-particle":"","family":"Yang","given":"Jianqi","non-dropping-particle":"","parse-names":false,"suffix":""},{"dropping-particle":"","family":"Kleshchenko","given":"Yuliya","non-dropping-particle":"","parse-names":false,"suffix":""},{"dropping-particle":"","family":"Reddy","given":"Sekhar P.","non-dropping-particle":"","parse-names":false,"suffix":""},{"dropping-particle":"","family":"Villalta","given":"Fernando","non-dropping-particle":"","parse-names":false,"suffix":""},{"dropping-particle":"","family":"Arinze","given":"Ifeanyi J.","non-dropping-particle":"","parse-names":false,"suffix":""}],"container-title":"Journal of Biological Chemistry","id":"ITEM-1","issue":"14","issued":{"date-parts":[["2008"]]},"page":"8984-8994","title":"Multiple nuclear localization signals function in the nuclear import of the transcription factor Nrf2","type":"article-journal","volume":"283"},"uris":["http://www.mendeley.com/documents/?uuid=df5816f8-0106-4cb5-9d39-3c98500912f5"]}],"mendeley":{"formattedCitation":"(Theodore et al., 2008)","plainTextFormattedCitation":"(Theodore et al., 2008)","previouslyFormattedCitation":"(Theodore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(Theodore et al., 2008)</w:t>
      </w:r>
      <w:r w:rsidR="00844011" w:rsidRPr="00CB1C44">
        <w:rPr>
          <w:rFonts w:ascii="Arial" w:hAnsi="Arial" w:cs="Arial"/>
          <w:lang w:val="en-US"/>
        </w:rPr>
        <w:fldChar w:fldCharType="end"/>
      </w:r>
      <w:r w:rsidR="006E6039" w:rsidRPr="00CB1C44">
        <w:rPr>
          <w:rFonts w:ascii="Arial" w:hAnsi="Arial" w:cs="Arial"/>
          <w:lang w:val="en-US"/>
        </w:rPr>
        <w:t>.</w:t>
      </w:r>
      <w:r w:rsidR="000901F4" w:rsidRPr="00CB1C44">
        <w:rPr>
          <w:rFonts w:ascii="Arial" w:hAnsi="Arial" w:cs="Arial"/>
          <w:lang w:val="en-US"/>
        </w:rPr>
        <w:t xml:space="preserve"> </w:t>
      </w:r>
      <w:r w:rsidR="00C45E9B" w:rsidRPr="00CB1C44">
        <w:rPr>
          <w:rFonts w:ascii="Arial" w:hAnsi="Arial" w:cs="Arial"/>
          <w:lang w:val="en-US"/>
        </w:rPr>
        <w:t xml:space="preserve">On the other hand, </w:t>
      </w:r>
      <w:r w:rsidR="00F26A26" w:rsidRPr="00CB1C44">
        <w:rPr>
          <w:rFonts w:ascii="Arial" w:hAnsi="Arial" w:cs="Arial"/>
          <w:lang w:val="en-US"/>
        </w:rPr>
        <w:t xml:space="preserve"> in the</w:t>
      </w:r>
      <w:r w:rsidR="00361217" w:rsidRPr="00CB1C44">
        <w:rPr>
          <w:rFonts w:ascii="Arial" w:hAnsi="Arial" w:cs="Arial"/>
          <w:lang w:val="en-US"/>
        </w:rPr>
        <w:t xml:space="preserve"> nucle</w:t>
      </w:r>
      <w:r w:rsidR="00F26A26" w:rsidRPr="00CB1C44">
        <w:rPr>
          <w:rFonts w:ascii="Arial" w:hAnsi="Arial" w:cs="Arial"/>
          <w:lang w:val="en-US"/>
        </w:rPr>
        <w:t>us,</w:t>
      </w:r>
      <w:r w:rsidR="00407B16" w:rsidRPr="00CB1C44">
        <w:rPr>
          <w:rFonts w:ascii="Arial" w:hAnsi="Arial" w:cs="Arial"/>
          <w:lang w:val="en-US"/>
        </w:rPr>
        <w:t xml:space="preserve"> Nrf2 can be phosphorylated at Tyr568 by Fyn kinase, a </w:t>
      </w:r>
      <w:proofErr w:type="spellStart"/>
      <w:r w:rsidR="00407B16" w:rsidRPr="00CB1C44">
        <w:rPr>
          <w:rFonts w:ascii="Arial" w:hAnsi="Arial" w:cs="Arial"/>
          <w:lang w:val="en-US"/>
        </w:rPr>
        <w:t>Src</w:t>
      </w:r>
      <w:proofErr w:type="spellEnd"/>
      <w:r w:rsidR="00407B16" w:rsidRPr="00CB1C44">
        <w:rPr>
          <w:rFonts w:ascii="Arial" w:hAnsi="Arial" w:cs="Arial"/>
          <w:lang w:val="en-US"/>
        </w:rPr>
        <w:t xml:space="preserve"> family member,</w:t>
      </w:r>
      <w:r w:rsidR="00361217" w:rsidRPr="00CB1C44">
        <w:rPr>
          <w:rFonts w:ascii="Arial" w:hAnsi="Arial" w:cs="Arial"/>
          <w:lang w:val="en-US"/>
        </w:rPr>
        <w:t xml:space="preserve"> </w:t>
      </w:r>
      <w:r w:rsidR="00407B16" w:rsidRPr="00CB1C44">
        <w:rPr>
          <w:rFonts w:ascii="Arial" w:hAnsi="Arial" w:cs="Arial"/>
          <w:lang w:val="en-US"/>
        </w:rPr>
        <w:t>allowing the interaction</w:t>
      </w:r>
      <w:r w:rsidR="00F87278" w:rsidRPr="00CB1C44">
        <w:rPr>
          <w:rFonts w:ascii="Arial" w:hAnsi="Arial" w:cs="Arial"/>
          <w:lang w:val="en-US"/>
        </w:rPr>
        <w:t xml:space="preserve"> with Crm1, also known as exportin1, leading to its nuclear exportation </w:t>
      </w:r>
      <w:r w:rsidR="00F8727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{"citationItems":[{"id":"ITEM-1","itemData":{"DOI":"10.1074/jbc.M611336200","ISBN":"0021-9258 (Print)\\r0021-9258 (Linking)","ISSN":"0021-9258","PMID":"17403689","abstract":"NF-E2-related factor 2 (Nrf2) regulates expression and coordinated induction of a battery of chemoprotective genes in response to oxidative and electrophilic stress. This leads to protection against oxidative stress and neoplastic diseases. Nuclear import and export of Nrf2 play a significant role in control of nuclear levels of Nrf2 and thus the expression of Nrf2 down-stream genes. Tyrosine kinase Fyn phosphorylates tyrosine 568 of Nrf2 that leads to the nuclear export of Nrf2. In this study, we investigated the upstream factor(s) in regulation of Fyn and Fyn-mediated nuclear export of Nrf2. The investigations shed light on a novel mechanism of Nrf2 regulation in response to oxidative stress. We demonstrate that GSK-3beta acts upstream of Fyn kinase in control of nuclear export of Nrf2. Chemical and short interfering RNA-mediated inhibition of GSK-3beta led to nuclear accumulation of Nrf2 and transcriptional activation of the Nrf2 downstream gene nqo1. Chemical and short interfering RNA inhibition of GSK-3beta and Fyn individually and in combination revealed that both kinases follow the same pathway to regulate nuclear export of Nrf2. We further demonstrate that hydrogen peroxide phosphorylates tyrosine 216 of GSK-3beta. This leads to activation of GSK-3beta. The activated GSK-3beta phosphorylates Fyn at threonine residue(s). Phosphorylated Fyn accumulates in the nucleus and phosphorylates Nrf2 at tyrosine 568. This leads to nuclear export, ubiquitination, and degradation of Nrf2.","author":[{"dropping-particle":"","family":"Jain","given":"Abhinav K.","non-dropping-particle":"","parse-names":false,"suffix":""},{"dropping-particle":"","family":"Jaiswal","given":"Anil K.","non-dropping-particle":"","parse-names":false,"suffix":""}],"container-title":"Journal of Biological Chemistry","id":"ITEM-1","issue":"22","issued":{"date-parts":[["2007","6","1"]]},"page":"16502-16510","title":"GSK-3beta Acts Upstream of Fyn Kinase in Regulation of Nuclear Export and Degradation of NF-E2 Related Factor 2","type":"article-journal","volume":"282"},"uris":["http://www.mendeley.com/documents/?uuid=0b07d103-9abd-46f6-87a5-faf7ff23fd99"]},{"id":"ITEM-2","itemData":{"DOI":"10.1074/jbc.M511198200","ISBN":"0021-9258 (Print)\\r0021-9258 (Linking)","ISSN":"00219258","PMID":"16513647","abstract":"Nuclear factor Nrf 2, under normal conditions, is retained in the cytosol by INrf 2. Antioxidants and oxidants antagonize this interaction, resulting in the release of Nrf 2. Nrf 2 translocates to the nucleus binds to ARE and activates a battery of chemopreventive genes. Once this is achieved, Nrf 2 is exported out of the nucleus, binds with INrf 2, and degrades. Nrf 2 contains well defined signals that control nuclear import and export of Nrf 2. The present studies demonstrate that phosphorylation of tyrosine 568 is required for Crm1-mediated nuclear export and degradation of Nrf 2. Mutation of tyrosine 568 to alanine and phenylalanine resulted in the loss of interaction with Crm1 and abrogation of nuclear export of Nrf 2. Nrf 2Y568A is deficient in nuclear export and displays delayed degradation compared with wild-type Nrf 2. In addition, Src inhibitor PP2 caused nuclear accumulation of Nrf 2 in normal and hydrogen peroxide-treated cells but had no effect on localization of mutant Nrf 2Y568A. Further experiments with small interfering RNA revealed that Fyn phosphorylated Nrf 2Y568 leading to nuclear export and degradation of Nrf 2.","author":[{"dropping-particle":"","family":"Jain","given":"Abhinav K.","non-dropping-particle":"","parse-names":false,"suffix":""},{"dropping-particle":"","family":"Jaiswal","given":"Anil K.","non-dropping-particle":"","parse-names":false,"suffix":""}],"container-title":"Journal of Biological Chemistry","id":"ITEM-2","issue":"17","issued":{"date-parts":[["2006"]]},"page":"12132-12142","title":"Phosphorylation of tyrosine 568 controls nuclear export of Nrf2","type":"article-journal","volume":"281"},"uris":["http://www.mendeley.com/documents/?uuid=73cdbd0b-742d-4b3e-827b-f2b767ecb5bc"]}],"mendeley":{"formattedCitation":"(Jain and Jaiswal, 2007, 2006)","plainTextFormattedCitation":"(Jain and Jaiswal, 2007, 2006)","previouslyFormattedCitation":"(Jain and Jaiswal, 2007, 2006)"},"properties":{"noteIndex":0},"schema":"https://github.com/citation-style-language/schema/raw/master/csl-citation.json"}</w:instrText>
      </w:r>
      <w:r w:rsidR="00F87278" w:rsidRPr="00CB1C44">
        <w:rPr>
          <w:rFonts w:ascii="Arial" w:hAnsi="Arial" w:cs="Arial"/>
          <w:lang w:val="en-US"/>
        </w:rPr>
        <w:fldChar w:fldCharType="separate"/>
      </w:r>
      <w:r w:rsidR="00DD645C" w:rsidRPr="00CB1C44">
        <w:rPr>
          <w:rFonts w:ascii="Arial" w:hAnsi="Arial" w:cs="Arial"/>
          <w:noProof/>
          <w:lang w:val="en-US"/>
        </w:rPr>
        <w:t>(Jain and Jaiswal, 2007, 2006)</w:t>
      </w:r>
      <w:r w:rsidR="00F87278" w:rsidRPr="00CB1C44">
        <w:rPr>
          <w:rFonts w:ascii="Arial" w:hAnsi="Arial" w:cs="Arial"/>
          <w:lang w:val="en-US"/>
        </w:rPr>
        <w:fldChar w:fldCharType="end"/>
      </w:r>
      <w:r w:rsidR="00F87278" w:rsidRPr="00CB1C44">
        <w:rPr>
          <w:rFonts w:ascii="Arial" w:hAnsi="Arial" w:cs="Arial"/>
          <w:lang w:val="en-US"/>
        </w:rPr>
        <w:t xml:space="preserve">. </w:t>
      </w:r>
      <w:r w:rsidR="00361217" w:rsidRPr="00CB1C44">
        <w:rPr>
          <w:rFonts w:ascii="Arial" w:hAnsi="Arial" w:cs="Arial"/>
          <w:lang w:val="en-US"/>
        </w:rPr>
        <w:t>Moreover, once in the nucleus, Nrf2 activity may be regulated by t</w:t>
      </w:r>
      <w:r w:rsidR="005A7891" w:rsidRPr="00CB1C44">
        <w:rPr>
          <w:rFonts w:ascii="Arial" w:hAnsi="Arial" w:cs="Arial"/>
          <w:lang w:val="en-US"/>
        </w:rPr>
        <w:t xml:space="preserve">he nuclear factor-kB (NF-kB) complex </w:t>
      </w:r>
      <w:r w:rsidR="00C835E1" w:rsidRPr="00CB1C44">
        <w:rPr>
          <w:rFonts w:ascii="Arial" w:hAnsi="Arial" w:cs="Arial"/>
          <w:lang w:val="en-US"/>
        </w:rPr>
        <w:t>containing</w:t>
      </w:r>
      <w:r w:rsidR="005A7891" w:rsidRPr="00CB1C44">
        <w:rPr>
          <w:rFonts w:ascii="Arial" w:hAnsi="Arial" w:cs="Arial"/>
          <w:lang w:val="en-US"/>
        </w:rPr>
        <w:t xml:space="preserve"> the</w:t>
      </w:r>
      <w:r w:rsidR="00C835E1" w:rsidRPr="00CB1C44">
        <w:rPr>
          <w:rFonts w:ascii="Arial" w:hAnsi="Arial" w:cs="Arial"/>
          <w:lang w:val="en-US"/>
        </w:rPr>
        <w:t xml:space="preserve"> subunit</w:t>
      </w:r>
      <w:r w:rsidR="005A7891" w:rsidRPr="00CB1C44">
        <w:rPr>
          <w:rFonts w:ascii="Arial" w:hAnsi="Arial" w:cs="Arial"/>
          <w:lang w:val="en-US"/>
        </w:rPr>
        <w:t xml:space="preserve"> </w:t>
      </w:r>
      <w:proofErr w:type="spellStart"/>
      <w:r w:rsidR="005A7891" w:rsidRPr="00CB1C44">
        <w:rPr>
          <w:rFonts w:ascii="Arial" w:hAnsi="Arial" w:cs="Arial"/>
          <w:lang w:val="en-US"/>
        </w:rPr>
        <w:t>RelA</w:t>
      </w:r>
      <w:proofErr w:type="spellEnd"/>
      <w:r w:rsidR="005A7891" w:rsidRPr="00CB1C44">
        <w:rPr>
          <w:rFonts w:ascii="Arial" w:hAnsi="Arial" w:cs="Arial"/>
          <w:lang w:val="en-US"/>
        </w:rPr>
        <w:t xml:space="preserve"> (p65)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{"citationItems":[{"id":"ITEM-1","itemData":{"DOI":"10.1146/annurev.immunol.14.1.649","ISBN":"0732-0582","ISSN":"0732-0582","PMID":"8717528","abstract":"The transcription factor NF-kappa B has attracted widespread attention among researchers in many fields based on the following: its unusual and rapid regulation, the wide range of genes that it controls, its central role in immunological processes, the complexity of its subunits, and its apparent involvement in several diseases. A primary level of control for NF-kappa B is through interactions with an inhibitor protein called I kappa B. Recent evidence confirms the existence of multiple forms of I kappa B that appear to regulate NF-kappa B by distinct mechanisms. NF-kappa B can be activated by exposure of cells to LPS or inflammatory cytokines such as TNF or IL-1, viral infection or expression of certain viral gene products, UV irradiation, B or T cell activation, and by other physiological and nonphysiological stimuli. Activation of NF-kappa B to move into the nucleus is controlled by the targeted phosphorylation and subsequent degradation of I kappa B. Exciting new research has elaborated several important and unexpected findings that explain mechanisms involved in the activation of NF-kappa B. In the nucleus, NF-kappa B dimers bind to target DNA elements and activate transcription of genes encoding proteins involved with immune or inflammation responses and with cell growth control. Recent data provide evidence that NF-kappa B is constitutively active in several cell types, potentially playing unexpected roles in regulation of gene expression. In addition to advances in describing the mechanisms of NF-kappa B activation, excitement in NF-kappa B research has been generated by the first report of a crystal structure for one form of NF-kappa B, the first gene knockout studies for different forms of NF-kB and of I kappa B, and the implications for therapies of diseases thought to involve the inappropriate activation of NF-kappa B.","author":[{"dropping-particle":"","family":"Baldwin","given":"a S","non-dropping-particle":"","parse-names":false,"suffix":""}],"container-title":"Annual review of Immunology","id":"ITEM-1","issued":{"date-parts":[["1996"]]},"page":"649-683","title":"The NF-kappa B and I kappa B proteins: new discoveries and insights.","type":"article-journal","volume":"14"},"uris":["http://www.mendeley.com/documents/?uuid=05be469e-2bd5-4bc4-ab0f-654a9e6f1923"]}],"mendeley":{"formattedCitation":"(Baldwin, 1996)","plainTextFormattedCitation":"(Baldwin, 1996)","previouslyFormattedCitation":"(Baldwin, 1996)"},"properties":{"noteIndex":0},"schema":"https://github.com/citation-style-language/schema/raw/master/csl-citation.json"}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(Baldwin, 1996)</w:t>
      </w:r>
      <w:r w:rsidR="00844011" w:rsidRPr="00CB1C44">
        <w:rPr>
          <w:rFonts w:ascii="Arial" w:hAnsi="Arial" w:cs="Arial"/>
          <w:lang w:val="en-US"/>
        </w:rPr>
        <w:fldChar w:fldCharType="end"/>
      </w:r>
      <w:r w:rsidR="005A7891" w:rsidRPr="00CB1C44">
        <w:rPr>
          <w:rFonts w:ascii="Arial" w:hAnsi="Arial" w:cs="Arial"/>
          <w:lang w:val="en-US"/>
        </w:rPr>
        <w:t xml:space="preserve">, an important transcription factor involved in bacterial and viral infection responses, inflammation and cell proliferation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{"citationItems":[{"id":"ITEM-1","itemData":{"DOI":"10.1038/ni.2070","ISBN":"1529-2916 (Electronic)\\r1529-2908 (Linking)","PMID":"21772277","abstract":"Members of the NF-kappaB family of transcription factors function as dominant regulators of inducible gene expression in almost all cell types in response to a broad range of stimuli, with particularly important roles in coordinating both innate and adaptive immunity. This review summarizes the present knowledge and recent progress toward elucidating the numerous regulatory layers that confer target-gene selectivity in response to an NF-kappaB-inducing stimulus.","author":[{"dropping-particle":"","family":"Smale","given":"S T","non-dropping-particle":"","parse-names":false,"suffix":""}],"container-title":"Nat Immunol","id":"ITEM-1","issue":"8","issued":{"date-parts":[["2011"]]},"page":"689-694","title":"Hierarchies of NF-kappaB target-gene regulation","type":"article-journal","volume":"12"},"uris":["http://www.mendeley.com/documents/?uuid=8da4de03-b21b-45a3-8cf8-1353bea27a0a"]}],"mendeley":{"formattedCitation":"(Smale, 2011)","plainTextFormattedCitation":"(Smale, 2011)","previouslyFormattedCitation":"(Smale, 2011)"},"properties":{"noteIndex":0},"schema":"https://github.com/citation-style-language/schema/raw/master/csl-citation.json"}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(Smale, 2011)</w:t>
      </w:r>
      <w:r w:rsidR="00844011" w:rsidRPr="00CB1C44">
        <w:rPr>
          <w:rFonts w:ascii="Arial" w:hAnsi="Arial" w:cs="Arial"/>
          <w:lang w:val="en-US"/>
        </w:rPr>
        <w:fldChar w:fldCharType="end"/>
      </w:r>
      <w:r w:rsidR="005A7891" w:rsidRPr="00CB1C44">
        <w:rPr>
          <w:rFonts w:ascii="Arial" w:hAnsi="Arial" w:cs="Arial"/>
          <w:lang w:val="en-US"/>
        </w:rPr>
        <w:t xml:space="preserve">. Liu and colleagues reported that NF-kB p65 subunit </w:t>
      </w:r>
      <w:r w:rsidR="004C6DD6" w:rsidRPr="00CB1C44">
        <w:rPr>
          <w:rFonts w:ascii="Arial" w:hAnsi="Arial" w:cs="Arial"/>
          <w:lang w:val="en-US"/>
        </w:rPr>
        <w:t>represses Nrf2 target genes expression, independent</w:t>
      </w:r>
      <w:r w:rsidR="00A70BA3" w:rsidRPr="00CB1C44">
        <w:rPr>
          <w:rFonts w:ascii="Arial" w:hAnsi="Arial" w:cs="Arial"/>
          <w:lang w:val="en-US"/>
        </w:rPr>
        <w:t>ly</w:t>
      </w:r>
      <w:r w:rsidR="004C6DD6" w:rsidRPr="00CB1C44">
        <w:rPr>
          <w:rFonts w:ascii="Arial" w:hAnsi="Arial" w:cs="Arial"/>
          <w:lang w:val="en-US"/>
        </w:rPr>
        <w:t xml:space="preserve"> of its transcription activity</w:t>
      </w:r>
      <w:r w:rsidR="00AA63B3"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{"citationItems":[{"id":"ITEM-1","itemData":{"DOI":"10.1016/j.bbamcr.2008.01.002","ISBN":"0006-3002 (Print)\\r0006-3002 (Linking)","ISSN":"0006-3002","PMID":"18241676","abstract":"Constitutively activated NF-kappaB occurs in many inflammatory and tumor tissues. Does it interfere with anti-inflammatory or anti-tumor signaling pathway? Here, we report that NF-kappaB p65 subunit repressed the Nrf2-antioxidant response element (ARE) pathway at transcriptional level. In the cells where NF-kappaB and Nrf2 were simultaneously activated, p65 unidirectionally antagonized the transcriptional activity of Nrf2. In the p65-overexpressing cells, the ARE-dependent expression of heme oxygenase-1 was strongly suppressed. However, p65 inhibited the ARE-driven gene transcription in a way that was independent of its own transcriptional activity. Two mechanisms were found to coordinate the p65-mediated repression of ARE: (1) p65 selectively deprives CREB binding protein (CBP) from Nrf2 by competitive interaction with the CH1-KIX domain of CBP, which results in inactivation of Nrf2. The inactivation depends on PKA catalytic subunit-mediated phosphorylation of p65 at S276. (2) p65 promotes recruitment of histone deacetylase 3 (HDAC3), the corepressor, to ARE by facilitating the interaction of HDAC3 with either CBP or MafK, leading to local histone hypoacetylation. This investigation revealed the participation of NF-kappaB p65 in the negative regulation of Nrf2-ARE signaling, and might provide a new insight into a possible role of NF-kappaB in suppressing the expression of anti-inflammatory or anti-tumor genes.","author":[{"dropping-particle":"","family":"Liu","given":"Guang-Hui","non-dropping-particle":"","parse-names":false,"suffix":""},{"dropping-particle":"","family":"Qu","given":"Jing","non-dropping-particle":"","parse-names":false,"suffix":""},{"dropping-particle":"","family":"Shen","given":"Xun","non-dropping-particle":"","parse-names":false,"suffix":""}],"container-title":"Biochimica et biophysica acta","id":"ITEM-1","issue":"5","issued":{"date-parts":[["2008","5"]]},"page":"713-27","title":"NF-kappaB/p65 antagonizes Nrf2-ARE pathway by depriving CBP from Nrf2 and facilitating recruitment of HDAC3 to MafK.","type":"article-journal","volume":"1783"},"uris":["http://www.mendeley.com/documents/?uuid=3dacaf5c-47f1-44b6-bf6b-ef4b53fd7e35"]}],"mendeley":{"formattedCitation":"(Liu et al., 2008)","plainTextFormattedCitation":"(Liu et al., 2008)","previouslyFormattedCitation":"(Liu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(Liu et al., 2008)</w:t>
      </w:r>
      <w:r w:rsidR="00844011" w:rsidRPr="00CB1C44">
        <w:rPr>
          <w:rFonts w:ascii="Arial" w:hAnsi="Arial" w:cs="Arial"/>
          <w:lang w:val="en-US"/>
        </w:rPr>
        <w:fldChar w:fldCharType="end"/>
      </w:r>
      <w:r w:rsidR="00BD4CF5" w:rsidRPr="00CB1C44">
        <w:rPr>
          <w:rFonts w:ascii="Arial" w:hAnsi="Arial" w:cs="Arial"/>
          <w:lang w:val="en-US"/>
        </w:rPr>
        <w:t xml:space="preserve"> by </w:t>
      </w:r>
      <w:r w:rsidR="0024004E" w:rsidRPr="00CB1C44">
        <w:rPr>
          <w:rFonts w:ascii="Arial" w:hAnsi="Arial" w:cs="Arial"/>
          <w:lang w:val="en-US"/>
        </w:rPr>
        <w:t xml:space="preserve">competition of p65 with Nrf2 for the binding to </w:t>
      </w:r>
      <w:r w:rsidR="00AA63B3" w:rsidRPr="00CB1C44">
        <w:rPr>
          <w:rFonts w:ascii="Arial" w:hAnsi="Arial" w:cs="Arial"/>
          <w:lang w:val="en-US"/>
        </w:rPr>
        <w:t>CBP</w:t>
      </w:r>
      <w:r w:rsidR="00BD4CF5" w:rsidRPr="00CB1C44">
        <w:rPr>
          <w:rFonts w:ascii="Arial" w:hAnsi="Arial" w:cs="Arial"/>
          <w:lang w:val="en-US"/>
        </w:rPr>
        <w:t xml:space="preserve"> and by the</w:t>
      </w:r>
      <w:r w:rsidR="0024004E" w:rsidRPr="00CB1C44">
        <w:rPr>
          <w:rFonts w:ascii="Arial" w:hAnsi="Arial" w:cs="Arial"/>
          <w:lang w:val="en-US"/>
        </w:rPr>
        <w:t xml:space="preserve"> </w:t>
      </w:r>
      <w:r w:rsidR="00BA4BCA" w:rsidRPr="00CB1C44">
        <w:rPr>
          <w:rFonts w:ascii="Arial" w:hAnsi="Arial" w:cs="Arial"/>
          <w:lang w:val="en-US"/>
        </w:rPr>
        <w:t>recruitment</w:t>
      </w:r>
      <w:r w:rsidR="00BD4CF5" w:rsidRPr="00CB1C44">
        <w:rPr>
          <w:rFonts w:ascii="Arial" w:hAnsi="Arial" w:cs="Arial"/>
          <w:lang w:val="en-US"/>
        </w:rPr>
        <w:t xml:space="preserve"> of</w:t>
      </w:r>
      <w:r w:rsidR="004C6DD6" w:rsidRPr="00CB1C44">
        <w:rPr>
          <w:rFonts w:ascii="Arial" w:hAnsi="Arial" w:cs="Arial"/>
          <w:lang w:val="en-US"/>
        </w:rPr>
        <w:t xml:space="preserve"> histone deacetylase 3 (HDAC3)</w:t>
      </w:r>
      <w:r w:rsidR="0024004E" w:rsidRPr="00CB1C44">
        <w:rPr>
          <w:rFonts w:ascii="Arial" w:hAnsi="Arial" w:cs="Arial"/>
          <w:lang w:val="en-US"/>
        </w:rPr>
        <w:t xml:space="preserve"> </w:t>
      </w:r>
      <w:r w:rsidR="00BD4CF5" w:rsidRPr="00CB1C44">
        <w:rPr>
          <w:rFonts w:ascii="Arial" w:hAnsi="Arial" w:cs="Arial"/>
          <w:lang w:val="en-US"/>
        </w:rPr>
        <w:t>by p65</w:t>
      </w:r>
      <w:r w:rsidR="009A1365" w:rsidRPr="00CB1C44">
        <w:rPr>
          <w:rFonts w:ascii="Arial" w:hAnsi="Arial" w:cs="Arial"/>
          <w:lang w:val="en-US"/>
        </w:rPr>
        <w:t>,</w:t>
      </w:r>
      <w:r w:rsidR="00BD4CF5" w:rsidRPr="00CB1C44">
        <w:rPr>
          <w:rFonts w:ascii="Arial" w:hAnsi="Arial" w:cs="Arial"/>
          <w:lang w:val="en-US"/>
        </w:rPr>
        <w:t xml:space="preserve"> result</w:t>
      </w:r>
      <w:r w:rsidR="00F53060" w:rsidRPr="00CB1C44">
        <w:rPr>
          <w:rFonts w:ascii="Arial" w:hAnsi="Arial" w:cs="Arial"/>
          <w:lang w:val="en-US"/>
        </w:rPr>
        <w:t>ing</w:t>
      </w:r>
      <w:r w:rsidR="0024004E" w:rsidRPr="00CB1C44">
        <w:rPr>
          <w:rFonts w:ascii="Arial" w:hAnsi="Arial" w:cs="Arial"/>
          <w:lang w:val="en-US"/>
        </w:rPr>
        <w:t xml:space="preserve"> </w:t>
      </w:r>
      <w:r w:rsidR="00D905AE" w:rsidRPr="00CB1C44">
        <w:rPr>
          <w:rFonts w:ascii="Arial" w:hAnsi="Arial" w:cs="Arial"/>
          <w:lang w:val="en-US"/>
        </w:rPr>
        <w:t>in</w:t>
      </w:r>
      <w:r w:rsidR="004C6DD6" w:rsidRPr="00CB1C44">
        <w:rPr>
          <w:rFonts w:ascii="Arial" w:hAnsi="Arial" w:cs="Arial"/>
          <w:lang w:val="en-US"/>
        </w:rPr>
        <w:t xml:space="preserve"> local histone hypo</w:t>
      </w:r>
      <w:r w:rsidR="0024004E" w:rsidRPr="00CB1C44">
        <w:rPr>
          <w:rFonts w:ascii="Arial" w:hAnsi="Arial" w:cs="Arial"/>
          <w:lang w:val="en-US"/>
        </w:rPr>
        <w:t>-</w:t>
      </w:r>
      <w:r w:rsidR="004C6DD6" w:rsidRPr="00CB1C44">
        <w:rPr>
          <w:rFonts w:ascii="Arial" w:hAnsi="Arial" w:cs="Arial"/>
          <w:lang w:val="en-US"/>
        </w:rPr>
        <w:t>acetylation</w:t>
      </w:r>
      <w:r w:rsidR="00144537" w:rsidRPr="00CB1C44">
        <w:rPr>
          <w:rFonts w:ascii="Arial" w:hAnsi="Arial" w:cs="Arial"/>
          <w:lang w:val="en-US"/>
        </w:rPr>
        <w:t xml:space="preserve"> and consequent decreased Nrf2-ARE </w:t>
      </w:r>
      <w:r w:rsidR="00D905AE" w:rsidRPr="00CB1C44">
        <w:rPr>
          <w:rFonts w:ascii="Arial" w:hAnsi="Arial" w:cs="Arial"/>
          <w:lang w:val="en-US"/>
        </w:rPr>
        <w:t>binding</w:t>
      </w:r>
      <w:r w:rsidR="00144537"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{"citationItems":[{"id":"ITEM-1","itemData":{"DOI":"10.1016/j.bbamcr.2008.01.002","ISBN":"0006-3002 (Print)\\r0006-3002 (Linking)","ISSN":"0006-3002","PMID":"18241676","abstract":"Constitutively activated NF-kappaB occurs in many inflammatory and tumor tissues. Does it interfere with anti-inflammatory or anti-tumor signaling pathway? Here, we report that NF-kappaB p65 subunit repressed the Nrf2-antioxidant response element (ARE) pathway at transcriptional level. In the cells where NF-kappaB and Nrf2 were simultaneously activated, p65 unidirectionally antagonized the transcriptional activity of Nrf2. In the p65-overexpressing cells, the ARE-dependent expression of heme oxygenase-1 was strongly suppressed. However, p65 inhibited the ARE-driven gene transcription in a way that was independent of its own transcriptional activity. Two mechanisms were found to coordinate the p65-mediated repression of ARE: (1) p65 selectively deprives CREB binding protein (CBP) from Nrf2 by competitive interaction with the CH1-KIX domain of CBP, which results in inactivation of Nrf2. The inactivation depends on PKA catalytic subunit-mediated phosphorylation of p65 at S276. (2) p65 promotes recruitment of histone deacetylase 3 (HDAC3), the corepressor, to ARE by facilitating the interaction of HDAC3 with either CBP or MafK, leading to local histone hypoacetylation. This investigation revealed the participation of NF-kappaB p65 in the negative regulation of Nrf2-ARE signaling, and might provide a new insight into a possible role of NF-kappaB in suppressing the expression of anti-inflammatory or anti-tumor genes.","author":[{"dropping-particle":"","family":"Liu","given":"Guang-Hui","non-dropping-particle":"","parse-names":false,"suffix":""},{"dropping-particle":"","family":"Qu","given":"Jing","non-dropping-particle":"","parse-names":false,"suffix":""},{"dropping-particle":"","family":"Shen","given":"Xun","non-dropping-particle":"","parse-names":false,"suffix":""}],"container-title":"Biochimica et biophysica acta","id":"ITEM-1","issue":"5","issued":{"date-parts":[["2008","5"]]},"page":"713-27","title":"NF-kappaB/p65 antagonizes Nrf2-ARE pathway by depriving CBP from Nrf2 and facilitating recruitment of HDAC3 to MafK.","type":"article-journal","volume":"1783"},"uris":["http://www.mendeley.com/documents/?uuid=3dacaf5c-47f1-44b6-bf6b-ef4b53fd7e35"]}],"mendeley":{"formattedCitation":"(Liu et al., 2008)","plainTextFormattedCitation":"(Liu et al., 2008)","previouslyFormattedCitation":"(Liu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(Liu et al., 2008)</w:t>
      </w:r>
      <w:r w:rsidR="00844011" w:rsidRPr="00CB1C44">
        <w:rPr>
          <w:rFonts w:ascii="Arial" w:hAnsi="Arial" w:cs="Arial"/>
          <w:lang w:val="en-US"/>
        </w:rPr>
        <w:fldChar w:fldCharType="end"/>
      </w:r>
      <w:r w:rsidR="00144537" w:rsidRPr="00CB1C44">
        <w:rPr>
          <w:rFonts w:ascii="Arial" w:hAnsi="Arial" w:cs="Arial"/>
          <w:lang w:val="en-US"/>
        </w:rPr>
        <w:t xml:space="preserve">. </w:t>
      </w:r>
    </w:p>
    <w:p w14:paraId="29A5C4B8" w14:textId="7485DDA3" w:rsidR="00BD3D9C" w:rsidRPr="00CB1C44" w:rsidRDefault="00125AE2" w:rsidP="007B3B24">
      <w:pPr>
        <w:spacing w:after="0" w:line="360" w:lineRule="auto"/>
        <w:jc w:val="both"/>
        <w:rPr>
          <w:rFonts w:ascii="Arial" w:hAnsi="Arial" w:cs="Arial"/>
          <w:lang w:val="en-US"/>
        </w:rPr>
      </w:pPr>
      <w:r w:rsidRPr="00CB1C44">
        <w:rPr>
          <w:rFonts w:ascii="Arial" w:hAnsi="Arial" w:cs="Arial"/>
          <w:lang w:val="en-US"/>
        </w:rPr>
        <w:t xml:space="preserve">Overall, </w:t>
      </w:r>
      <w:r w:rsidR="00A511E5" w:rsidRPr="00CB1C44">
        <w:rPr>
          <w:rFonts w:ascii="Arial" w:hAnsi="Arial" w:cs="Arial"/>
          <w:lang w:val="en-US"/>
        </w:rPr>
        <w:t>both Keap1-</w:t>
      </w:r>
      <w:r w:rsidR="00551615" w:rsidRPr="00CB1C44">
        <w:rPr>
          <w:rFonts w:ascii="Arial" w:hAnsi="Arial" w:cs="Arial"/>
          <w:lang w:val="en-US"/>
        </w:rPr>
        <w:t xml:space="preserve"> </w:t>
      </w:r>
      <w:r w:rsidR="00A511E5" w:rsidRPr="00CB1C44">
        <w:rPr>
          <w:rFonts w:ascii="Arial" w:hAnsi="Arial" w:cs="Arial"/>
          <w:lang w:val="en-US"/>
        </w:rPr>
        <w:t xml:space="preserve">dependent and independent mechanisms are important ways to regulate the Nrf2-ARE pathway. </w:t>
      </w:r>
      <w:r w:rsidR="00B14521" w:rsidRPr="00CB1C44">
        <w:rPr>
          <w:rFonts w:ascii="Arial" w:hAnsi="Arial" w:cs="Arial"/>
          <w:lang w:val="en-US"/>
        </w:rPr>
        <w:t>Furthermore, ARE is situated in the promoter region of genes that codify for Nrf2 regulation protei</w:t>
      </w:r>
      <w:r w:rsidR="00C73F31" w:rsidRPr="00CB1C44">
        <w:rPr>
          <w:rFonts w:ascii="Arial" w:hAnsi="Arial" w:cs="Arial"/>
          <w:lang w:val="en-US"/>
        </w:rPr>
        <w:t>ns</w:t>
      </w:r>
      <w:r w:rsidR="00551615" w:rsidRPr="00CB1C44">
        <w:rPr>
          <w:rFonts w:ascii="Arial" w:hAnsi="Arial" w:cs="Arial"/>
          <w:lang w:val="en-US"/>
        </w:rPr>
        <w:t>,</w:t>
      </w:r>
      <w:r w:rsidR="00C73F31" w:rsidRPr="00CB1C44">
        <w:rPr>
          <w:rFonts w:ascii="Arial" w:hAnsi="Arial" w:cs="Arial"/>
          <w:lang w:val="en-US"/>
        </w:rPr>
        <w:t xml:space="preserve"> such as Keap1 and Cul3 </w:t>
      </w:r>
      <w:r w:rsidR="00B1452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{"citationItems":[{"id":"ITEM-1","itemData":{"DOI":"10.1074/jbc.M110.121863","ISBN":"0021-9258","ISSN":"00219258","PMID":"20452971","abstract":"The INrf2 (Keap1)/Cul3-Rbx1 complex constantly degrades Nrf2 under normal conditions. When a cell encounters oxidative or electrophilic stress, Nrf2 dissociates from the INrf2/Cul3-Rbx1 complex and translocates into the nucleus. In the nucleus, Nrf2 activates a myriad of antioxidant and defensive genes that protect cells. Nrf2 is then exported out of the nucleus and degraded. INrf2 serves as a substrate adaptor to link Nrf2 to Cul3 and Rbx1. Cul3 and Rbx1 make up the ubiquitin ligase complex that is responsible for the ubiquitination and degradation of Nrf2. Previously we have shown a feedback autoregulatory loop between Nrf2 and INrf2 indicating that Nrf2 regulates INrf2 by controlling its transcription. Here we are extending this research by demonstrating the presence of another feedback autoregulatory loop between Cul3-Rbx1 and Nrf2. Experiments using Hepa-1 and HepG2 cells indicate that Nrf2 controls its own degradation by regulating expression and induction of Cul3-Rbx1 genes. Treatment with the antioxidant tert-Butylhydroquinone (t-BHQ) leads to induction of Cul3-Rbx1 genes. Mutagenesis and transfection experiments identified an antioxidant response element in the forward and reverse strands of the proximal Cul3 and Rbx1 promoters, respectively, that Nrf2 binds and regulates expression and antioxidant induction of the Cul3-Rbx1 genes. In addition, short interfering RNA inhibition and overexpression of Nrf2 led to a respective decrease and increase in Cul3-Rbx1 gene expression. The increase in Cul3-Rbx1 leads to ubiquitination and degradation of Nrf2. These data suggest that Nrf2 regulates Cul3-Rbx1 by controlling regulation of expression and induction of Cul3-Rbx1. The induction of Cul3-Rbx1 control Nrf2 by increasing degradation.","author":[{"dropping-particle":"","family":"Kaspar","given":"James W.","non-dropping-particle":"","parse-names":false,"suffix":""},{"dropping-particle":"","family":"Jaiswal","given":"Anil K.","non-dropping-particle":"","parse-names":false,"suffix":""}],"container-title":"Journal of Biological Chemistry","id":"ITEM-1","issue":"28","issued":{"date-parts":[["2010"]]},"page":"21349-21358","title":"An autoregulatory loop between Nrf2 and Cul3-Rbx1 controls their cellular abundance","type":"article-journal","volume":"285"},"uris":["http://www.mendeley.com/documents/?uuid=5b02f266-a50d-4d51-b1a2-7010faf935df"]}],"mendeley":{"formattedCitation":"(Kaspar and Jaiswal, 2010)","plainTextFormattedCitation":"(Kaspar and Jaiswal, 2010)","previouslyFormattedCitation":"(Kaspar and Jaiswal, 2010)"},"properties":{"noteIndex":0},"schema":"https://github.com/citation-style-language/schema/raw/master/csl-citation.json"}</w:instrText>
      </w:r>
      <w:r w:rsidR="00B14521" w:rsidRPr="00CB1C44">
        <w:rPr>
          <w:rFonts w:ascii="Arial" w:hAnsi="Arial" w:cs="Arial"/>
          <w:lang w:val="en-US"/>
        </w:rPr>
        <w:fldChar w:fldCharType="separate"/>
      </w:r>
      <w:r w:rsidR="00DD645C" w:rsidRPr="00CB1C44">
        <w:rPr>
          <w:rFonts w:ascii="Arial" w:hAnsi="Arial" w:cs="Arial"/>
          <w:noProof/>
          <w:lang w:val="en-US"/>
        </w:rPr>
        <w:t>(Kaspar and Jaiswal, 2010)</w:t>
      </w:r>
      <w:r w:rsidR="00B14521" w:rsidRPr="00CB1C44">
        <w:rPr>
          <w:rFonts w:ascii="Arial" w:hAnsi="Arial" w:cs="Arial"/>
          <w:lang w:val="en-US"/>
        </w:rPr>
        <w:fldChar w:fldCharType="end"/>
      </w:r>
      <w:r w:rsidR="00551615" w:rsidRPr="00CB1C44">
        <w:rPr>
          <w:rFonts w:ascii="Arial" w:hAnsi="Arial" w:cs="Arial"/>
          <w:lang w:val="en-US"/>
        </w:rPr>
        <w:t>,</w:t>
      </w:r>
      <w:r w:rsidR="00B14521" w:rsidRPr="00CB1C44">
        <w:rPr>
          <w:rFonts w:ascii="Arial" w:hAnsi="Arial" w:cs="Arial"/>
          <w:lang w:val="en-US"/>
        </w:rPr>
        <w:t xml:space="preserve"> i.e. Nrf2 regulate the expression of proteins that coordinate its own degradation, acting as an auto-regulatory </w:t>
      </w:r>
      <w:r w:rsidR="00F26A26" w:rsidRPr="00CB1C44">
        <w:rPr>
          <w:rFonts w:ascii="Arial" w:hAnsi="Arial" w:cs="Arial"/>
          <w:lang w:val="en-US"/>
        </w:rPr>
        <w:t>process</w:t>
      </w:r>
      <w:r w:rsidR="00B14521" w:rsidRPr="00CB1C44">
        <w:rPr>
          <w:rFonts w:ascii="Arial" w:hAnsi="Arial" w:cs="Arial"/>
          <w:lang w:val="en-US"/>
        </w:rPr>
        <w:t xml:space="preserve"> of </w:t>
      </w:r>
      <w:r w:rsidR="00F26A26" w:rsidRPr="00CB1C44">
        <w:rPr>
          <w:rFonts w:ascii="Arial" w:hAnsi="Arial" w:cs="Arial"/>
          <w:lang w:val="en-US"/>
        </w:rPr>
        <w:t xml:space="preserve">the </w:t>
      </w:r>
      <w:r w:rsidR="00B14521" w:rsidRPr="00CB1C44">
        <w:rPr>
          <w:rFonts w:ascii="Arial" w:hAnsi="Arial" w:cs="Arial"/>
          <w:lang w:val="en-US"/>
        </w:rPr>
        <w:t>Nrf2-ARE pathway</w:t>
      </w:r>
      <w:r w:rsidR="00A70A84" w:rsidRPr="00CB1C44">
        <w:rPr>
          <w:rFonts w:ascii="Arial" w:hAnsi="Arial" w:cs="Arial"/>
          <w:lang w:val="en-US"/>
        </w:rPr>
        <w:t>.</w:t>
      </w:r>
    </w:p>
    <w:p w14:paraId="66C500B7" w14:textId="2AF0C2BE" w:rsidR="00F26A26" w:rsidRPr="00CB1C44" w:rsidRDefault="00F26A26" w:rsidP="007B3B24">
      <w:pPr>
        <w:spacing w:after="0" w:line="360" w:lineRule="auto"/>
        <w:jc w:val="both"/>
        <w:rPr>
          <w:rFonts w:ascii="Arial" w:hAnsi="Arial" w:cs="Arial"/>
          <w:lang w:val="en-US"/>
        </w:rPr>
      </w:pPr>
    </w:p>
    <w:p w14:paraId="664900F8" w14:textId="77777777" w:rsidR="00047064" w:rsidRPr="00CB1C44" w:rsidRDefault="00047064" w:rsidP="007B3B24">
      <w:pPr>
        <w:spacing w:after="0" w:line="360" w:lineRule="auto"/>
        <w:jc w:val="both"/>
        <w:rPr>
          <w:rFonts w:ascii="Arial" w:hAnsi="Arial" w:cs="Arial"/>
          <w:lang w:val="en-US"/>
        </w:rPr>
      </w:pPr>
    </w:p>
    <w:p w14:paraId="716BCA2A" w14:textId="77777777" w:rsidR="002A5FDF" w:rsidRPr="00CB1C44" w:rsidRDefault="002A5FDF" w:rsidP="007B3B24">
      <w:pPr>
        <w:spacing w:after="0" w:line="360" w:lineRule="auto"/>
        <w:jc w:val="both"/>
        <w:rPr>
          <w:rFonts w:ascii="Arial" w:hAnsi="Arial" w:cs="Arial"/>
          <w:lang w:val="en-US"/>
        </w:rPr>
      </w:pPr>
    </w:p>
    <w:p w14:paraId="6BF3ECE3" w14:textId="21B3AB7B" w:rsidR="00AF2F6B" w:rsidRPr="00CB1C44" w:rsidRDefault="00A70A84" w:rsidP="004038B5">
      <w:pPr>
        <w:spacing w:after="0" w:line="360" w:lineRule="auto"/>
        <w:jc w:val="both"/>
        <w:outlineLvl w:val="0"/>
        <w:rPr>
          <w:rFonts w:ascii="Arial" w:hAnsi="Arial" w:cs="Arial"/>
          <w:b/>
          <w:lang w:val="en-US"/>
        </w:rPr>
      </w:pPr>
      <w:r w:rsidRPr="00CB1C44">
        <w:rPr>
          <w:rFonts w:ascii="Arial" w:hAnsi="Arial" w:cs="Arial"/>
          <w:b/>
          <w:lang w:val="en-US"/>
        </w:rPr>
        <w:lastRenderedPageBreak/>
        <w:t>3</w:t>
      </w:r>
      <w:r w:rsidR="00551615" w:rsidRPr="00CB1C44">
        <w:rPr>
          <w:rFonts w:ascii="Arial" w:hAnsi="Arial" w:cs="Arial"/>
          <w:b/>
          <w:lang w:val="en-US"/>
        </w:rPr>
        <w:t>.</w:t>
      </w:r>
      <w:r w:rsidR="00AF2F6B" w:rsidRPr="00CB1C44">
        <w:rPr>
          <w:rFonts w:ascii="Arial" w:hAnsi="Arial" w:cs="Arial"/>
          <w:b/>
          <w:lang w:val="en-US"/>
        </w:rPr>
        <w:t xml:space="preserve"> </w:t>
      </w:r>
      <w:r w:rsidR="00D5252F" w:rsidRPr="00CB1C44">
        <w:rPr>
          <w:rFonts w:ascii="Arial" w:hAnsi="Arial" w:cs="Arial"/>
          <w:b/>
          <w:lang w:val="en-US"/>
        </w:rPr>
        <w:t xml:space="preserve">THE NRF2-RELATED PATHWAYS IN </w:t>
      </w:r>
      <w:r w:rsidR="00771B32" w:rsidRPr="00CB1C44">
        <w:rPr>
          <w:rFonts w:ascii="Arial" w:hAnsi="Arial" w:cs="Arial"/>
          <w:b/>
          <w:lang w:val="en-US"/>
        </w:rPr>
        <w:t>NEURODEGENERATIVE DISORDERS</w:t>
      </w:r>
    </w:p>
    <w:p w14:paraId="321D8700" w14:textId="4F37909D" w:rsidR="00592C9B" w:rsidRPr="00CB1C44" w:rsidRDefault="00402DFF" w:rsidP="00BB52DF">
      <w:pPr>
        <w:spacing w:after="0" w:line="360" w:lineRule="auto"/>
        <w:jc w:val="both"/>
        <w:rPr>
          <w:rFonts w:ascii="Arial" w:hAnsi="Arial" w:cs="Arial"/>
          <w:lang w:val="en-US"/>
        </w:rPr>
      </w:pPr>
      <w:r w:rsidRPr="00CB1C44">
        <w:rPr>
          <w:rFonts w:ascii="Arial" w:hAnsi="Arial" w:cs="Arial"/>
          <w:lang w:val="en-US"/>
        </w:rPr>
        <w:t>NDD</w:t>
      </w:r>
      <w:r w:rsidR="00222FF7" w:rsidRPr="00CB1C44">
        <w:rPr>
          <w:rFonts w:ascii="Arial" w:hAnsi="Arial" w:cs="Arial"/>
          <w:lang w:val="en-US"/>
        </w:rPr>
        <w:t xml:space="preserve"> </w:t>
      </w:r>
      <w:r w:rsidR="005679E9" w:rsidRPr="00CB1C44">
        <w:rPr>
          <w:rFonts w:ascii="Arial" w:hAnsi="Arial" w:cs="Arial"/>
          <w:lang w:val="en-US"/>
        </w:rPr>
        <w:t xml:space="preserve">share </w:t>
      </w:r>
      <w:r w:rsidR="00F26A26" w:rsidRPr="00CB1C44">
        <w:rPr>
          <w:rFonts w:ascii="Arial" w:hAnsi="Arial" w:cs="Arial"/>
          <w:lang w:val="en-US"/>
        </w:rPr>
        <w:t>increased generation of ROS/RNS</w:t>
      </w:r>
      <w:r w:rsidR="005679E9" w:rsidRPr="00CB1C44">
        <w:rPr>
          <w:rFonts w:ascii="Arial" w:hAnsi="Arial" w:cs="Arial"/>
          <w:lang w:val="en-US"/>
        </w:rPr>
        <w:t xml:space="preserve"> as common feature</w:t>
      </w:r>
      <w:r w:rsidR="00F26A26" w:rsidRPr="00CB1C44">
        <w:rPr>
          <w:rFonts w:ascii="Arial" w:hAnsi="Arial" w:cs="Arial"/>
          <w:lang w:val="en-US"/>
        </w:rPr>
        <w:t>s</w:t>
      </w:r>
      <w:r w:rsidR="005679E9" w:rsidRPr="00CB1C44">
        <w:rPr>
          <w:rFonts w:ascii="Arial" w:hAnsi="Arial" w:cs="Arial"/>
          <w:lang w:val="en-US"/>
        </w:rPr>
        <w:t xml:space="preserve"> of </w:t>
      </w:r>
      <w:r w:rsidR="00D43722" w:rsidRPr="00CB1C44">
        <w:rPr>
          <w:rFonts w:ascii="Arial" w:hAnsi="Arial" w:cs="Arial"/>
          <w:lang w:val="en-US"/>
        </w:rPr>
        <w:t>patholog</w:t>
      </w:r>
      <w:r w:rsidR="00F26A26" w:rsidRPr="00CB1C44">
        <w:rPr>
          <w:rFonts w:ascii="Arial" w:hAnsi="Arial" w:cs="Arial"/>
          <w:lang w:val="en-US"/>
        </w:rPr>
        <w:t>ical</w:t>
      </w:r>
      <w:r w:rsidR="00D43722" w:rsidRPr="00CB1C44">
        <w:rPr>
          <w:rFonts w:ascii="Arial" w:hAnsi="Arial" w:cs="Arial"/>
          <w:lang w:val="en-US"/>
        </w:rPr>
        <w:t xml:space="preserve"> progression. In this section, we briefly review the evidences </w:t>
      </w:r>
      <w:r w:rsidR="00551615" w:rsidRPr="00CB1C44">
        <w:rPr>
          <w:rFonts w:ascii="Arial" w:hAnsi="Arial" w:cs="Arial"/>
          <w:lang w:val="en-US"/>
        </w:rPr>
        <w:t>for</w:t>
      </w:r>
      <w:r w:rsidR="00D43722" w:rsidRPr="00CB1C44">
        <w:rPr>
          <w:rFonts w:ascii="Arial" w:hAnsi="Arial" w:cs="Arial"/>
          <w:lang w:val="en-US"/>
        </w:rPr>
        <w:t xml:space="preserve"> oxidative stress and </w:t>
      </w:r>
      <w:r w:rsidR="00691B0E" w:rsidRPr="00CB1C44">
        <w:rPr>
          <w:rFonts w:ascii="Arial" w:hAnsi="Arial" w:cs="Arial"/>
          <w:lang w:val="en-US"/>
        </w:rPr>
        <w:t>Nrf2 pathway deregulation in AD and</w:t>
      </w:r>
      <w:r w:rsidR="00D43722" w:rsidRPr="00CB1C44">
        <w:rPr>
          <w:rFonts w:ascii="Arial" w:hAnsi="Arial" w:cs="Arial"/>
          <w:lang w:val="en-US"/>
        </w:rPr>
        <w:t xml:space="preserve"> PD, the most </w:t>
      </w:r>
      <w:r w:rsidR="008B333E" w:rsidRPr="00CB1C44">
        <w:rPr>
          <w:rFonts w:ascii="Arial" w:hAnsi="Arial" w:cs="Arial"/>
          <w:lang w:val="en-US"/>
        </w:rPr>
        <w:t xml:space="preserve">common </w:t>
      </w:r>
      <w:r w:rsidR="00F26A26" w:rsidRPr="00CB1C44">
        <w:rPr>
          <w:rFonts w:ascii="Arial" w:hAnsi="Arial" w:cs="Arial"/>
          <w:lang w:val="en-US"/>
        </w:rPr>
        <w:t xml:space="preserve">age-dependent </w:t>
      </w:r>
      <w:r w:rsidR="008B333E" w:rsidRPr="00CB1C44">
        <w:rPr>
          <w:rFonts w:ascii="Arial" w:hAnsi="Arial" w:cs="Arial"/>
          <w:lang w:val="en-US"/>
        </w:rPr>
        <w:t xml:space="preserve">neurodegenerative diseases. Moreover, we </w:t>
      </w:r>
      <w:r w:rsidR="00736D32" w:rsidRPr="00CB1C44">
        <w:rPr>
          <w:rFonts w:ascii="Arial" w:hAnsi="Arial" w:cs="Arial"/>
          <w:lang w:val="en-US"/>
        </w:rPr>
        <w:t>describe</w:t>
      </w:r>
      <w:r w:rsidR="00870439" w:rsidRPr="00CB1C44">
        <w:rPr>
          <w:rFonts w:ascii="Arial" w:hAnsi="Arial" w:cs="Arial"/>
          <w:lang w:val="en-US"/>
        </w:rPr>
        <w:t xml:space="preserve"> in detail the evidences </w:t>
      </w:r>
      <w:r w:rsidR="00551615" w:rsidRPr="00CB1C44">
        <w:rPr>
          <w:rFonts w:ascii="Arial" w:hAnsi="Arial" w:cs="Arial"/>
          <w:lang w:val="en-US"/>
        </w:rPr>
        <w:t>for</w:t>
      </w:r>
      <w:r w:rsidR="00870439" w:rsidRPr="00CB1C44">
        <w:rPr>
          <w:rFonts w:ascii="Arial" w:hAnsi="Arial" w:cs="Arial"/>
          <w:lang w:val="en-US"/>
        </w:rPr>
        <w:t xml:space="preserve"> Nrf2</w:t>
      </w:r>
      <w:r w:rsidR="00B214C5" w:rsidRPr="00CB1C44">
        <w:rPr>
          <w:rFonts w:ascii="Arial" w:hAnsi="Arial" w:cs="Arial"/>
          <w:lang w:val="en-US"/>
        </w:rPr>
        <w:t>-regulator pathways</w:t>
      </w:r>
      <w:r w:rsidR="00870439" w:rsidRPr="00CB1C44">
        <w:rPr>
          <w:rFonts w:ascii="Arial" w:hAnsi="Arial" w:cs="Arial"/>
          <w:lang w:val="en-US"/>
        </w:rPr>
        <w:t xml:space="preserve"> </w:t>
      </w:r>
      <w:r w:rsidR="008C364B" w:rsidRPr="00CB1C44">
        <w:rPr>
          <w:rFonts w:ascii="Arial" w:hAnsi="Arial" w:cs="Arial"/>
          <w:lang w:val="en-US"/>
        </w:rPr>
        <w:t>as</w:t>
      </w:r>
      <w:r w:rsidR="00870439" w:rsidRPr="00CB1C44">
        <w:rPr>
          <w:rFonts w:ascii="Arial" w:hAnsi="Arial" w:cs="Arial"/>
          <w:lang w:val="en-US"/>
        </w:rPr>
        <w:t xml:space="preserve"> </w:t>
      </w:r>
      <w:r w:rsidR="008C364B" w:rsidRPr="00CB1C44">
        <w:rPr>
          <w:rFonts w:ascii="Arial" w:hAnsi="Arial" w:cs="Arial"/>
          <w:lang w:val="en-US"/>
        </w:rPr>
        <w:t xml:space="preserve">potential </w:t>
      </w:r>
      <w:r w:rsidR="00870439" w:rsidRPr="00CB1C44">
        <w:rPr>
          <w:rFonts w:ascii="Arial" w:hAnsi="Arial" w:cs="Arial"/>
          <w:lang w:val="en-US"/>
        </w:rPr>
        <w:t xml:space="preserve">therapeutic </w:t>
      </w:r>
      <w:r w:rsidR="008C364B" w:rsidRPr="00CB1C44">
        <w:rPr>
          <w:rFonts w:ascii="Arial" w:hAnsi="Arial" w:cs="Arial"/>
          <w:lang w:val="en-US"/>
        </w:rPr>
        <w:t xml:space="preserve">targets </w:t>
      </w:r>
      <w:r w:rsidR="00870439" w:rsidRPr="00CB1C44">
        <w:rPr>
          <w:rFonts w:ascii="Arial" w:hAnsi="Arial" w:cs="Arial"/>
          <w:lang w:val="en-US"/>
        </w:rPr>
        <w:t xml:space="preserve">in </w:t>
      </w:r>
      <w:r w:rsidR="00F26A26" w:rsidRPr="00CB1C44">
        <w:rPr>
          <w:rFonts w:ascii="Arial" w:hAnsi="Arial" w:cs="Arial"/>
          <w:lang w:val="en-US"/>
        </w:rPr>
        <w:t>these</w:t>
      </w:r>
      <w:r w:rsidR="00870439" w:rsidRPr="00CB1C44">
        <w:rPr>
          <w:rFonts w:ascii="Arial" w:hAnsi="Arial" w:cs="Arial"/>
          <w:lang w:val="en-US"/>
        </w:rPr>
        <w:t xml:space="preserve"> disease</w:t>
      </w:r>
      <w:r w:rsidR="00F26A26" w:rsidRPr="00CB1C44">
        <w:rPr>
          <w:rFonts w:ascii="Arial" w:hAnsi="Arial" w:cs="Arial"/>
          <w:lang w:val="en-US"/>
        </w:rPr>
        <w:t>s</w:t>
      </w:r>
      <w:r w:rsidR="00870439" w:rsidRPr="00CB1C44">
        <w:rPr>
          <w:rFonts w:ascii="Arial" w:hAnsi="Arial" w:cs="Arial"/>
          <w:lang w:val="en-US"/>
        </w:rPr>
        <w:t>.</w:t>
      </w:r>
    </w:p>
    <w:p w14:paraId="217D1249" w14:textId="77777777" w:rsidR="00BB52DF" w:rsidRPr="00CB1C44" w:rsidRDefault="00BB52DF" w:rsidP="004038B5">
      <w:pPr>
        <w:spacing w:after="0" w:line="360" w:lineRule="auto"/>
        <w:jc w:val="both"/>
        <w:rPr>
          <w:rFonts w:ascii="Arial" w:hAnsi="Arial" w:cs="Arial"/>
          <w:lang w:val="en-US"/>
        </w:rPr>
      </w:pPr>
    </w:p>
    <w:p w14:paraId="31D0D9E7" w14:textId="7BB9DD26" w:rsidR="00DD4292" w:rsidRPr="00CB1C44" w:rsidRDefault="00A70A84" w:rsidP="004038B5">
      <w:pPr>
        <w:spacing w:after="0" w:line="360" w:lineRule="auto"/>
        <w:jc w:val="both"/>
        <w:outlineLvl w:val="0"/>
        <w:rPr>
          <w:rFonts w:ascii="Arial" w:hAnsi="Arial" w:cs="Arial"/>
          <w:b/>
          <w:lang w:val="en-US"/>
        </w:rPr>
      </w:pPr>
      <w:r w:rsidRPr="00CB1C44">
        <w:rPr>
          <w:rFonts w:ascii="Arial" w:hAnsi="Arial" w:cs="Arial"/>
          <w:b/>
          <w:lang w:val="en-US"/>
        </w:rPr>
        <w:t>3</w:t>
      </w:r>
      <w:r w:rsidR="00AF2F6B" w:rsidRPr="00CB1C44">
        <w:rPr>
          <w:rFonts w:ascii="Arial" w:hAnsi="Arial" w:cs="Arial"/>
          <w:b/>
          <w:lang w:val="en-US"/>
        </w:rPr>
        <w:t>.1</w:t>
      </w:r>
      <w:r w:rsidR="0073277C" w:rsidRPr="00CB1C44">
        <w:rPr>
          <w:rFonts w:ascii="Arial" w:hAnsi="Arial" w:cs="Arial"/>
          <w:b/>
          <w:lang w:val="en-US"/>
        </w:rPr>
        <w:t xml:space="preserve"> </w:t>
      </w:r>
      <w:r w:rsidR="003B2E5F" w:rsidRPr="00CB1C44">
        <w:rPr>
          <w:rFonts w:ascii="Arial" w:hAnsi="Arial" w:cs="Arial"/>
          <w:b/>
          <w:lang w:val="en-US"/>
        </w:rPr>
        <w:t xml:space="preserve">Alzheimer’s disease and </w:t>
      </w:r>
      <w:r w:rsidR="00A02C30" w:rsidRPr="00CB1C44">
        <w:rPr>
          <w:rFonts w:ascii="Arial" w:hAnsi="Arial" w:cs="Arial"/>
          <w:b/>
          <w:lang w:val="en-US"/>
        </w:rPr>
        <w:t>Oxidative Stress</w:t>
      </w:r>
    </w:p>
    <w:p w14:paraId="344430A9" w14:textId="2B9A6D63" w:rsidR="0073277C" w:rsidRPr="00CB1C44" w:rsidRDefault="00373487" w:rsidP="004038B5">
      <w:pPr>
        <w:spacing w:after="0" w:line="360" w:lineRule="auto"/>
        <w:jc w:val="both"/>
        <w:rPr>
          <w:rFonts w:ascii="Arial" w:hAnsi="Arial" w:cs="Arial"/>
          <w:lang w:val="en-US"/>
        </w:rPr>
      </w:pPr>
      <w:r w:rsidRPr="00CB1C44">
        <w:rPr>
          <w:rFonts w:ascii="Arial" w:hAnsi="Arial" w:cs="Arial"/>
          <w:lang w:val="en-US"/>
        </w:rPr>
        <w:t>AD is an age-related progressive neurodegenerative disease and the most common cause of dementia worldwide, affecting 10% of the population over the age of 65</w:t>
      </w:r>
      <w:r w:rsidR="005B7C66" w:rsidRPr="00CB1C44">
        <w:rPr>
          <w:rFonts w:ascii="Arial" w:hAnsi="Arial" w:cs="Arial"/>
          <w:lang w:val="en-US"/>
        </w:rPr>
        <w:t>,</w:t>
      </w:r>
      <w:r w:rsidRPr="00CB1C44">
        <w:rPr>
          <w:rFonts w:ascii="Arial" w:hAnsi="Arial" w:cs="Arial"/>
          <w:lang w:val="en-US"/>
        </w:rPr>
        <w:t xml:space="preserve"> and 30-50% of the population over the age of 85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{"citationItems":[{"id":"ITEM-1","itemData":{"DOI":"10.3389/fnagi.2016.00031","ISSN":"16634365","PMID":"26941642","abstract":"Alzheimer's disease (AD) is characterized pathologically by the deposition of β-amyloid peptides (Aβ) and the accumulation of neurofibrillary tangles (NFTs) composed of hyper-phosphorylated tau. Regardless of the pathological hallmarks, synaptic dysfunction is widely accepted as a causal event in AD. Of the two major types of synapses in the central nervous system (CNS): glutamatergic and GABAergic, which provide excitatory and inhibitory outputs respectively, abundant data implicate an impaired glutamatergic system during disease progression. However, emerging evidence supports the notion that disrupted default neuronal network underlies impaired memory, and that alterations of GABAergic circuits, either plays a primary role or as a compensatory response to excitotoxicity, may also contribute to AD by disrupting the overall network function. The goal of this review is to provide an overview of the involvement of Aβ, tau and apolipoprotein E4 (apoE4), the major genetic risk factor in late-onset AD (LOAD), in GABAergic neurotransmission and the potential of modulating the GABAergic function as AD therapy.","author":[{"dropping-particle":"","family":"Li","given":"Yanfang","non-dropping-particle":"","parse-names":false,"suffix":""},{"dropping-particle":"","family":"Sun","given":"Hao","non-dropping-particle":"","parse-names":false,"suffix":""},{"dropping-particle":"","family":"Chen","given":"Zhicai","non-dropping-particle":"","parse-names":false,"suffix":""},{"dropping-particle":"","family":"Xu","given":"Huaxi","non-dropping-particle":"","parse-names":false,"suffix":""},{"dropping-particle":"","family":"Bu","given":"Guojun","non-dropping-particle":"","parse-names":false,"suffix":""},{"dropping-particle":"","family":"Zheng","given":"Hui","non-dropping-particle":"","parse-names":false,"suffix":""}],"container-title":"Frontiers in Aging Neuroscience","id":"ITEM-1","issue":"FEB","issued":{"date-parts":[["2016"]]},"title":"Implications of GABAergic neurotransmission in Alzheimer's disease","type":"article","volume":"8"},"uris":["http://www.mendeley.com/documents/?uuid=7984dab1-b8ca-415b-9c1c-6677348752fc"]}],"mendeley":{"formattedCitation":"(Li et al., 2016)","manualFormatting":"(Li et al., 2016)","plainTextFormattedCitation":"(Li et al., 2016)","previouslyFormattedCitation":"(Li et al., 2016)"},"properties":{"noteIndex":0},"schema":"https://github.com/citation-style-language/schema/raw/master/csl-citation.json"}</w:instrText>
      </w:r>
      <w:r w:rsidR="00844011" w:rsidRPr="00CB1C44">
        <w:rPr>
          <w:rFonts w:ascii="Arial" w:hAnsi="Arial" w:cs="Arial"/>
          <w:lang w:val="en-US"/>
        </w:rPr>
        <w:fldChar w:fldCharType="separate"/>
      </w:r>
      <w:r w:rsidRPr="00CB1C44">
        <w:rPr>
          <w:rFonts w:ascii="Arial" w:hAnsi="Arial" w:cs="Arial"/>
          <w:noProof/>
          <w:lang w:val="en-US"/>
        </w:rPr>
        <w:t>(Li et al., 2016)</w:t>
      </w:r>
      <w:r w:rsidR="00844011" w:rsidRPr="00CB1C44">
        <w:rPr>
          <w:rFonts w:ascii="Arial" w:hAnsi="Arial" w:cs="Arial"/>
          <w:lang w:val="en-US"/>
        </w:rPr>
        <w:fldChar w:fldCharType="end"/>
      </w:r>
      <w:r w:rsidRPr="00CB1C44">
        <w:rPr>
          <w:rFonts w:ascii="Arial" w:hAnsi="Arial" w:cs="Arial"/>
          <w:lang w:val="en-US"/>
        </w:rPr>
        <w:t xml:space="preserve">. AD is </w:t>
      </w:r>
      <w:r w:rsidR="00482A7C" w:rsidRPr="00CB1C44">
        <w:rPr>
          <w:rFonts w:ascii="Arial" w:hAnsi="Arial" w:cs="Arial"/>
          <w:lang w:val="en-US"/>
        </w:rPr>
        <w:t xml:space="preserve">characterized by </w:t>
      </w:r>
      <w:r w:rsidR="00CE4841" w:rsidRPr="00CB1C44">
        <w:rPr>
          <w:rFonts w:ascii="Arial" w:hAnsi="Arial" w:cs="Arial"/>
          <w:lang w:val="en-US"/>
        </w:rPr>
        <w:t xml:space="preserve">a </w:t>
      </w:r>
      <w:r w:rsidR="00482A7C" w:rsidRPr="00CB1C44">
        <w:rPr>
          <w:rFonts w:ascii="Arial" w:hAnsi="Arial" w:cs="Arial"/>
          <w:lang w:val="en-US"/>
        </w:rPr>
        <w:t xml:space="preserve">failure </w:t>
      </w:r>
      <w:r w:rsidR="00551615" w:rsidRPr="00CB1C44">
        <w:rPr>
          <w:rFonts w:ascii="Arial" w:hAnsi="Arial" w:cs="Arial"/>
          <w:lang w:val="en-US"/>
        </w:rPr>
        <w:t xml:space="preserve">in neuronal </w:t>
      </w:r>
      <w:r w:rsidR="00CE4841" w:rsidRPr="00CB1C44">
        <w:rPr>
          <w:rFonts w:ascii="Arial" w:hAnsi="Arial" w:cs="Arial"/>
          <w:lang w:val="en-US"/>
        </w:rPr>
        <w:t xml:space="preserve">and synaptic </w:t>
      </w:r>
      <w:r w:rsidR="00551615" w:rsidRPr="00CB1C44">
        <w:rPr>
          <w:rFonts w:ascii="Arial" w:hAnsi="Arial" w:cs="Arial"/>
          <w:lang w:val="en-US"/>
        </w:rPr>
        <w:t>integrity</w:t>
      </w:r>
      <w:r w:rsidR="0095731D" w:rsidRPr="00CB1C44">
        <w:rPr>
          <w:rFonts w:ascii="Arial" w:hAnsi="Arial" w:cs="Arial"/>
          <w:lang w:val="en-US"/>
        </w:rPr>
        <w:t>, leading to</w:t>
      </w:r>
      <w:r w:rsidR="00482A7C" w:rsidRPr="00CB1C44">
        <w:rPr>
          <w:rFonts w:ascii="Arial" w:hAnsi="Arial" w:cs="Arial"/>
          <w:lang w:val="en-US"/>
        </w:rPr>
        <w:t xml:space="preserve"> memory impairment</w:t>
      </w:r>
      <w:r w:rsidR="0095731D" w:rsidRPr="00CB1C44">
        <w:rPr>
          <w:rFonts w:ascii="Arial" w:hAnsi="Arial" w:cs="Arial"/>
          <w:lang w:val="en-US"/>
        </w:rPr>
        <w:t xml:space="preserve"> and generalized</w:t>
      </w:r>
      <w:r w:rsidR="00482A7C" w:rsidRPr="00CB1C44">
        <w:rPr>
          <w:rFonts w:ascii="Arial" w:hAnsi="Arial" w:cs="Arial"/>
          <w:lang w:val="en-US"/>
        </w:rPr>
        <w:t xml:space="preserve"> cognitive decline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{"citationItems":[{"id":"ITEM-1","itemData":{"DOI":"10.1056/NEJMra040223","ISBN":"0387232257","ISSN":"1533-4406","PMID":"15229308","abstract":"Alzheimer’s disease is a progressive and fatal neurodegenerative disorder manifested by cognitive and memory deterioration, progressive impairment of activities of daily living, and a variety of neuropsychiatric symptoms and behavioral disturbances. Prevalence studies suggest that in 2000 the number of persons with Alzheimer’s disease in the United States was 4.5 million. The percentage of persons with Alzheimer’s disease increases by a factor of two with approximately every five years of age, meaning that 1 percent of 60-year-olds and about 30 percent of 85-year-olds have the disease. Without advances in therapy, the number of symptomatic cases in the United States is predicted to rise to 13.2 million by 2050. The cost of caring for patients with Alzheimer’s disease is extraordinary; annual expenditures total $83.9 billion (in 1996 U.S. dollars). These figures underscore the urgency of seeking more effective therapeutic interventions for patients with Alzheimer’s disease. Treatment of Alzheimer’s disease includes five major components: neuroprotective strategies, cholinesterase inhibitors, nonpharmacologic interventions and psychopharmacologic agents to reduce behavioral disturbances, health maintenance activities, and an alliance between clinicians and family members and other caregivers responsible for the patient. Treatment requires accurate diagnosis and increasingly is based on an understanding of the pathophysiology of the disease.","author":[{"dropping-particle":"","family":"Cummings","given":"Jeffrey L","non-dropping-particle":"","parse-names":false,"suffix":""}],"container-title":"The New England Journal of Medicine","id":"ITEM-1","issue":"1","issued":{"date-parts":[["2004"]]},"page":"56-67","title":"Alzheimer’s Disease.","type":"article-journal","volume":"351"},"uris":["http://www.mendeley.com/documents/?uuid=f0176bf7-7164-417f-adbe-dc01c1ce7db2"]}],"mendeley":{"formattedCitation":"(Cummings, 2004)","plainTextFormattedCitation":"(Cummings, 2004)","previouslyFormattedCitation":"(Cummings,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(Cummings, 2004)</w:t>
      </w:r>
      <w:r w:rsidR="00844011" w:rsidRPr="00CB1C44">
        <w:rPr>
          <w:rFonts w:ascii="Arial" w:hAnsi="Arial" w:cs="Arial"/>
          <w:lang w:val="en-US"/>
        </w:rPr>
        <w:fldChar w:fldCharType="end"/>
      </w:r>
      <w:r w:rsidR="00482A7C" w:rsidRPr="00CB1C44">
        <w:rPr>
          <w:rFonts w:ascii="Arial" w:hAnsi="Arial" w:cs="Arial"/>
          <w:lang w:val="en-US"/>
        </w:rPr>
        <w:t xml:space="preserve">. </w:t>
      </w:r>
      <w:r w:rsidRPr="00CB1C44">
        <w:rPr>
          <w:rFonts w:ascii="Arial" w:hAnsi="Arial" w:cs="Arial"/>
          <w:lang w:val="en-US"/>
        </w:rPr>
        <w:t xml:space="preserve">The major histological hallmarks </w:t>
      </w:r>
      <w:r w:rsidR="0095731D" w:rsidRPr="00CB1C44">
        <w:rPr>
          <w:rFonts w:ascii="Arial" w:hAnsi="Arial" w:cs="Arial"/>
          <w:lang w:val="en-US"/>
        </w:rPr>
        <w:t>in</w:t>
      </w:r>
      <w:r w:rsidRPr="00CB1C44">
        <w:rPr>
          <w:rFonts w:ascii="Arial" w:hAnsi="Arial" w:cs="Arial"/>
          <w:lang w:val="en-US"/>
        </w:rPr>
        <w:t xml:space="preserve"> AD are the accumulation of extracellular amyloid plaques</w:t>
      </w:r>
      <w:r w:rsidR="00482A7C" w:rsidRPr="00CB1C44">
        <w:rPr>
          <w:rFonts w:ascii="Arial" w:hAnsi="Arial" w:cs="Arial"/>
          <w:lang w:val="en-US"/>
        </w:rPr>
        <w:t xml:space="preserve">, </w:t>
      </w:r>
      <w:r w:rsidR="003A6763" w:rsidRPr="00CB1C44">
        <w:rPr>
          <w:rFonts w:ascii="Arial" w:hAnsi="Arial" w:cs="Arial"/>
          <w:lang w:val="en-US"/>
        </w:rPr>
        <w:t xml:space="preserve">i.e. </w:t>
      </w:r>
      <w:r w:rsidR="00482A7C" w:rsidRPr="00CB1C44">
        <w:rPr>
          <w:rFonts w:ascii="Arial" w:hAnsi="Arial" w:cs="Arial"/>
          <w:lang w:val="en-US"/>
        </w:rPr>
        <w:t>amyloid beta peptide (Aβ) that deposit</w:t>
      </w:r>
      <w:r w:rsidR="0095731D" w:rsidRPr="00CB1C44">
        <w:rPr>
          <w:rFonts w:ascii="Arial" w:hAnsi="Arial" w:cs="Arial"/>
          <w:lang w:val="en-US"/>
        </w:rPr>
        <w:t>s</w:t>
      </w:r>
      <w:r w:rsidR="00482A7C" w:rsidRPr="00CB1C44">
        <w:rPr>
          <w:rFonts w:ascii="Arial" w:hAnsi="Arial" w:cs="Arial"/>
          <w:lang w:val="en-US"/>
        </w:rPr>
        <w:t xml:space="preserve"> outside neurons,</w:t>
      </w:r>
      <w:r w:rsidRPr="00CB1C44">
        <w:rPr>
          <w:rFonts w:ascii="Arial" w:hAnsi="Arial" w:cs="Arial"/>
          <w:lang w:val="en-US"/>
        </w:rPr>
        <w:t xml:space="preserve"> and intracellular neurofibrillary tangles (NFT)</w:t>
      </w:r>
      <w:r w:rsidR="00482A7C" w:rsidRPr="00CB1C44">
        <w:rPr>
          <w:rFonts w:ascii="Arial" w:hAnsi="Arial" w:cs="Arial"/>
          <w:lang w:val="en-US"/>
        </w:rPr>
        <w:t xml:space="preserve">, which consist in </w:t>
      </w:r>
      <w:r w:rsidR="00F26A26" w:rsidRPr="00CB1C44">
        <w:rPr>
          <w:rFonts w:ascii="Arial" w:hAnsi="Arial" w:cs="Arial"/>
          <w:lang w:val="en-US"/>
        </w:rPr>
        <w:t xml:space="preserve">the </w:t>
      </w:r>
      <w:r w:rsidR="00482A7C" w:rsidRPr="00CB1C44">
        <w:rPr>
          <w:rFonts w:ascii="Arial" w:hAnsi="Arial" w:cs="Arial"/>
          <w:lang w:val="en-US"/>
        </w:rPr>
        <w:t xml:space="preserve">accumulation </w:t>
      </w:r>
      <w:r w:rsidR="0095731D" w:rsidRPr="00CB1C44">
        <w:rPr>
          <w:rFonts w:ascii="Arial" w:hAnsi="Arial" w:cs="Arial"/>
          <w:lang w:val="en-US"/>
        </w:rPr>
        <w:t xml:space="preserve">of abnormal hyperphosphorylated tau protein </w:t>
      </w:r>
      <w:r w:rsidR="00482A7C" w:rsidRPr="00CB1C44">
        <w:rPr>
          <w:rFonts w:ascii="Arial" w:hAnsi="Arial" w:cs="Arial"/>
          <w:lang w:val="en-US"/>
        </w:rPr>
        <w:t>in nerve cell</w:t>
      </w:r>
      <w:r w:rsidR="0095731D" w:rsidRPr="00CB1C44">
        <w:rPr>
          <w:rFonts w:ascii="Arial" w:hAnsi="Arial" w:cs="Arial"/>
          <w:lang w:val="en-US"/>
        </w:rPr>
        <w:t>s</w:t>
      </w:r>
      <w:r w:rsidR="00482A7C" w:rsidRPr="00CB1C44">
        <w:rPr>
          <w:rFonts w:ascii="Arial" w:hAnsi="Arial" w:cs="Arial"/>
          <w:lang w:val="en-US"/>
        </w:rPr>
        <w:t>,</w:t>
      </w:r>
      <w:r w:rsidRPr="00CB1C44">
        <w:rPr>
          <w:rFonts w:ascii="Arial" w:hAnsi="Arial" w:cs="Arial"/>
          <w:lang w:val="en-US"/>
        </w:rPr>
        <w:t xml:space="preserve"> </w:t>
      </w:r>
      <w:r w:rsidR="0095731D" w:rsidRPr="00CB1C44">
        <w:rPr>
          <w:rFonts w:ascii="Arial" w:hAnsi="Arial" w:cs="Arial"/>
          <w:lang w:val="en-US"/>
        </w:rPr>
        <w:t>largely affecting hippocampus</w:t>
      </w:r>
      <w:r w:rsidR="0095731D" w:rsidRPr="00CB1C44" w:rsidDel="0095731D">
        <w:rPr>
          <w:rFonts w:ascii="Arial" w:hAnsi="Arial" w:cs="Arial"/>
          <w:lang w:val="en-US"/>
        </w:rPr>
        <w:t xml:space="preserve"> </w:t>
      </w:r>
      <w:r w:rsidR="0095731D" w:rsidRPr="00CB1C44">
        <w:rPr>
          <w:rFonts w:ascii="Arial" w:hAnsi="Arial" w:cs="Arial"/>
          <w:lang w:val="en-US"/>
        </w:rPr>
        <w:t>and the</w:t>
      </w:r>
      <w:r w:rsidRPr="00CB1C44">
        <w:rPr>
          <w:rFonts w:ascii="Arial" w:hAnsi="Arial" w:cs="Arial"/>
          <w:lang w:val="en-US"/>
        </w:rPr>
        <w:t xml:space="preserve"> cortex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{"citationItems":[{"id":"ITEM-1","itemData":{"DOI":"10.2119/2007-00100.Irvine","ISBN":"4428909721","ISSN":"1076-1551","PMID":"18368143","abstract":"Developing effective treatments for neurodegenerative diseases is one of the greatest medical challenges of the 21st century. Although many of these clinical entities have been recognized for more than a hundred years, it is only during the past twenty years that the molecular events that precipitate disease have begun to be understood. Protein aggregation is a common feature of many neurodegenerative diseases, and it is assumed that the aggregation process plays a central role in pathogenesis. In this process, one molecule (monomer) of a soluble protein interacts with other monomers of the same protein to form dimers, oligomers, and polymers. Conformation changes in three-dimensional structure of the protein, especially the formation of β-strands, often accompany the process. Eventually, as the size of the aggregates increases, they may precipitate as insoluble amyloid fibrils, in which the structure is stabilized by the β-strands interacting within a β-sheet. In this review, we discuss this theme as it relates to the two most common neurodegenerative conditions—Alzheimer’s and Parkinson’s diseases.","author":[{"dropping-particle":"","family":"Irvine","given":"G Brent","non-dropping-particle":"","parse-names":false,"suffix":""},{"dropping-particle":"","family":"El-Agnaf","given":"Omar M","non-dropping-particle":"","parse-names":false,"suffix":""},{"dropping-particle":"","family":"Shankar","given":"Ganesh M","non-dropping-particle":"","parse-names":false,"suffix":""},{"dropping-particle":"","family":"Walsh","given":"Dominic M","non-dropping-particle":"","parse-names":false,"suffix":""}],"container-title":"Molecular Medicine","id":"ITEM-1","issue":"7-8","issued":{"date-parts":[["2008"]]},"page":"451-464","title":"Protein Aggregation in the Brain: The Molecular Basis for Alzheimer’s and Parkinson’s Diseases","type":"article-journal","volume":"14"},"uris":["http://www.mendeley.com/documents/?uuid=5aa04986-5641-4e8b-898f-08637976c0ed"]},{"id":"ITEM-2","itemData":{"DOI":"10.15252/emmm.201606210","ISBN":"1757-4684 (Electronic)\r1757-4676 (Linking)","ISSN":"1757-4684","PMID":"27025652","abstract":"Despite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early-onsetADoccur either in the substrate (amyloid precursor protein,APP) or the protease (presenilin) of the reaction that generates Aβ. Duplication of the wild-typeAPPgene in Down's syndrome leads to Aβ deposits in the teens, followed by microgliosis, astrocytosis, and neurofibrillary tangles typical ofAD Apolipoprotein E4, which predisposes toADin &gt; 40% of cases, has been found to impair Aβ clearance from the brain. Soluble oligomers of Aβ42 isolated fromADpatients' brains can decrease synapse number, inhibit long-term potentiation, and enhance long-term synaptic depression in rodent hippocampus, and injecting them into healthy rats impairs memory. The human oligomers also induce hyperphosphorylation of tau atAD-relevant epitopes and cause neuritic dystrophy in cultured neurons. Crossing humanAPPwith human tau transgenic mice enhances tau-positive neurotoxicity. In humans, new studies show that low cerebrospinal fluid (CSF) Aβ42 and amyloid-PETpositivity precede otherADmanifestations by many years. Most importantly, recent trials of three different Aβ antibodies (solanezumab, crenezumab, and aducanumab) have suggested a slowing of cognitive decline inpost hocanalyses of mildADsubjects. Although many factors contribute toADpathogenesis, Aβ dyshomeostasis has emerged as the most extensively validated and compelling therapeutic target.","author":[{"dropping-particle":"","family":"Selkoe","given":"Dennis J","non-dropping-particle":"","parse-names":false,"suffix":""},{"dropping-particle":"","family":"Hardy","given":"John","non-dropping-particle":"","parse-names":false,"suffix":""}],"container-title":"EMBO molecular medicine","id":"ITEM-2","issued":{"date-parts":[["2016"]]},"page":"1-14","title":"The amyloid hypothesis of Alzheimer's disease at 25 years.","type":"article-journal"},"uris":["http://www.mendeley.com/documents/?uuid=c065342c-e9e7-4865-b6e2-53664f939c44"]}],"mendeley":{"formattedCitation":"(Irvine et al., 2008; Selkoe and Hardy, 2016)","plainTextFormattedCitation":"(Irvine et al., 2008; Selkoe and Hardy, 2016)","previouslyFormattedCitation":"(Irvine et al., 2008; Selkoe and Hardy, 2016)"},"properties":{"noteIndex":0},"schema":"https://github.com/citation-style-language/schema/raw/master/csl-citation.json"}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(Irvine et al., 2008; Selkoe and Hardy, 2016)</w:t>
      </w:r>
      <w:r w:rsidR="00844011" w:rsidRPr="00CB1C44">
        <w:rPr>
          <w:rFonts w:ascii="Arial" w:hAnsi="Arial" w:cs="Arial"/>
          <w:lang w:val="en-US"/>
        </w:rPr>
        <w:fldChar w:fldCharType="end"/>
      </w:r>
      <w:r w:rsidR="00482A7C" w:rsidRPr="00CB1C44">
        <w:rPr>
          <w:rFonts w:ascii="Arial" w:hAnsi="Arial" w:cs="Arial"/>
          <w:lang w:val="en-US"/>
        </w:rPr>
        <w:t>.</w:t>
      </w:r>
      <w:r w:rsidR="008B247E" w:rsidRPr="00CB1C44">
        <w:rPr>
          <w:rFonts w:ascii="Arial" w:hAnsi="Arial" w:cs="Arial"/>
          <w:lang w:val="en-US"/>
        </w:rPr>
        <w:t xml:space="preserve"> </w:t>
      </w:r>
      <w:r w:rsidR="00C600C6" w:rsidRPr="00CB1C44">
        <w:rPr>
          <w:rFonts w:ascii="Arial" w:hAnsi="Arial" w:cs="Arial"/>
          <w:lang w:val="en-US"/>
        </w:rPr>
        <w:t xml:space="preserve">Aβ peptide results from the processing of </w:t>
      </w:r>
      <w:r w:rsidR="00C61D69" w:rsidRPr="00CB1C44">
        <w:rPr>
          <w:rFonts w:ascii="Arial" w:hAnsi="Arial" w:cs="Arial"/>
          <w:lang w:val="en-US"/>
        </w:rPr>
        <w:t>amyloid precursor protein (</w:t>
      </w:r>
      <w:r w:rsidR="00C600C6" w:rsidRPr="00CB1C44">
        <w:rPr>
          <w:rFonts w:ascii="Arial" w:hAnsi="Arial" w:cs="Arial"/>
          <w:lang w:val="en-US"/>
        </w:rPr>
        <w:t>APP</w:t>
      </w:r>
      <w:r w:rsidR="00C61D69" w:rsidRPr="00CB1C44">
        <w:rPr>
          <w:rFonts w:ascii="Arial" w:hAnsi="Arial" w:cs="Arial"/>
          <w:lang w:val="en-US"/>
        </w:rPr>
        <w:t>)</w:t>
      </w:r>
      <w:r w:rsidR="00C600C6" w:rsidRPr="00CB1C44">
        <w:rPr>
          <w:rFonts w:ascii="Arial" w:hAnsi="Arial" w:cs="Arial"/>
          <w:lang w:val="en-US"/>
        </w:rPr>
        <w:t xml:space="preserve"> by β-secretase (BACE) and </w:t>
      </w:r>
      <w:r w:rsidR="000831BE" w:rsidRPr="00CB1C44">
        <w:rPr>
          <w:rFonts w:ascii="Arial" w:hAnsi="Arial" w:cs="Arial"/>
          <w:lang w:val="en-US"/>
        </w:rPr>
        <w:sym w:font="Symbol" w:char="F067"/>
      </w:r>
      <w:r w:rsidR="00C600C6" w:rsidRPr="00CB1C44">
        <w:rPr>
          <w:rFonts w:ascii="Arial" w:hAnsi="Arial" w:cs="Arial"/>
          <w:lang w:val="en-US"/>
        </w:rPr>
        <w:t>-</w:t>
      </w:r>
      <w:r w:rsidR="0095731D" w:rsidRPr="00CB1C44">
        <w:rPr>
          <w:rFonts w:ascii="Arial" w:hAnsi="Arial" w:cs="Arial"/>
          <w:lang w:val="en-US"/>
        </w:rPr>
        <w:t>secretase</w:t>
      </w:r>
      <w:r w:rsidR="00C600C6"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{"citationItems":[{"id":"ITEM-1","itemData":{"DOI":"bi015794o [pii]","ISBN":"0006-2960 (Print)\\r0006-2960 (Linking)","ISSN":"0006-2960","PMID":"11851430","abstract":"Proteolytic processing of the transmembrane domain of the amyloid precursor protein (APP) is a key component of Alzheimer's disease pathogenesis. Using C-terminally tagged APP derivatives, we have identified by amino-terminal sequencing a novel cleavage site of APP, at Leu-49, distal to the gamma-secretase site. This was termed -cleavage. Brefeldin A treatment and pulse-chase experiments indicate that this cleavage occurs late in the secretory pathway. The level of -cleavage is decreased by expression of presenilin-1 mutants known to impair Abeta formation, and it is sensitive to the gamma-secretase inhibitors MDL28170 and L-685,458. Remarkably, it shares similarities with site 3 cleavage of Notch-1: membrane topology, cleavage before a valine, dependence on presenilins, and inhibition profile.","author":[{"dropping-particle":"","family":"Weidemann","given":"Andreas","non-dropping-particle":"","parse-names":false,"suffix":""},{"dropping-particle":"","family":"Eggert","given":"Simone","non-dropping-particle":"","parse-names":false,"suffix":""},{"dropping-particle":"","family":"Reinhard","given":"Friedrich B M","non-dropping-particle":"","parse-names":false,"suffix":""},{"dropping-particle":"","family":"Vogel","given":"Markus","non-dropping-particle":"","parse-names":false,"suffix":""},{"dropping-particle":"","family":"Paliga","given":"Krzysztof","non-dropping-particle":"","parse-names":false,"suffix":""},{"dropping-particle":"","family":"Baier","given":"Gottfried","non-dropping-particle":"","parse-names":false,"suffix":""},{"dropping-particle":"","family":"Masters","given":"Colin L","non-dropping-particle":"","parse-names":false,"suffix":""},{"dropping-particle":"","family":"Beyreuther","given":"Konrad","non-dropping-particle":"","parse-names":false,"suffix":""},{"dropping-particle":"","family":"Evin","given":"Geneviève","non-dropping-particle":"","parse-names":false,"suffix":""}],"container-title":"Biochemistry","id":"ITEM-1","issued":{"date-parts":[["2002"]]},"page":"2825-2835","title":"A novel epsilon-cleavage within the transmembrane domain of the Alzheimer amyloid precursor protein demonstrates homology with Notch processing.","type":"article-journal","volume":"41"},"uris":["http://www.mendeley.com/documents/?uuid=dbc09761-b513-486f-bd83-d53269f1ff7c"]}],"mendeley":{"formattedCitation":"(Weidemann et al., 2002)","plainTextFormattedCitation":"(Weidemann et al., 2002)","previouslyFormattedCitation":"(Weidemann et al., 2002)"},"properties":{"noteIndex":0},"schema":"https://github.com/citation-style-language/schema/raw/master/csl-citation.json"}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(Weidemann et al., 2002)</w:t>
      </w:r>
      <w:r w:rsidR="00844011" w:rsidRPr="00CB1C44">
        <w:rPr>
          <w:rFonts w:ascii="Arial" w:hAnsi="Arial" w:cs="Arial"/>
          <w:lang w:val="en-US"/>
        </w:rPr>
        <w:fldChar w:fldCharType="end"/>
      </w:r>
      <w:r w:rsidR="00C600C6" w:rsidRPr="00CB1C44">
        <w:rPr>
          <w:rFonts w:ascii="Arial" w:hAnsi="Arial" w:cs="Arial"/>
          <w:lang w:val="en-US"/>
        </w:rPr>
        <w:t xml:space="preserve"> </w:t>
      </w:r>
      <w:r w:rsidR="00324FB5" w:rsidRPr="00CB1C44">
        <w:rPr>
          <w:rFonts w:ascii="Arial" w:hAnsi="Arial" w:cs="Arial"/>
          <w:lang w:val="en-US"/>
        </w:rPr>
        <w:t>and has the ability</w:t>
      </w:r>
      <w:r w:rsidR="00C600C6" w:rsidRPr="00CB1C44">
        <w:rPr>
          <w:rFonts w:ascii="Arial" w:hAnsi="Arial" w:cs="Arial"/>
          <w:lang w:val="en-US"/>
        </w:rPr>
        <w:t xml:space="preserve"> to aggregate and form oligomers, participat</w:t>
      </w:r>
      <w:r w:rsidR="0095731D" w:rsidRPr="00CB1C44">
        <w:rPr>
          <w:rFonts w:ascii="Arial" w:hAnsi="Arial" w:cs="Arial"/>
          <w:lang w:val="en-US"/>
        </w:rPr>
        <w:t>ing</w:t>
      </w:r>
      <w:r w:rsidR="00324FB5" w:rsidRPr="00CB1C44">
        <w:rPr>
          <w:rFonts w:ascii="Arial" w:hAnsi="Arial" w:cs="Arial"/>
          <w:lang w:val="en-US"/>
        </w:rPr>
        <w:t xml:space="preserve"> </w:t>
      </w:r>
      <w:r w:rsidR="00C600C6" w:rsidRPr="00CB1C44">
        <w:rPr>
          <w:rFonts w:ascii="Arial" w:hAnsi="Arial" w:cs="Arial"/>
          <w:lang w:val="en-US"/>
        </w:rPr>
        <w:t xml:space="preserve">in neuronal death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{"citationItems":[{"id":"ITEM-1","itemData":{"DOI":"10.1016/S0166-2236(00)01749-5","ISBN":"0166-2236","ISSN":"01662236","PMID":"11250006","abstract":"Amyloid ?? (A??) is a small self-aggregating peptide produced at low levels by normal brain metabolism. In Alzheimer's disease (AD), self-aggregation of A ?? becomes rampant, manifested most strikingly as the amyloid fibrils of senile plaques. Because fibrils can kill neurons in culture, it has been argued that fibrils initiate the neurodegenerative cascades of AD. An emerging and different view, however, is that fibrils are not the only toxic form of A ??, and perhaps not the neurotoxin that is most relevant to AD: small oligomers and protofibrils also have potent neurological activity. Immuno-neutralization of soluble A ??-derived toxins might be the key to optimizing AD vaccines that are now on the horizon.","author":[{"dropping-particle":"","family":"Klein","given":"William L.","non-dropping-particle":"","parse-names":false,"suffix":""},{"dropping-particle":"","family":"Krafft","given":"Grant A.","non-dropping-particle":"","parse-names":false,"suffix":""},{"dropping-particle":"","family":"Finch","given":"Caleb E.","non-dropping-particle":"","parse-names":false,"suffix":""}],"container-title":"Trends in Neurosciences","id":"ITEM-1","issue":"4","issued":{"date-parts":[["2001"]]},"page":"219-224","title":"Targeting small A ?? oligomers: The solution to an Alzheimer's disease conundrum?","type":"article","volume":"24"},"uris":["http://www.mendeley.com/documents/?uuid=cc3695d6-2be7-4269-8a42-1694cc6f20f0"]}],"mendeley":{"formattedCitation":"(Klein et al., 2001)","plainTextFormattedCitation":"(Klein et al., 2001)","previouslyFormattedCitation":"(Klein et al., 2001)"},"properties":{"noteIndex":0},"schema":"https://github.com/citation-style-language/schema/raw/master/csl-citation.json"}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(Klein et al., 2001)</w:t>
      </w:r>
      <w:r w:rsidR="00844011" w:rsidRPr="00CB1C44">
        <w:rPr>
          <w:rFonts w:ascii="Arial" w:hAnsi="Arial" w:cs="Arial"/>
          <w:lang w:val="en-US"/>
        </w:rPr>
        <w:fldChar w:fldCharType="end"/>
      </w:r>
      <w:r w:rsidR="00C600C6" w:rsidRPr="00CB1C44">
        <w:rPr>
          <w:rFonts w:ascii="Arial" w:hAnsi="Arial" w:cs="Arial"/>
          <w:lang w:val="en-US"/>
        </w:rPr>
        <w:t xml:space="preserve"> and ROS production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{"citationItems":[{"id":"ITEM-1","itemData":{"DOI":"10.1038/nrn1434\\rnrn1434 [pii]","ISBN":"1078-8956 (Print)","ISSN":"1471-003X","PMID":"15298006","abstract":"Oxidative stress has long been linked to the neuronal cell death that is associated with certain neurodegenerative conditions. Whether it is a primary cause or merely a downstream consequence of the neurodegenerative process is still an open question, however. The advent of a growing number of in vitro and in vivo models that emulate human disease pathology is aiding scientists in deciphering just where oxidative stress intersects with other cellular events in the emerging roadmap leading to neurodegeneration. Here I review the evidence for oxidative stress in neurodegeneration and how this relates to other cellular events.","author":[{"dropping-particle":"","family":"Andersen","given":"J K","non-dropping-particle":"","parse-names":false,"suffix":""}],"container-title":"Nature Medicine","id":"ITEM-1","issued":{"date-parts":[["2004"]]},"page":"S18-25","title":"Oxidative stress in neurodegeneration: cause or consequence?","type":"article-journal","volume":"10 Suppl"},"uris":["http://www.mendeley.com/documents/?uuid=fbb99b40-0b4b-406d-ab23-d0383d12a7b8"]}],"mendeley":{"formattedCitation":"(Andersen, 2004)","plainTextFormattedCitation":"(Andersen, 2004)","previouslyFormattedCitation":"(Andersen,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(Andersen, 2004)</w:t>
      </w:r>
      <w:r w:rsidR="00844011" w:rsidRPr="00CB1C44">
        <w:rPr>
          <w:rFonts w:ascii="Arial" w:hAnsi="Arial" w:cs="Arial"/>
          <w:lang w:val="en-US"/>
        </w:rPr>
        <w:fldChar w:fldCharType="end"/>
      </w:r>
      <w:r w:rsidR="00C600C6" w:rsidRPr="00CB1C44">
        <w:rPr>
          <w:rFonts w:ascii="Arial" w:hAnsi="Arial" w:cs="Arial"/>
          <w:lang w:val="en-US"/>
        </w:rPr>
        <w:t xml:space="preserve">. </w:t>
      </w:r>
      <w:r w:rsidR="001D4042" w:rsidRPr="00CB1C44">
        <w:rPr>
          <w:rFonts w:ascii="Arial" w:hAnsi="Arial" w:cs="Arial"/>
          <w:lang w:val="en-US"/>
        </w:rPr>
        <w:t>The most common Aβ fragments have 40 and 42 amino-acids, with Aβ</w:t>
      </w:r>
      <w:r w:rsidR="001D4042" w:rsidRPr="00CB1C44">
        <w:rPr>
          <w:rFonts w:ascii="Arial" w:hAnsi="Arial" w:cs="Arial"/>
          <w:vertAlign w:val="subscript"/>
          <w:lang w:val="en-US"/>
        </w:rPr>
        <w:t xml:space="preserve">1–40 </w:t>
      </w:r>
      <w:r w:rsidR="001D4042" w:rsidRPr="00CB1C44">
        <w:rPr>
          <w:rFonts w:ascii="Arial" w:hAnsi="Arial" w:cs="Arial"/>
          <w:lang w:val="en-US"/>
        </w:rPr>
        <w:t>isoform being the most prevalent, followed by the hydrophobic Aβ</w:t>
      </w:r>
      <w:r w:rsidR="001D4042" w:rsidRPr="00CB1C44">
        <w:rPr>
          <w:rFonts w:ascii="Arial" w:hAnsi="Arial" w:cs="Arial"/>
          <w:vertAlign w:val="subscript"/>
          <w:lang w:val="en-US"/>
        </w:rPr>
        <w:t>1–42</w:t>
      </w:r>
      <w:r w:rsidR="001D4042" w:rsidRPr="00CB1C44">
        <w:rPr>
          <w:rFonts w:ascii="Arial" w:hAnsi="Arial" w:cs="Arial"/>
          <w:lang w:val="en-US"/>
        </w:rPr>
        <w:t xml:space="preserve"> that aggregates in a faster way and tends to form stable trimeric and/or tetrameric oligomers than Aβ</w:t>
      </w:r>
      <w:r w:rsidR="001D4042" w:rsidRPr="00CB1C44">
        <w:rPr>
          <w:rFonts w:ascii="Arial" w:hAnsi="Arial" w:cs="Arial"/>
          <w:vertAlign w:val="subscript"/>
          <w:lang w:val="en-US"/>
        </w:rPr>
        <w:t>1–40</w:t>
      </w:r>
      <w:r w:rsidR="001D4042" w:rsidRPr="00CB1C44">
        <w:rPr>
          <w:rFonts w:ascii="Arial" w:hAnsi="Arial" w:cs="Arial"/>
          <w:lang w:val="en-US"/>
        </w:rPr>
        <w:t xml:space="preserve"> </w:t>
      </w:r>
      <w:r w:rsidR="00D2166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{"citationItems":[{"id":"ITEM-1","itemData":{"DOI":"10.1016/j.npep.2015.06.008","ISBN":"0143-4179","ISSN":"15322785","PMID":"26149638","abstract":"Alzheimer's disease is an irreversible, progressive neurodegenerative disorder. Various therapeutic approaches are being used to improve the cholinergic neurotransmission, but their role in AD pathogenesis is still unknown. Although, an increase in tau protein concentration in CSF has been described in AD, but several issues remains unclear. Extensive and accurate analysis of CSF could be helpful to define presence of tau proteins in physiological conditions, or released during the progression of neurodegenerative disease. The amyloid cascade hypothesis postulates that the neurodegeneration in AD caused by abnormal accumulation of amyloid beta (Aβ) plaques in various areas of the brain. The amyloid hypothesis has continued to gain support over the last two decades, particularly from genetic studies. Therefore, current research progress in several areas of therapies shall provide an effective treatment to cure this devastating disease. This review critically evaluates general biochemical and physiological functions of Aβ directed therapeutics and their relevance.","author":[{"dropping-particle":"","family":"Barage","given":"Sagar H.","non-dropping-particle":"","parse-names":false,"suffix":""},{"dropping-particle":"","family":"Sonawane","given":"Kailas D.","non-dropping-particle":"","parse-names":false,"suffix":""}],"container-title":"Neuropeptides","id":"ITEM-1","issued":{"date-parts":[["2015"]]},"page":"1-18","title":"Amyloid cascade hypothesis: Pathogenesis and therapeutic strategies in Alzheimer's disease","type":"article-journal","volume":"52"},"uris":["http://www.mendeley.com/documents/?uuid=99c65390-cf0a-484c-bda2-7f228d9084ae"]}],"mendeley":{"formattedCitation":"(Barage and Sonawane, 2015)","plainTextFormattedCitation":"(Barage and Sonawane, 2015)","previouslyFormattedCitation":"(Barage and Sonawane, 2015)"},"properties":{"noteIndex":0},"schema":"https://github.com/citation-style-language/schema/raw/master/csl-citation.json"}</w:instrText>
      </w:r>
      <w:r w:rsidR="00D21665" w:rsidRPr="00CB1C44">
        <w:rPr>
          <w:rFonts w:ascii="Arial" w:hAnsi="Arial" w:cs="Arial"/>
          <w:lang w:val="en-US"/>
        </w:rPr>
        <w:fldChar w:fldCharType="separate"/>
      </w:r>
      <w:r w:rsidR="00DD645C" w:rsidRPr="00CB1C44">
        <w:rPr>
          <w:rFonts w:ascii="Arial" w:hAnsi="Arial" w:cs="Arial"/>
          <w:noProof/>
          <w:lang w:val="en-US"/>
        </w:rPr>
        <w:t>(Barage and Sonawane, 2015)</w:t>
      </w:r>
      <w:r w:rsidR="00D21665" w:rsidRPr="00CB1C44">
        <w:rPr>
          <w:rFonts w:ascii="Arial" w:hAnsi="Arial" w:cs="Arial"/>
          <w:lang w:val="en-US"/>
        </w:rPr>
        <w:fldChar w:fldCharType="end"/>
      </w:r>
      <w:r w:rsidR="001D4042" w:rsidRPr="00CB1C44">
        <w:rPr>
          <w:rFonts w:ascii="Arial" w:hAnsi="Arial" w:cs="Arial"/>
          <w:lang w:val="en-US"/>
        </w:rPr>
        <w:t xml:space="preserve">. Inherited missense mutations directly in the Aβ region of </w:t>
      </w:r>
      <w:r w:rsidR="001D4042" w:rsidRPr="00CB1C44">
        <w:rPr>
          <w:rFonts w:ascii="Arial" w:hAnsi="Arial" w:cs="Arial"/>
          <w:i/>
          <w:lang w:val="en-US"/>
        </w:rPr>
        <w:t>APP</w:t>
      </w:r>
      <w:r w:rsidR="001D4042" w:rsidRPr="00CB1C44">
        <w:rPr>
          <w:rFonts w:ascii="Arial" w:hAnsi="Arial" w:cs="Arial"/>
          <w:lang w:val="en-US"/>
        </w:rPr>
        <w:t xml:space="preserve"> increase the propensity of the peptide to aggregate </w:t>
      </w:r>
      <w:r w:rsidR="00E93A9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{"citationItems":[{"id":"ITEM-1","itemData":{"DOI":"10.1038/nrm2101","ISBN":"1471-0072 (Print)\\r1471-0072 (Linking)","ISSN":"1471-0072","PMID":"17245412","abstract":"The distinct protein aggregates that are found in Alzheimer's, Parkinson's, Huntington's and prion diseases seem to cause these disorders. Small intermediates - soluble oligomers - in the aggregation process can confer synaptic dysfunction, whereas large, insoluble deposits might function as reservoirs of the bioactive oligomers. These emerging concepts are exemplified by Alzheimer's disease, in which amyloid beta-protein oligomers adversely affect synaptic structure and plasticity. Findings in other neurodegenerative diseases indicate that a broadly similar process of neuronal dysfunction is induced by diffusible oligomers of misfolded proteins.","author":[{"dropping-particle":"","family":"Haass","given":"Christian","non-dropping-particle":"","parse-names":false,"suffix":""},{"dropping-particle":"","family":"Selkoe","given":"Dennis J","non-dropping-particle":"","parse-names":false,"suffix":""}],"container-title":"Nature reviews. Molecular cell biology","id":"ITEM-1","issue":"2","issued":{"date-parts":[["2007"]]},"page":"101-12","title":"Soluble protein oligomers in neurodegeneration: lessons from the Alzheimer's amyloid beta-peptide.","type":"article-journal","volume":"8"},"uris":["http://www.mendeley.com/documents/?uuid=9cc63b36-c360-4432-95ee-a4d67224caf0"]}],"mendeley":{"formattedCitation":"(Haass and Selkoe, 2007)","plainTextFormattedCitation":"(Haass and Selkoe, 2007)","previouslyFormattedCitation":"(Haass and Selkoe, 2007)"},"properties":{"noteIndex":0},"schema":"https://github.com/citation-style-language/schema/raw/master/csl-citation.json"}</w:instrText>
      </w:r>
      <w:r w:rsidR="00E93A94" w:rsidRPr="00CB1C44">
        <w:rPr>
          <w:rFonts w:ascii="Arial" w:hAnsi="Arial" w:cs="Arial"/>
          <w:lang w:val="en-US"/>
        </w:rPr>
        <w:fldChar w:fldCharType="separate"/>
      </w:r>
      <w:r w:rsidR="00DD645C" w:rsidRPr="00CB1C44">
        <w:rPr>
          <w:rFonts w:ascii="Arial" w:hAnsi="Arial" w:cs="Arial"/>
          <w:noProof/>
          <w:lang w:val="en-US"/>
        </w:rPr>
        <w:t>(Haass and Selkoe, 2007)</w:t>
      </w:r>
      <w:r w:rsidR="00E93A94" w:rsidRPr="00CB1C44">
        <w:rPr>
          <w:rFonts w:ascii="Arial" w:hAnsi="Arial" w:cs="Arial"/>
          <w:lang w:val="en-US"/>
        </w:rPr>
        <w:fldChar w:fldCharType="end"/>
      </w:r>
      <w:r w:rsidR="001D4042" w:rsidRPr="00CB1C44">
        <w:rPr>
          <w:rFonts w:ascii="Arial" w:hAnsi="Arial" w:cs="Arial"/>
          <w:lang w:val="en-US"/>
        </w:rPr>
        <w:t xml:space="preserve">. </w:t>
      </w:r>
      <w:r w:rsidR="00105F0B" w:rsidRPr="00CB1C44">
        <w:rPr>
          <w:rFonts w:ascii="Arial" w:hAnsi="Arial" w:cs="Arial"/>
          <w:lang w:val="en-US"/>
        </w:rPr>
        <w:t>T</w:t>
      </w:r>
      <w:r w:rsidR="001D4042" w:rsidRPr="00CB1C44">
        <w:rPr>
          <w:rFonts w:ascii="Arial" w:hAnsi="Arial" w:cs="Arial"/>
          <w:lang w:val="en-US"/>
        </w:rPr>
        <w:t>he Aβ</w:t>
      </w:r>
      <w:r w:rsidR="001D4042" w:rsidRPr="00CB1C44">
        <w:rPr>
          <w:rFonts w:ascii="Arial" w:hAnsi="Arial" w:cs="Arial"/>
          <w:vertAlign w:val="subscript"/>
          <w:lang w:val="en-US"/>
        </w:rPr>
        <w:t>1-42</w:t>
      </w:r>
      <w:r w:rsidR="001D4042" w:rsidRPr="00CB1C44">
        <w:rPr>
          <w:rFonts w:ascii="Arial" w:hAnsi="Arial" w:cs="Arial"/>
          <w:lang w:val="en-US"/>
        </w:rPr>
        <w:t>/Aβ</w:t>
      </w:r>
      <w:r w:rsidR="001D4042" w:rsidRPr="00CB1C44">
        <w:rPr>
          <w:rFonts w:ascii="Arial" w:hAnsi="Arial" w:cs="Arial"/>
          <w:vertAlign w:val="subscript"/>
          <w:lang w:val="en-US"/>
        </w:rPr>
        <w:t>1-40</w:t>
      </w:r>
      <w:r w:rsidR="001D4042" w:rsidRPr="00CB1C44">
        <w:rPr>
          <w:rFonts w:ascii="Arial" w:hAnsi="Arial" w:cs="Arial"/>
          <w:lang w:val="en-US"/>
        </w:rPr>
        <w:t xml:space="preserve"> ratio increase</w:t>
      </w:r>
      <w:r w:rsidR="00105F0B" w:rsidRPr="00CB1C44">
        <w:rPr>
          <w:rFonts w:ascii="Arial" w:hAnsi="Arial" w:cs="Arial"/>
          <w:lang w:val="en-US"/>
        </w:rPr>
        <w:t>s</w:t>
      </w:r>
      <w:r w:rsidR="001D4042" w:rsidRPr="00CB1C44">
        <w:rPr>
          <w:rFonts w:ascii="Arial" w:hAnsi="Arial" w:cs="Arial"/>
          <w:lang w:val="en-US"/>
        </w:rPr>
        <w:t xml:space="preserve"> </w:t>
      </w:r>
      <w:r w:rsidR="00105F0B" w:rsidRPr="00CB1C44">
        <w:rPr>
          <w:rFonts w:ascii="Arial" w:hAnsi="Arial" w:cs="Arial"/>
          <w:lang w:val="en-US"/>
        </w:rPr>
        <w:t>in</w:t>
      </w:r>
      <w:r w:rsidR="001D4042" w:rsidRPr="00CB1C44">
        <w:rPr>
          <w:rFonts w:ascii="Arial" w:hAnsi="Arial" w:cs="Arial"/>
          <w:lang w:val="en-US"/>
        </w:rPr>
        <w:t xml:space="preserve"> mutations in the three different genes</w:t>
      </w:r>
      <w:r w:rsidR="007B0D82" w:rsidRPr="00CB1C44">
        <w:rPr>
          <w:rFonts w:ascii="Arial" w:hAnsi="Arial" w:cs="Arial"/>
          <w:lang w:val="en-US"/>
        </w:rPr>
        <w:t xml:space="preserve">, </w:t>
      </w:r>
      <w:r w:rsidR="001D4042" w:rsidRPr="00CB1C44">
        <w:rPr>
          <w:rFonts w:ascii="Arial" w:hAnsi="Arial" w:cs="Arial"/>
          <w:i/>
          <w:lang w:val="en-US"/>
        </w:rPr>
        <w:t xml:space="preserve">APP, </w:t>
      </w:r>
      <w:r w:rsidR="007B0D82" w:rsidRPr="00CB1C44">
        <w:rPr>
          <w:rFonts w:ascii="Arial" w:hAnsi="Arial" w:cs="Arial"/>
          <w:lang w:val="en-US"/>
        </w:rPr>
        <w:t xml:space="preserve">presenilin-1 (PS-1 for </w:t>
      </w:r>
      <w:r w:rsidR="007B0D82" w:rsidRPr="00CB1C44">
        <w:rPr>
          <w:rFonts w:ascii="Arial" w:hAnsi="Arial" w:cs="Arial"/>
          <w:i/>
          <w:lang w:val="en-US"/>
        </w:rPr>
        <w:t>PSEN1</w:t>
      </w:r>
      <w:r w:rsidR="007B0D82" w:rsidRPr="00CB1C44">
        <w:rPr>
          <w:rFonts w:ascii="Arial" w:hAnsi="Arial" w:cs="Arial"/>
          <w:lang w:val="en-US"/>
        </w:rPr>
        <w:t xml:space="preserve"> gene) and presenilin-2 (PS-2 for </w:t>
      </w:r>
      <w:r w:rsidR="007B0D82" w:rsidRPr="00CB1C44">
        <w:rPr>
          <w:rFonts w:ascii="Arial" w:hAnsi="Arial" w:cs="Arial"/>
          <w:i/>
          <w:lang w:val="en-US"/>
        </w:rPr>
        <w:t>PSEN2</w:t>
      </w:r>
      <w:r w:rsidR="00AE3006" w:rsidRPr="00CB1C44">
        <w:rPr>
          <w:rFonts w:ascii="Arial" w:hAnsi="Arial" w:cs="Arial"/>
          <w:i/>
          <w:lang w:val="en-US"/>
        </w:rPr>
        <w:t xml:space="preserve"> </w:t>
      </w:r>
      <w:r w:rsidR="00AE3006" w:rsidRPr="00CB1C44">
        <w:rPr>
          <w:rFonts w:ascii="Arial" w:hAnsi="Arial" w:cs="Arial"/>
          <w:lang w:val="en-US"/>
        </w:rPr>
        <w:t>gene</w:t>
      </w:r>
      <w:r w:rsidR="007B0D82" w:rsidRPr="00CB1C44">
        <w:rPr>
          <w:rFonts w:ascii="Arial" w:hAnsi="Arial" w:cs="Arial"/>
          <w:lang w:val="en-US"/>
        </w:rPr>
        <w:t xml:space="preserve">) </w:t>
      </w:r>
      <w:r w:rsidR="00E93A9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{"citationItems":[{"id":"ITEM-1","itemData":{"DOI":"10.1038/nrm2101","ISBN":"1471-0072 (Print)\\r1471-0072 (Linking)","ISSN":"1471-0072","PMID":"17245412","abstract":"The distinct protein aggregates that are found in Alzheimer's, Parkinson's, Huntington's and prion diseases seem to cause these disorders. Small intermediates - soluble oligomers - in the aggregation process can confer synaptic dysfunction, whereas large, insoluble deposits might function as reservoirs of the bioactive oligomers. These emerging concepts are exemplified by Alzheimer's disease, in which amyloid beta-protein oligomers adversely affect synaptic structure and plasticity. Findings in other neurodegenerative diseases indicate that a broadly similar process of neuronal dysfunction is induced by diffusible oligomers of misfolded proteins.","author":[{"dropping-particle":"","family":"Haass","given":"Christian","non-dropping-particle":"","parse-names":false,"suffix":""},{"dropping-particle":"","family":"Selkoe","given":"Dennis J","non-dropping-particle":"","parse-names":false,"suffix":""}],"container-title":"Nature reviews. Molecular cell biology","id":"ITEM-1","issue":"2","issued":{"date-parts":[["2007"]]},"page":"101-12","title":"Soluble protein oligomers in neurodegeneration: lessons from the Alzheimer's amyloid beta-peptide.","type":"article-journal","volume":"8"},"uris":["http://www.mendeley.com/documents/?uuid=9cc63b36-c360-4432-95ee-a4d67224caf0"]}],"mendeley":{"formattedCitation":"(Haass and Selkoe, 2007)","plainTextFormattedCitation":"(Haass and Selkoe, 2007)","previouslyFormattedCitation":"(Haass and Selkoe, 2007)"},"properties":{"noteIndex":0},"schema":"https://github.com/citation-style-language/schema/raw/master/csl-citation.json"}</w:instrText>
      </w:r>
      <w:r w:rsidR="00E93A94" w:rsidRPr="00CB1C44">
        <w:rPr>
          <w:rFonts w:ascii="Arial" w:hAnsi="Arial" w:cs="Arial"/>
          <w:lang w:val="en-US"/>
        </w:rPr>
        <w:fldChar w:fldCharType="separate"/>
      </w:r>
      <w:r w:rsidR="00DD645C" w:rsidRPr="00CB1C44">
        <w:rPr>
          <w:rFonts w:ascii="Arial" w:hAnsi="Arial" w:cs="Arial"/>
          <w:noProof/>
          <w:lang w:val="en-US"/>
        </w:rPr>
        <w:t>(Haass and Selkoe, 2007)</w:t>
      </w:r>
      <w:r w:rsidR="00E93A94" w:rsidRPr="00CB1C44">
        <w:rPr>
          <w:rFonts w:ascii="Arial" w:hAnsi="Arial" w:cs="Arial"/>
          <w:lang w:val="en-US"/>
        </w:rPr>
        <w:fldChar w:fldCharType="end"/>
      </w:r>
      <w:r w:rsidR="00E93A94" w:rsidRPr="00CB1C44">
        <w:rPr>
          <w:rFonts w:ascii="Arial" w:hAnsi="Arial" w:cs="Arial"/>
          <w:lang w:val="en-US"/>
        </w:rPr>
        <w:t xml:space="preserve">. </w:t>
      </w:r>
      <w:r w:rsidR="00C1233F" w:rsidRPr="00CB1C44">
        <w:rPr>
          <w:rFonts w:ascii="Arial" w:hAnsi="Arial" w:cs="Arial"/>
          <w:lang w:val="en-US"/>
        </w:rPr>
        <w:t>D</w:t>
      </w:r>
      <w:r w:rsidR="001D4042" w:rsidRPr="00CB1C44">
        <w:rPr>
          <w:rFonts w:ascii="Arial" w:hAnsi="Arial" w:cs="Arial"/>
          <w:lang w:val="en-US"/>
        </w:rPr>
        <w:t xml:space="preserve">ifferent forms of Aβ </w:t>
      </w:r>
      <w:r w:rsidR="00C1233F" w:rsidRPr="00CB1C44">
        <w:rPr>
          <w:rFonts w:ascii="Arial" w:hAnsi="Arial" w:cs="Arial"/>
          <w:lang w:val="en-US"/>
        </w:rPr>
        <w:t xml:space="preserve">have been </w:t>
      </w:r>
      <w:r w:rsidR="001D4042" w:rsidRPr="00CB1C44">
        <w:rPr>
          <w:rFonts w:ascii="Arial" w:hAnsi="Arial" w:cs="Arial"/>
          <w:lang w:val="en-US"/>
        </w:rPr>
        <w:t xml:space="preserve">extracted in AD brains: aggregates  termed oligomers or protofibrils (depending on their complexity) and mature amyloid fibrils based on their appearance by electron or atomic force microscopy or based on the separation of soluble and insoluble fractions </w:t>
      </w:r>
      <w:r w:rsidR="00AD792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{"citationItems":[{"id":"ITEM-1","itemData":{"DOI":"10.1007/s00401-014-1375-y","ISBN":"0001-6322","ISSN":"14320533","PMID":"25534025","abstract":"Alzheimer's disease (AD) is characterized by β-amyloid plaques and intraneuronal τ aggregation usually associated with cerebral amyloid angiopathy (CAA). Both β-amyloid plaques and CAA deposits contain fibrillar aggregates of the amyloid β-peptide (Aβ). Aβ plaques and CAA develop first in neocortical areas of preclinical AD patients and, then, expand in a characteristic sequence into further brain regions with end-stage pathology in symptomatic AD patients. Aβ aggregates are not restricted to amyloid plaques and CAA. Soluble and several types of insoluble non-plaque- and non-CAA-associated Aβ aggregates have been described. Amyloid fibrils are products of a complex self-assembly process that involves different types of transient intermediates. Amongst these intermediate species are protofibrils and oligomers. Different variants of Aβ peptides may result from alternative processing or from mutations that lead to rare forms of familial AD. These variants can exhibit different self-assembly and aggregation properties. In addition, several post-translational modifications of Aβ have been described that result, for example, in the production of N-terminal truncated Aβ with pyroglutamate modification at position 3 (AβN3pE) or of Aβ phosphorylated at serine 8 (pSer8Aβ). Both AβN3pE and pSer8Aβ show enhanced aggregation into oligomers and fibrils. However, the earliest detectable soluble and insoluble Aβ aggregates in the human brain exhibit non-modified Aβ, whereas AβN3pE and pSer8Aβ are detected in later stages. This finding indicates the existence of different biochemical stages of Aβ aggregate maturation with pSer8Aβ being related mainly to cases with symptomatic AD. The conversion from preclinical to symptomatic AD could thereby be related to combined effects of increased Aβ concentration, maturation of aggregates and spread of deposits into additional brain regions. Thus, the inhibition of Aβ aggregation and maturation before entering the symptomatic stage of the disease as indicated by the accumulation of pSer8Aβ may represent an attractive treatment strategy for preventing disease progression.","author":[{"dropping-particle":"","family":"Thal","given":"Dietmar Rudolf","non-dropping-particle":"","parse-names":false,"suffix":""},{"dropping-particle":"","family":"Walter","given":"Jochen","non-dropping-particle":"","parse-names":false,"suffix":""},{"dropping-particle":"","family":"Saido","given":"Takaomi C.","non-dropping-particle":"","parse-names":false,"suffix":""},{"dropping-particle":"","family":"Fändrich","given":"Marcus","non-dropping-particle":"","parse-names":false,"suffix":""}],"container-title":"Acta Neuropathologica","id":"ITEM-1","issue":"2","issued":{"date-parts":[["2015"]]},"page":"167-182","title":"Neuropathology and biochemistry of Aβ and its aggregates in Alzheimer’s disease","type":"article-journal","volume":"129"},"uris":["http://www.mendeley.com/documents/?uuid=479121ef-18de-45d7-9e2d-20f5ebce0371"]}],"mendeley":{"formattedCitation":"(Thal et al., 2015)","plainTextFormattedCitation":"(Thal et al., 2015)","previouslyFormattedCitation":"(Thal et al., 2015)"},"properties":{"noteIndex":0},"schema":"https://github.com/citation-style-language/schema/raw/master/csl-citation.json"}</w:instrText>
      </w:r>
      <w:r w:rsidR="00AD7926" w:rsidRPr="00CB1C44">
        <w:rPr>
          <w:rFonts w:ascii="Arial" w:hAnsi="Arial" w:cs="Arial"/>
          <w:lang w:val="en-US"/>
        </w:rPr>
        <w:fldChar w:fldCharType="separate"/>
      </w:r>
      <w:r w:rsidR="00DD645C" w:rsidRPr="00CB1C44">
        <w:rPr>
          <w:rFonts w:ascii="Arial" w:hAnsi="Arial" w:cs="Arial"/>
          <w:noProof/>
          <w:lang w:val="en-US"/>
        </w:rPr>
        <w:t>(Thal et al., 2015)</w:t>
      </w:r>
      <w:r w:rsidR="00AD7926" w:rsidRPr="00CB1C44">
        <w:rPr>
          <w:rFonts w:ascii="Arial" w:hAnsi="Arial" w:cs="Arial"/>
          <w:lang w:val="en-US"/>
        </w:rPr>
        <w:fldChar w:fldCharType="end"/>
      </w:r>
      <w:r w:rsidR="00AD7926" w:rsidRPr="00CB1C44">
        <w:rPr>
          <w:rFonts w:ascii="Arial" w:hAnsi="Arial" w:cs="Arial"/>
          <w:lang w:val="en-US"/>
        </w:rPr>
        <w:t>.</w:t>
      </w:r>
    </w:p>
    <w:p w14:paraId="51B8EE32" w14:textId="31F1B602" w:rsidR="00295E3D" w:rsidRPr="00CB1C44" w:rsidRDefault="00064314" w:rsidP="004038B5">
      <w:pPr>
        <w:spacing w:after="0" w:line="360" w:lineRule="auto"/>
        <w:jc w:val="both"/>
        <w:rPr>
          <w:rFonts w:ascii="Arial" w:hAnsi="Arial" w:cs="Arial"/>
          <w:lang w:val="en-US"/>
        </w:rPr>
      </w:pPr>
      <w:r w:rsidRPr="00CB1C44">
        <w:rPr>
          <w:rFonts w:ascii="Arial" w:hAnsi="Arial" w:cs="Arial"/>
          <w:lang w:val="en-US"/>
        </w:rPr>
        <w:t>There are s</w:t>
      </w:r>
      <w:r w:rsidR="00B26C52" w:rsidRPr="00CB1C44">
        <w:rPr>
          <w:rFonts w:ascii="Arial" w:hAnsi="Arial" w:cs="Arial"/>
          <w:lang w:val="en-US"/>
        </w:rPr>
        <w:t xml:space="preserve">everal evidences </w:t>
      </w:r>
      <w:r w:rsidRPr="00CB1C44">
        <w:rPr>
          <w:rFonts w:ascii="Arial" w:hAnsi="Arial" w:cs="Arial"/>
          <w:lang w:val="en-US"/>
        </w:rPr>
        <w:t>of</w:t>
      </w:r>
      <w:r w:rsidR="00B26C52" w:rsidRPr="00CB1C44">
        <w:rPr>
          <w:rFonts w:ascii="Arial" w:hAnsi="Arial" w:cs="Arial"/>
          <w:lang w:val="en-US"/>
        </w:rPr>
        <w:t xml:space="preserve"> increased oxidative stress in AD. </w:t>
      </w:r>
      <w:r w:rsidR="00901320" w:rsidRPr="00CB1C44">
        <w:rPr>
          <w:rFonts w:ascii="Arial" w:hAnsi="Arial" w:cs="Arial"/>
          <w:lang w:val="en-US"/>
        </w:rPr>
        <w:t>Sultana and colleagues observed higher levels of oxidized proteins in AD</w:t>
      </w:r>
      <w:r w:rsidR="00AC029A" w:rsidRPr="00CB1C44">
        <w:rPr>
          <w:rFonts w:ascii="Arial" w:hAnsi="Arial" w:cs="Arial"/>
          <w:lang w:val="en-US"/>
        </w:rPr>
        <w:t xml:space="preserve"> human</w:t>
      </w:r>
      <w:r w:rsidR="00901320" w:rsidRPr="00CB1C44">
        <w:rPr>
          <w:rFonts w:ascii="Arial" w:hAnsi="Arial" w:cs="Arial"/>
          <w:lang w:val="en-US"/>
        </w:rPr>
        <w:t xml:space="preserve"> brains when compared to age-match</w:t>
      </w:r>
      <w:r w:rsidR="0095731D" w:rsidRPr="00CB1C44">
        <w:rPr>
          <w:rFonts w:ascii="Arial" w:hAnsi="Arial" w:cs="Arial"/>
          <w:lang w:val="en-US"/>
        </w:rPr>
        <w:t>ed</w:t>
      </w:r>
      <w:r w:rsidR="00901320" w:rsidRPr="00CB1C44">
        <w:rPr>
          <w:rFonts w:ascii="Arial" w:hAnsi="Arial" w:cs="Arial"/>
          <w:lang w:val="en-US"/>
        </w:rPr>
        <w:t xml:space="preserve"> controls, the increase being higher in </w:t>
      </w:r>
      <w:r w:rsidR="00D9384F" w:rsidRPr="00CB1C44">
        <w:rPr>
          <w:rFonts w:ascii="Arial" w:hAnsi="Arial" w:cs="Arial"/>
          <w:lang w:val="en-US"/>
        </w:rPr>
        <w:t>AD-</w:t>
      </w:r>
      <w:r w:rsidR="00901320" w:rsidRPr="00CB1C44">
        <w:rPr>
          <w:rFonts w:ascii="Arial" w:hAnsi="Arial" w:cs="Arial"/>
          <w:lang w:val="en-US"/>
        </w:rPr>
        <w:t xml:space="preserve">affected areas </w:t>
      </w:r>
      <w:r w:rsidR="0090132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{"citationItems":[{"id":"ITEM-1","itemData":{"DOI":"10.1089/ars.2006.8.2021","ISSN":"1523-0864","abstract":"Alzheimer's disease (AD), the leading cause of dementia, involves regionalized neuronal death, synaptic loss, and an accumulation of intraneuronal, neurofibrillary tangles and extracellular senile plaques. Although the initiating causes leading to AD are unknown, a number of previous studies reported the role of oxidative stress in AD brain. Postmortem analysis of AD brain showed elevated markers of oxidative stress including protein nitrotyrosine, carbonyls in proteins, lipid oxidation products, and oxidized DNA bases. In this review, we focus our attention on the role of protein oxidation and lipid peroxidation in the pathogenesis of AD. Particular attention is given to the current knowledge about the redox proteomics identification of oxidatively modified proteins in AD brain.","author":[{"dropping-particle":"","family":"Sultana","given":"Rukhsana","non-dropping-particle":"","parse-names":false,"suffix":""},{"dropping-particle":"","family":"Perluigi","given":"Marzia","non-dropping-particle":"","parse-names":false,"suffix":""},{"dropping-particle":"","family":"Butterfield","given":"D Allan","non-dropping-particle":"","parse-names":false,"suffix":""}],"container-title":"Antioxidants &amp; Redox Signaling","id":"ITEM-1","issue":"11-12","issued":{"date-parts":[["2006"]]},"page":"2021-2037","title":"Protein oxidation and lipid peroxidation in brain of subjects with Alzheimer's disease: Insights into mechanism of neuro degeneration from redox proteomics","type":"article-journal","volume":"8"},"uris":["http://www.mendeley.com/documents/?uuid=e0a6acc4-3a5f-456f-a988-fd25c9612fec"]}],"mendeley":{"formattedCitation":"(Sultana et al., 2006)","plainTextFormattedCitation":"(Sultana et al., 2006)","previouslyFormattedCitation":"(Sultana et al., 2006)"},"properties":{"noteIndex":0},"schema":"https://github.com/citation-style-language/schema/raw/master/csl-citation.json"}</w:instrText>
      </w:r>
      <w:r w:rsidR="00901320" w:rsidRPr="00CB1C44">
        <w:rPr>
          <w:rFonts w:ascii="Arial" w:hAnsi="Arial" w:cs="Arial"/>
          <w:lang w:val="en-US"/>
        </w:rPr>
        <w:fldChar w:fldCharType="separate"/>
      </w:r>
      <w:r w:rsidR="00DD645C" w:rsidRPr="00CB1C44">
        <w:rPr>
          <w:rFonts w:ascii="Arial" w:hAnsi="Arial" w:cs="Arial"/>
          <w:noProof/>
          <w:lang w:val="en-US"/>
        </w:rPr>
        <w:t>(Sultana et al., 2006)</w:t>
      </w:r>
      <w:r w:rsidR="00901320" w:rsidRPr="00CB1C44">
        <w:rPr>
          <w:rFonts w:ascii="Arial" w:hAnsi="Arial" w:cs="Arial"/>
          <w:lang w:val="en-US"/>
        </w:rPr>
        <w:fldChar w:fldCharType="end"/>
      </w:r>
      <w:r w:rsidR="00901320" w:rsidRPr="00CB1C44">
        <w:rPr>
          <w:rFonts w:ascii="Arial" w:hAnsi="Arial" w:cs="Arial"/>
          <w:lang w:val="en-US"/>
        </w:rPr>
        <w:t>. Furthermore, DNA oxidation</w:t>
      </w:r>
      <w:r w:rsidR="00D9384F" w:rsidRPr="00CB1C44">
        <w:rPr>
          <w:rFonts w:ascii="Arial" w:hAnsi="Arial" w:cs="Arial"/>
          <w:lang w:val="en-US"/>
        </w:rPr>
        <w:t xml:space="preserve"> biomarkers</w:t>
      </w:r>
      <w:r w:rsidR="00AD7926" w:rsidRPr="00CB1C44">
        <w:rPr>
          <w:rFonts w:ascii="Arial" w:hAnsi="Arial" w:cs="Arial"/>
          <w:lang w:val="en-US"/>
        </w:rPr>
        <w:t>, such as 8-hydroxy-2'-deoxyguanosine (</w:t>
      </w:r>
      <w:r w:rsidR="007E6A97" w:rsidRPr="00CB1C44">
        <w:rPr>
          <w:rFonts w:ascii="Arial" w:hAnsi="Arial" w:cs="Arial"/>
          <w:lang w:val="en-US"/>
        </w:rPr>
        <w:t>8-OH</w:t>
      </w:r>
      <w:r w:rsidR="00AD7926" w:rsidRPr="00CB1C44">
        <w:rPr>
          <w:rFonts w:ascii="Arial" w:hAnsi="Arial" w:cs="Arial"/>
          <w:lang w:val="en-US"/>
        </w:rPr>
        <w:t xml:space="preserve">dG), </w:t>
      </w:r>
      <w:r w:rsidR="00901320" w:rsidRPr="00CB1C44">
        <w:rPr>
          <w:rFonts w:ascii="Arial" w:hAnsi="Arial" w:cs="Arial"/>
          <w:lang w:val="en-US"/>
        </w:rPr>
        <w:t xml:space="preserve">indicate that both nuclear and mitochondrial DNA are more oxidized in AD patients when compared with controls </w:t>
      </w:r>
      <w:r w:rsidR="0090132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{"citationItems":[{"id":"ITEM-1","itemData":{"DOI":"10.1111/j.1471-4159.2005.03053.x","ISBN":"1471-4159","ISSN":"00223042","PMID":"15857398","abstract":"Increasing evidence suggests that oxidative stress is associated with normal aging and several neurodegenerative diseases, including Alzheimer's disease (AD). Here we quantified multiple oxidized bases in nuclear and mitochondrial DNA of frontal, parietal, and temporal lobes and cerebellum from short postmortem interval AD brain and age-matched control subjects using gas chromatography/mass spectrometry with selective ion monitoring (GC/MS-SIM) and stable labeled internal standards. Nuclear and mitochondrial DNA were extracted from eight AD and eight age-matched control subjects. We found that levels of multiple oxidized bases in AD brain specimens were significantly (p &lt; 0.05) higher in frontal, parietal, and temporal lobes compared to control subjects and that mitochondrial DNA had approximately 10-fold higher levels of oxidized bases than nuclear DNA. These data are consistent with higher levels of oxidative stress in mitochondria. Eight-hydroxyguanine, a widely studied biomarker of DNA damage, was approximately 10-fold higher than other oxidized base adducts in both AD and control subjects. DNA from temporal lobe showed the most oxidative damage, whereas cerebellum was only slightly affected in AD brains. These results suggest that oxidative damage to mitochondrial DNA may contribute to the neurodegeneration of AD.","author":[{"dropping-particle":"","family":"Wang","given":"J.","non-dropping-particle":"","parse-names":false,"suffix":""},{"dropping-particle":"","family":"Xiong","given":"S.","non-dropping-particle":"","parse-names":false,"suffix":""},{"dropping-particle":"","family":"Xie","given":"C.","non-dropping-particle":"","parse-names":false,"suffix":""},{"dropping-particle":"","family":"Markesbery","given":"W. R.","non-dropping-particle":"","parse-names":false,"suffix":""},{"dropping-particle":"","family":"Lovell","given":"M. A.","non-dropping-particle":"","parse-names":false,"suffix":""}],"container-title":"Journal of Neurochemistry","id":"ITEM-1","issue":"4","issued":{"date-parts":[["2005"]]},"page":"953-962","title":"Increased oxidative damage in nuclear and mitochondrial DNA in Alzheimer's disease","type":"article-journal","volume":"93"},"uris":["http://www.mendeley.com/documents/?uuid=7ad1b41c-e091-423c-b78b-573927908844"]},{"id":"ITEM-2","itemData":{"DOI":"10.1002/ana.410360510","ISBN":"0364-5134 (Print)\\r0364-5134 (Linking)","ISSN":"03645134","PMID":"7979220","abstract":"Oxidative damage to DNA may play a role in both normal aging and in neurodegenerative diseases. We examined whether Alzheimer's disease (AD) is associated with increased oxidative damage to nDNA and mtDNA in postmortem brain tissue. We measured the oxidized nucleoside, 8-hydroxy-2'-deoxyguanosine (OH8dG), in DNA isolated from three regions of cerebral cortex and cerebellum in 13 AD and 13 age-matched controls. There was a significant threefold increase in the amount of OH8dG in mtDNA in parietal cortex of AD patients compared with controls. In the entire group of samples there was a small significant increase in oxidative damage to nDNA and a highly significant threefold increase in oxidative damage to mtDNA in AD compared with age-matched controls. These results confirm that mitochondrial DNA is particularly sensitive to oxidative damage, and they show that there is increased oxidative damage to DNA in AD, which may contribute to the neurodegenerative process.","author":[{"dropping-particle":"","family":"Mecocci","given":"Patrizia","non-dropping-particle":"","parse-names":false,"suffix":""},{"dropping-particle":"","family":"MacGarvey","given":"Usha","non-dropping-particle":"","parse-names":false,"suffix":""},{"dropping-particle":"","family":"Beal","given":"M. Flint","non-dropping-particle":"","parse-names":false,"suffix":""}],"container-title":"Annals of Neurology","id":"ITEM-2","issue":"5","issued":{"date-parts":[["1994"]]},"page":"747-751","title":"Oxidative damage to mitochondrial DNA is increased in Alzheimer's disease","type":"article-journal","volume":"36"},"uris":["http://www.mendeley.com/documents/?uuid=4e92e754-d01b-4432-b731-6613a5195dfd"]}],"mendeley":{"formattedCitation":"(Mecocci et al., 1994; Wang et al., 2005)","plainTextFormattedCitation":"(Mecocci et al., 1994; Wang et al., 2005)","previouslyFormattedCitation":"(Mecocci et al., 1994; Wang et al., 2005)"},"properties":{"noteIndex":0},"schema":"https://github.com/citation-style-language/schema/raw/master/csl-citation.json"}</w:instrText>
      </w:r>
      <w:r w:rsidR="00901320" w:rsidRPr="00CB1C44">
        <w:rPr>
          <w:rFonts w:ascii="Arial" w:hAnsi="Arial" w:cs="Arial"/>
          <w:lang w:val="en-US"/>
        </w:rPr>
        <w:fldChar w:fldCharType="separate"/>
      </w:r>
      <w:r w:rsidR="00DD645C" w:rsidRPr="00CB1C44">
        <w:rPr>
          <w:rFonts w:ascii="Arial" w:hAnsi="Arial" w:cs="Arial"/>
          <w:noProof/>
          <w:lang w:val="en-US"/>
        </w:rPr>
        <w:t>(Mecocci et al., 1994; Wang et al., 2005)</w:t>
      </w:r>
      <w:r w:rsidR="00901320" w:rsidRPr="00CB1C44">
        <w:rPr>
          <w:rFonts w:ascii="Arial" w:hAnsi="Arial" w:cs="Arial"/>
          <w:lang w:val="en-US"/>
        </w:rPr>
        <w:fldChar w:fldCharType="end"/>
      </w:r>
      <w:r w:rsidR="00901320" w:rsidRPr="00CB1C44">
        <w:rPr>
          <w:rFonts w:ascii="Arial" w:hAnsi="Arial" w:cs="Arial"/>
          <w:lang w:val="en-US"/>
        </w:rPr>
        <w:t>. AD</w:t>
      </w:r>
      <w:r w:rsidR="00736D32" w:rsidRPr="00CB1C44">
        <w:rPr>
          <w:rFonts w:ascii="Arial" w:hAnsi="Arial" w:cs="Arial"/>
          <w:lang w:val="en-US"/>
        </w:rPr>
        <w:t xml:space="preserve"> </w:t>
      </w:r>
      <w:r w:rsidR="00736D32" w:rsidRPr="00CB1C44">
        <w:rPr>
          <w:rFonts w:ascii="Arial" w:hAnsi="Arial" w:cs="Arial"/>
          <w:lang w:val="en-US"/>
        </w:rPr>
        <w:lastRenderedPageBreak/>
        <w:t>h</w:t>
      </w:r>
      <w:r w:rsidR="00AC029A" w:rsidRPr="00CB1C44">
        <w:rPr>
          <w:rFonts w:ascii="Arial" w:hAnsi="Arial" w:cs="Arial"/>
          <w:lang w:val="en-US"/>
        </w:rPr>
        <w:t>uman</w:t>
      </w:r>
      <w:r w:rsidR="00901320" w:rsidRPr="00CB1C44">
        <w:rPr>
          <w:rFonts w:ascii="Arial" w:hAnsi="Arial" w:cs="Arial"/>
          <w:lang w:val="en-US"/>
        </w:rPr>
        <w:t xml:space="preserve"> brains</w:t>
      </w:r>
      <w:r w:rsidR="00F34D29" w:rsidRPr="00CB1C44">
        <w:rPr>
          <w:rFonts w:ascii="Arial" w:hAnsi="Arial" w:cs="Arial"/>
          <w:lang w:val="en-US"/>
        </w:rPr>
        <w:t xml:space="preserve"> </w:t>
      </w:r>
      <w:r w:rsidR="00901320" w:rsidRPr="00CB1C44">
        <w:rPr>
          <w:rFonts w:ascii="Arial" w:hAnsi="Arial" w:cs="Arial"/>
          <w:lang w:val="en-US"/>
        </w:rPr>
        <w:t>show</w:t>
      </w:r>
      <w:r w:rsidR="00D33AE3" w:rsidRPr="00CB1C44">
        <w:rPr>
          <w:rFonts w:ascii="Arial" w:hAnsi="Arial" w:cs="Arial"/>
          <w:lang w:val="en-US"/>
        </w:rPr>
        <w:t>ed</w:t>
      </w:r>
      <w:r w:rsidR="00901320" w:rsidRPr="00CB1C44">
        <w:rPr>
          <w:rFonts w:ascii="Arial" w:hAnsi="Arial" w:cs="Arial"/>
          <w:lang w:val="en-US"/>
        </w:rPr>
        <w:t xml:space="preserve"> increased levels of 4-hydroxyalkenals (</w:t>
      </w:r>
      <w:r w:rsidR="00F34D29" w:rsidRPr="00CB1C44">
        <w:rPr>
          <w:rFonts w:ascii="Arial" w:hAnsi="Arial" w:cs="Arial"/>
          <w:lang w:val="en-US"/>
        </w:rPr>
        <w:t xml:space="preserve">e.g. </w:t>
      </w:r>
      <w:r w:rsidR="00901320" w:rsidRPr="00CB1C44">
        <w:rPr>
          <w:rFonts w:ascii="Arial" w:hAnsi="Arial" w:cs="Arial"/>
          <w:lang w:val="en-US"/>
        </w:rPr>
        <w:t>4-HNE</w:t>
      </w:r>
      <w:r w:rsidR="00343142" w:rsidRPr="00CB1C44">
        <w:rPr>
          <w:rFonts w:ascii="Arial" w:hAnsi="Arial" w:cs="Arial"/>
          <w:lang w:val="en-US"/>
        </w:rPr>
        <w:t>, 4-hydroxynonenal</w:t>
      </w:r>
      <w:r w:rsidR="00901320" w:rsidRPr="00CB1C44">
        <w:rPr>
          <w:rFonts w:ascii="Arial" w:hAnsi="Arial" w:cs="Arial"/>
          <w:lang w:val="en-US"/>
        </w:rPr>
        <w:t xml:space="preserve">), the major product of polyunsaturated fatty acids (PUFA) oxidation, </w:t>
      </w:r>
      <w:r w:rsidR="00343142" w:rsidRPr="00CB1C44">
        <w:rPr>
          <w:rFonts w:ascii="Arial" w:hAnsi="Arial" w:cs="Arial"/>
          <w:lang w:val="en-US"/>
        </w:rPr>
        <w:t xml:space="preserve">when </w:t>
      </w:r>
      <w:r w:rsidR="00553E2D" w:rsidRPr="00CB1C44">
        <w:rPr>
          <w:rFonts w:ascii="Arial" w:hAnsi="Arial" w:cs="Arial"/>
          <w:lang w:val="en-US"/>
        </w:rPr>
        <w:t xml:space="preserve">compared </w:t>
      </w:r>
      <w:r w:rsidR="00901320" w:rsidRPr="00CB1C44">
        <w:rPr>
          <w:rFonts w:ascii="Arial" w:hAnsi="Arial" w:cs="Arial"/>
          <w:lang w:val="en-US"/>
        </w:rPr>
        <w:t>with control subjects</w:t>
      </w:r>
      <w:r w:rsidR="00E34310" w:rsidRPr="00CB1C44">
        <w:rPr>
          <w:rFonts w:ascii="Arial" w:hAnsi="Arial" w:cs="Arial"/>
          <w:lang w:val="en-US"/>
        </w:rPr>
        <w:t xml:space="preserve"> </w:t>
      </w:r>
      <w:r w:rsidR="00E3431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{"citationItems":[{"id":"ITEM-1","itemData":{"DOI":"10.1016/S0197-4580(98)00009-8","ISBN":"0022-3069 (Print)\\r0022-3069 (Linking)","ISSN":"01974580","PMID":"9600218","abstract":"Recent studies have implicated increased oxidative stress in the pathogenesis of Alzheimer's disease (AD). Increased lipid peroxidation and decreased polyunsaturated fatty acid levels have been described in the brain in AD. Four-hydroxynonenal (HNE), an aldehyde product of lipid peroxidation, has been demonstrated to be a neurotoxin in tissue culture and in vivo studies and is elevated in ventricular fluid in AD. We report here an increase in mean free HNE in multiple brain regions in AD compared with age-matched control subjects. These increases reached statistical significance in the amygdala and hippocampus and parahippocampal gyrus, regions showing the most pronounced histopathological alterations in AD. This study, in conjunction with cell culture studies, suggests that HNE may be an important substance in the pathogenesis of neuron degeneration in AD.","author":[{"dropping-particle":"","family":"Markesbery","given":"W. R.","non-dropping-particle":"","parse-names":false,"suffix":""},{"dropping-particle":"","family":"Lovell","given":"M. A.","non-dropping-particle":"","parse-names":false,"suffix":""}],"container-title":"Neurobiology of Aging","id":"ITEM-1","issue":"1","issued":{"date-parts":[["1998"]]},"page":"33-36","title":"Four-hydroxynonenal, a product of lipid peroxidation, is increased in the brain in Alzheimer's disease","type":"article-journal","volume":"19"},"uris":["http://www.mendeley.com/documents/?uuid=5bdf1980-8dc4-4755-aba8-663613dbe5c6"]}],"mendeley":{"formattedCitation":"(Markesbery and Lovell, 1998)","plainTextFormattedCitation":"(Markesbery and Lovell, 1998)","previouslyFormattedCitation":"(Markesbery and Lovell, 1998)"},"properties":{"noteIndex":0},"schema":"https://github.com/citation-style-language/schema/raw/master/csl-citation.json"}</w:instrText>
      </w:r>
      <w:r w:rsidR="00E34310" w:rsidRPr="00CB1C44">
        <w:rPr>
          <w:rFonts w:ascii="Arial" w:hAnsi="Arial" w:cs="Arial"/>
          <w:lang w:val="en-US"/>
        </w:rPr>
        <w:fldChar w:fldCharType="separate"/>
      </w:r>
      <w:r w:rsidR="00DD645C" w:rsidRPr="00CB1C44">
        <w:rPr>
          <w:rFonts w:ascii="Arial" w:hAnsi="Arial" w:cs="Arial"/>
          <w:noProof/>
          <w:lang w:val="en-US"/>
        </w:rPr>
        <w:t>(Markesbery and Lovell, 1998)</w:t>
      </w:r>
      <w:r w:rsidR="00E34310" w:rsidRPr="00CB1C44">
        <w:rPr>
          <w:rFonts w:ascii="Arial" w:hAnsi="Arial" w:cs="Arial"/>
          <w:lang w:val="en-US"/>
        </w:rPr>
        <w:fldChar w:fldCharType="end"/>
      </w:r>
      <w:r w:rsidR="00901320" w:rsidRPr="00CB1C44">
        <w:rPr>
          <w:rFonts w:ascii="Arial" w:hAnsi="Arial" w:cs="Arial"/>
          <w:lang w:val="en-US"/>
        </w:rPr>
        <w:t xml:space="preserve">, </w:t>
      </w:r>
      <w:r w:rsidR="00FC7A37" w:rsidRPr="00CB1C44">
        <w:rPr>
          <w:rFonts w:ascii="Arial" w:hAnsi="Arial" w:cs="Arial"/>
          <w:lang w:val="en-US"/>
        </w:rPr>
        <w:t>rev</w:t>
      </w:r>
      <w:r w:rsidR="00343142" w:rsidRPr="00CB1C44">
        <w:rPr>
          <w:rFonts w:ascii="Arial" w:hAnsi="Arial" w:cs="Arial"/>
          <w:lang w:val="en-US"/>
        </w:rPr>
        <w:t>ea</w:t>
      </w:r>
      <w:r w:rsidR="00FC7A37" w:rsidRPr="00CB1C44">
        <w:rPr>
          <w:rFonts w:ascii="Arial" w:hAnsi="Arial" w:cs="Arial"/>
          <w:lang w:val="en-US"/>
        </w:rPr>
        <w:t>ling</w:t>
      </w:r>
      <w:r w:rsidR="00901320" w:rsidRPr="00CB1C44">
        <w:rPr>
          <w:rFonts w:ascii="Arial" w:hAnsi="Arial" w:cs="Arial"/>
          <w:lang w:val="en-US"/>
        </w:rPr>
        <w:t xml:space="preserve"> extensive lipid peroxidation </w:t>
      </w:r>
      <w:r w:rsidR="0090132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{"citationItems":[{"id":"ITEM-1","itemData":{"DOI":"10.1016/0891-5849(91)90192-6","ISBN":"0891-5849 (Print)","ISSN":"08915849","PMID":"1937131","abstract":"Lipid peroxidation often occurs in response to oxidative stress, and a great diversity of aldehydes are formed when lipid hydroperoxides break down in biological systems. Some of these aldehydes are highly reactive and may be considered as second toxic messengers which disseminate and augment initial free radical events. The aldehydes most intensively studied so far are 4-hydroxynonenal, 4-hydroxyhexenal, and malonaldehyde. The purpose of this review is to provide a comprehensive summary on the chemical properties of these aldehydes, the mechanisms of their formation and their occurrence in biological systems and methods for their determination. We will also review the reactions of 4-hydroxyalkenals and malonaldehyde with biomolecules (amino acids, proteins, nucleic acid bases), their metabolism in isolated cells and excretion in whole animals, as well as the many types of biological activities described so far, including cytotoxicity, genotoxicity, chemotactic, and effects on cell proliferation and gene expression. Structurally related compounds, such as acrolein, crotonaldehyde, and other 2-alkenals are also briefly discussed, since they have some properties in common with 4-hydroxyalkenals. ?? 1991.","author":[{"dropping-particle":"","family":"Esterbauer","given":"Hermann","non-dropping-particle":"","parse-names":false,"suffix":""},{"dropping-particle":"","family":"Schaur","given":"Rudolf Jörg","non-dropping-particle":"","parse-names":false,"suffix":""},{"dropping-particle":"","family":"Zollner","given":"Helmward","non-dropping-particle":"","parse-names":false,"suffix":""}],"container-title":"Free Radical Biology and Medicine","id":"ITEM-1","issue":"1","issued":{"date-parts":[["1991"]]},"page":"81-128","title":"Chemistry and biochemistry of 4-hydroxynonenal, malonaldehyde and related aldehydes","type":"article","volume":"11"},"uris":["http://www.mendeley.com/documents/?uuid=e6e8ab21-6466-4adc-902e-053af11e88ff"]},{"id":"ITEM-2","itemData":{"DOI":"10.1016/S0197-4580(97)00108-5","ISBN":"0197-4580 (Print)\\r0197-4580 (Linking)","ISSN":"01974580","PMID":"9390770","abstract":"4-Hydroxynonenal (4-HNE), an aldehyde by-product of the peroxidation of fatty acids, has been shown to have toxic properties for neurons in culture. In light of increasing evidence that oxidative stress contributes to the neurodegenerative process in Alzheimer's disease (AD) we quantified levels of free and protein-bound 4-HNE in the ventricular fluid from 19 AD subjects and 13 control subjects by high-pressure liquid chromatography and dot-blot immunoassay. Free 4-HNE levels were found to be significantly elevated in the ventricular fluid of AD subjects compared with control subjects (p = 0.0096). These results demonstrate increased lipid peroxidation in AD brain and suggest a role for 4-HNE in the neurodegenerative process.","author":[{"dropping-particle":"","family":"Lovell","given":"M. A.","non-dropping-particle":"","parse-names":false,"suffix":""},{"dropping-particle":"","family":"Ehmann","given":"W. D.","non-dropping-particle":"","parse-names":false,"suffix":""},{"dropping-particle":"","family":"Mattson","given":"M. P.","non-dropping-particle":"","parse-names":false,"suffix":""},{"dropping-particle":"","family":"Markesbery","given":"W. R.","non-dropping-particle":"","parse-names":false,"suffix":""}],"container-title":"Neurobiology of Aging","id":"ITEM-2","issue":"5","issued":{"date-parts":[["1997"]]},"page":"457-461","title":"Elevated 4-hydroxynonenal in ventricular fluid in Alzheimer's disease","type":"article-journal","volume":"18"},"uris":["http://www.mendeley.com/documents/?uuid=a4898b2b-340a-421c-b14b-0e475b74692b"]}],"mendeley":{"formattedCitation":"(Esterbauer et al., 1991; Lovell et al., 1997)","plainTextFormattedCitation":"(Esterbauer et al., 1991; Lovell et al., 1997)","previouslyFormattedCitation":"(Esterbauer et al., 1991; Lovell et al., 1997)"},"properties":{"noteIndex":0},"schema":"https://github.com/citation-style-language/schema/raw/master/csl-citation.json"}</w:instrText>
      </w:r>
      <w:r w:rsidR="00901320" w:rsidRPr="00CB1C44">
        <w:rPr>
          <w:rFonts w:ascii="Arial" w:hAnsi="Arial" w:cs="Arial"/>
          <w:lang w:val="en-US"/>
        </w:rPr>
        <w:fldChar w:fldCharType="separate"/>
      </w:r>
      <w:r w:rsidR="00DD645C" w:rsidRPr="00CB1C44">
        <w:rPr>
          <w:rFonts w:ascii="Arial" w:hAnsi="Arial" w:cs="Arial"/>
          <w:noProof/>
          <w:lang w:val="en-US"/>
        </w:rPr>
        <w:t>(Esterbauer et al., 1991; Lovell et al., 1997)</w:t>
      </w:r>
      <w:r w:rsidR="00901320" w:rsidRPr="00CB1C44">
        <w:rPr>
          <w:rFonts w:ascii="Arial" w:hAnsi="Arial" w:cs="Arial"/>
          <w:lang w:val="en-US"/>
        </w:rPr>
        <w:fldChar w:fldCharType="end"/>
      </w:r>
      <w:r w:rsidR="00901320" w:rsidRPr="00CB1C44">
        <w:rPr>
          <w:rFonts w:ascii="Arial" w:hAnsi="Arial" w:cs="Arial"/>
          <w:lang w:val="en-US"/>
        </w:rPr>
        <w:t xml:space="preserve">. </w:t>
      </w:r>
      <w:r w:rsidR="0049704F" w:rsidRPr="00CB1C44">
        <w:rPr>
          <w:rFonts w:ascii="Arial" w:hAnsi="Arial" w:cs="Arial"/>
          <w:lang w:val="en-US"/>
        </w:rPr>
        <w:t xml:space="preserve">AD brains </w:t>
      </w:r>
      <w:r w:rsidR="00343142" w:rsidRPr="00CB1C44">
        <w:rPr>
          <w:rFonts w:ascii="Arial" w:hAnsi="Arial" w:cs="Arial"/>
          <w:lang w:val="en-US"/>
        </w:rPr>
        <w:t xml:space="preserve">also </w:t>
      </w:r>
      <w:r w:rsidR="0049704F" w:rsidRPr="00CB1C44">
        <w:rPr>
          <w:rFonts w:ascii="Arial" w:hAnsi="Arial" w:cs="Arial"/>
          <w:lang w:val="en-US"/>
        </w:rPr>
        <w:t>show</w:t>
      </w:r>
      <w:r w:rsidR="00343142" w:rsidRPr="00CB1C44">
        <w:rPr>
          <w:rFonts w:ascii="Arial" w:hAnsi="Arial" w:cs="Arial"/>
          <w:lang w:val="en-US"/>
        </w:rPr>
        <w:t>ed</w:t>
      </w:r>
      <w:r w:rsidR="0049704F" w:rsidRPr="00CB1C44">
        <w:rPr>
          <w:rFonts w:ascii="Arial" w:hAnsi="Arial" w:cs="Arial"/>
          <w:lang w:val="en-US"/>
        </w:rPr>
        <w:t xml:space="preserve"> </w:t>
      </w:r>
      <w:r w:rsidR="00343142" w:rsidRPr="00CB1C44">
        <w:rPr>
          <w:rFonts w:ascii="Arial" w:hAnsi="Arial" w:cs="Arial"/>
          <w:lang w:val="en-US"/>
        </w:rPr>
        <w:t>enhanced</w:t>
      </w:r>
      <w:r w:rsidR="0049704F" w:rsidRPr="00CB1C44">
        <w:rPr>
          <w:rFonts w:ascii="Arial" w:hAnsi="Arial" w:cs="Arial"/>
          <w:lang w:val="en-US"/>
        </w:rPr>
        <w:t xml:space="preserve"> levels of neurotoxic trace elements such as iron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{"citationItems":[{"id":"ITEM-1","itemData":{"ISBN":"0161-813X (Print)\\r0161-813X (Linking)","ISSN":"0161-813X","PMID":"3393299","abstract":"Alzheimer's disease (AD) brain trace-element imbalances in the amygdala, hippocampus and nucleus basalis of Meynert (nbM) are found in most cases to be consistent with those previously reported in samples derived principally from AD cerebral cortex (Ehmann et al., 1986). The elevation of mercury in AD nbM, as compared to age-matched controls, is the largest trace-element imbalance observed to date in AD brain. In addition to the general confirmation of imbalances for Cs, Hg, N, Na, P, and Rb noted previously in cerebral cortex samples, imbalances for Fe, K, Sc, and Zn were observed in two regions and one region also exhibited imbalances for both Co and Se. Persistent imbalances for the univalent cations Na, K, Rb and Cs support arguments for a membrane abnormality in AD. The data presented here also provide the first comprehensive simultaneous multi-element determinations in both control and AD nbM.","author":[{"dropping-particle":"","family":"Thompson","given":"C M","non-dropping-particle":"","parse-names":false,"suffix":""},{"dropping-particle":"","family":"Markesbery","given":"W R","non-dropping-particle":"","parse-names":false,"suffix":""},{"dropping-particle":"","family":"Ehmann","given":"W D","non-dropping-particle":"","parse-names":false,"suffix":""},{"dropping-particle":"","family":"Mao","given":"Y X","non-dropping-particle":"","parse-names":false,"suffix":""},{"dropping-particle":"","family":"Vance","given":"D E","non-dropping-particle":"","parse-names":false,"suffix":""}],"container-title":"Neurotoxicology","id":"ITEM-1","issue":"1","issued":{"date-parts":[["1988"]]},"page":"1-7","title":"Regional brain trace-element studies in Alzheimer's disease","type":"article-journal","volume":"9"},"uris":["http://www.mendeley.com/documents/?uuid=c81cd147-8398-48fd-882d-4a9a2c46d940"]},{"id":"ITEM-2","itemData":{"ISBN":"0161-813X (Print)\\r0161-813X (Linking)","ISSN":"0161-813X","PMID":"3714121","abstract":"Instrumental neutron activation analysis has been used to determine the concentrations of 16 elements in selected brain regions and separated gray- and white-matter specimens from histologically verified Alzheimer's disease (AD) and age-matched control patients. Significantly different (p less than 0.05) mean concentrations of Br, Cl, Cs, Hg, N, Na, P, and Rb were observed in AD bulk brain samples compared to controls, while no significant differences were observed for Ag, Co, Cr, Fe, K, Sb, Sc, and Se. The differences that are most persistent and largest in magnitude for the pooled bulk samples, males and females, left and right hemispheres, and separated gray and white matter are the elevation of Br and Hg and the depletion of Rb in AD compared to controls. Significant interelement correlations for the latter elements in both AD and control brains are also documented. Based on these studies, the possibility of an etiological role for trace elements in AD clearly deserves further investigation.","author":[{"dropping-particle":"","family":"Ehmann","given":"W D","non-dropping-particle":"","parse-names":false,"suffix":""},{"dropping-particle":"","family":"Markesbery","given":"W R","non-dropping-particle":"","parse-names":false,"suffix":""},{"dropping-particle":"","family":"Alauddin","given":"M","non-dropping-particle":"","parse-names":false,"suffix":""},{"dropping-particle":"","family":"Hossain","given":"T I","non-dropping-particle":"","parse-names":false,"suffix":""},{"dropping-particle":"","family":"Brubaker","given":"E H","non-dropping-particle":"","parse-names":false,"suffix":""}],"container-title":"Neurotoxicology","id":"ITEM-2","issue":"1","issued":{"date-parts":[["1986"]]},"page":"195-206","title":"Brain trace elements in Alzheimer's disease","type":"article-journal","volume":"7"},"uris":["http://www.mendeley.com/documents/?uuid=5f71a8d3-807f-43b4-9236-e55229d9b9cf"]}],"mendeley":{"formattedCitation":"(Ehmann et al., 1986; Thompson et al., 1988)","plainTextFormattedCitation":"(Ehmann et al., 1986; Thompson et al., 1988)","previouslyFormattedCitation":"(Ehmann et al., 1986; Thompson et al., 1988)"},"properties":{"noteIndex":0},"schema":"https://github.com/citation-style-language/schema/raw/master/csl-citation.json"}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(Ehmann et al., 1986; Thompson et al., 1988)</w:t>
      </w:r>
      <w:r w:rsidR="00844011" w:rsidRPr="00CB1C44">
        <w:rPr>
          <w:rFonts w:ascii="Arial" w:hAnsi="Arial" w:cs="Arial"/>
          <w:lang w:val="en-US"/>
        </w:rPr>
        <w:fldChar w:fldCharType="end"/>
      </w:r>
      <w:r w:rsidR="0049704F" w:rsidRPr="00CB1C44">
        <w:rPr>
          <w:rFonts w:ascii="Arial" w:hAnsi="Arial" w:cs="Arial"/>
          <w:lang w:val="en-US"/>
        </w:rPr>
        <w:t xml:space="preserve">, aluminum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{"citationItems":[{"id":"ITEM-1","itemData":{"ISSN":"0161-813X","PMID":"1302300","abstract":"Aluminum (Al) has been determined in autopsy brain samples (20 mg, dry weight) from 10 histologically verified Alzheimer's disease (AD) patients and 10 neurologically normal controls using an improved graphite furnace atomic absorption method. The method makes use of a potassium dichromate matrix modifier to circumvent interferences to the Al determination by the high levels of phosphorus and alkali metals in brain tissue. Brain regions studied included middle frontal gyrus, hippocampus, inferior parietal lobule, and the superior and middle temporal gyri. Small, but significant (p &lt; 0.05) elevations of Al were observed in AD hippocampus, inferior parietal lobule and superior and middle temporal gyri, compared to corresponding control tissues. In contrast to other reports in the literature, no extremely high Al levels (&gt; 20 mug/g, dry weight) were observed in our samples. Our highest value for Al in AD brain was 8.0 mug/g. These results suggest that there is a small focal increase of Al in specific regions of AD brain compared to age-matched controls. The fact that the increase is small, coupled with the analytical difficulties of accurate bulk sample Al determinations by any technique in the brain matrix, may account for the discordant literature reports for Al in AD brain.","author":[{"dropping-particle":"","family":"Xu","given":"N","non-dropping-particle":"","parse-names":false,"suffix":""},{"dropping-particle":"","family":"Majidi","given":"V","non-dropping-particle":"","parse-names":false,"suffix":""},{"dropping-particle":"","family":"Markesbery","given":"W R","non-dropping-particle":"","parse-names":false,"suffix":""},{"dropping-particle":"","family":"Ehmann","given":"W D","non-dropping-particle":"","parse-names":false,"suffix":""}],"container-title":"Neurotoxicology","id":"ITEM-1","issued":{"date-parts":[["1992"]]},"page":"735-743","title":"Brain Aluminum in Alzheimers Disease Using an Improved GFAAS Method Ssue","type":"article-journal","volume":"13"},"uris":["http://www.mendeley.com/documents/?uuid=096a900b-7da7-4fd9-ba25-a9a99457940c"]}],"mendeley":{"formattedCitation":"(Xu et al., 1992)","plainTextFormattedCitation":"(Xu et al., 1992)","previouslyFormattedCitation":"(Xu et al., 1992)"},"properties":{"noteIndex":0},"schema":"https://github.com/citation-style-language/schema/raw/master/csl-citation.json"}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(Xu et al., 1992)</w:t>
      </w:r>
      <w:r w:rsidR="00844011" w:rsidRPr="00CB1C44">
        <w:rPr>
          <w:rFonts w:ascii="Arial" w:hAnsi="Arial" w:cs="Arial"/>
          <w:lang w:val="en-US"/>
        </w:rPr>
        <w:fldChar w:fldCharType="end"/>
      </w:r>
      <w:r w:rsidR="0049704F" w:rsidRPr="00CB1C44">
        <w:rPr>
          <w:rFonts w:ascii="Arial" w:hAnsi="Arial" w:cs="Arial"/>
          <w:lang w:val="en-US"/>
        </w:rPr>
        <w:t xml:space="preserve">, mercury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{"citationItems":[{"id":"ITEM-1","itemData":{"ISBN":"0161-813X (Print)\\r0161-813X (Linking)","ISSN":"0161-813X","PMID":"3714121","abstract":"Instrumental neutron activation analysis has been used to determine the concentrations of 16 elements in selected brain regions and separated gray- and white-matter specimens from histologically verified Alzheimer's disease (AD) and age-matched control patients. Significantly different (p less than 0.05) mean concentrations of Br, Cl, Cs, Hg, N, Na, P, and Rb were observed in AD bulk brain samples compared to controls, while no significant differences were observed for Ag, Co, Cr, Fe, K, Sb, Sc, and Se. The differences that are most persistent and largest in magnitude for the pooled bulk samples, males and females, left and right hemispheres, and separated gray and white matter are the elevation of Br and Hg and the depletion of Rb in AD compared to controls. Significant interelement correlations for the latter elements in both AD and control brains are also documented. Based on these studies, the possibility of an etiological role for trace elements in AD clearly deserves further investigation.","author":[{"dropping-particle":"","family":"Ehmann","given":"W D","non-dropping-particle":"","parse-names":false,"suffix":""},{"dropping-particle":"","family":"Markesbery","given":"W R","non-dropping-particle":"","parse-names":false,"suffix":""},{"dropping-particle":"","family":"Alauddin","given":"M","non-dropping-particle":"","parse-names":false,"suffix":""},{"dropping-particle":"","family":"Hossain","given":"T I","non-dropping-particle":"","parse-names":false,"suffix":""},{"dropping-particle":"","family":"Brubaker","given":"E H","non-dropping-particle":"","parse-names":false,"suffix":""}],"container-title":"Neurotoxicology","id":"ITEM-1","issue":"1","issued":{"date-parts":[["1986"]]},"page":"195-206","title":"Brain trace elements in Alzheimer's disease","type":"article-journal","volume":"7"},"uris":["http://www.mendeley.com/documents/?uuid=5f71a8d3-807f-43b4-9236-e55229d9b9cf"]},{"id":"ITEM-2","itemData":{"ISBN":"0364-5134","ISSN":"03645134","PMID":"6712183","abstract":"The trace element content of the brain of two patients with Pick's disease examined postmortem was studied using instrumental neutron activation analysis. Results showed significant increases in chlorine, iron, manganese, sodium, and phosphorus and significant decreases in chromium, cesium, rubidium, and selenium and in the mean freeze-dried to wet-weight ratio for patients with Pick's disease compared with control patients. Brain zinc content was not elevated in the two patients, a finding that fails to support the hypothesis that elevated zinc levels play a role in the pathogenesis of Pick's disease.","author":[{"dropping-particle":"","family":"Ehmann","given":"W D","non-dropping-particle":"","parse-names":false,"suffix":""},{"dropping-particle":"","family":"Alauddin","given":"M","non-dropping-particle":"","parse-names":false,"suffix":""},{"dropping-particle":"","family":"Hossain","given":"T I","non-dropping-particle":"","parse-names":false,"suffix":""},{"dropping-particle":"","family":"Markesbery","given":"W R","non-dropping-particle":"","parse-names":false,"suffix":""}],"container-title":"Ann Neurol","id":"ITEM-2","issue":"1","issued":{"date-parts":[["1984"]]},"page":"102-104","title":"Brain trace elements in Pick's disease","type":"article-journal","volume":"15"},"uris":["http://www.mendeley.com/documents/?uuid=9dfb9f68-f8d4-472b-b64a-e9d7c7e6bb4a"]}],"mendeley":{"formattedCitation":"(Ehmann et al., 1986, 1984)","plainTextFormattedCitation":"(Ehmann et al., 1986, 1984)","previouslyFormattedCitation":"(Ehmann et al., 1986, 1984)"},"properties":{"noteIndex":0},"schema":"https://github.com/citation-style-language/schema/raw/master/csl-citation.json"}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(Ehmann et al., 1986, 1984)</w:t>
      </w:r>
      <w:r w:rsidR="00844011" w:rsidRPr="00CB1C44">
        <w:rPr>
          <w:rFonts w:ascii="Arial" w:hAnsi="Arial" w:cs="Arial"/>
          <w:lang w:val="en-US"/>
        </w:rPr>
        <w:fldChar w:fldCharType="end"/>
      </w:r>
      <w:r w:rsidR="0049704F" w:rsidRPr="00CB1C44">
        <w:rPr>
          <w:rFonts w:ascii="Arial" w:hAnsi="Arial" w:cs="Arial"/>
          <w:lang w:val="en-US"/>
        </w:rPr>
        <w:t xml:space="preserve"> and copper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{"citationItems":[{"id":"ITEM-1","itemData":{"DOI":"10.1016/S0022-510X(96)00203-1","ISBN":"0022-510X (Print)\\r0022-510X (Linking)","ISSN":"0022510X","PMID":"8981312","abstract":"Copper (Cu), iron (Fe), and zinc (Zn) levels in five different brain regions (amygdala, hippocampus, inferior parietal lobule, superior and middle temporal gyri, and cerebellum) were determined by instrumental neutron activation analysis (INAA) in samples from Alzheimer's disease (AD) patients and age-matched control subjects. A significant decrease in Cu, and significant increases in Zn and Fe were found in AD hippocampus and amygdala, areas showing severe histopathologic alterations in AD. None of these elements were significantly imbalanced in the cerebellum which is minimally affected in AD.","author":[{"dropping-particle":"","family":"Deibel","given":"M. A.","non-dropping-particle":"","parse-names":false,"suffix":""},{"dropping-particle":"","family":"Ehmann","given":"W. D.","non-dropping-particle":"","parse-names":false,"suffix":""},{"dropping-particle":"","family":"Markesbery","given":"W. R.","non-dropping-particle":"","parse-names":false,"suffix":""}],"container-title":"Journal of the Neurological Sciences","id":"ITEM-1","issue":"1-2","issued":{"date-parts":[["1996"]]},"page":"137-142","title":"Copper, iron, and zinc imbalances in severely degenerated brain regions in Alzheimer's disease: Possible relation to oxidative stress","type":"article-journal","volume":"143"},"uris":["http://www.mendeley.com/documents/?uuid=66c3a91c-25a2-4e61-9cbc-c3d503b242d9"]}],"mendeley":{"formattedCitation":"(Deibel et al., 1996)","plainTextFormattedCitation":"(Deibel et al., 1996)","previouslyFormattedCitation":"(Deibel et al., 1996)"},"properties":{"noteIndex":0},"schema":"https://github.com/citation-style-language/schema/raw/master/csl-citation.json"}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(Deibel et al., 1996)</w:t>
      </w:r>
      <w:r w:rsidR="00844011" w:rsidRPr="00CB1C44">
        <w:rPr>
          <w:rFonts w:ascii="Arial" w:hAnsi="Arial" w:cs="Arial"/>
          <w:lang w:val="en-US"/>
        </w:rPr>
        <w:fldChar w:fldCharType="end"/>
      </w:r>
      <w:r w:rsidR="0049704F" w:rsidRPr="00CB1C44">
        <w:rPr>
          <w:rFonts w:ascii="Arial" w:hAnsi="Arial" w:cs="Arial"/>
          <w:lang w:val="en-US"/>
        </w:rPr>
        <w:t xml:space="preserve">, which may induce the formation of free radicals. Furthermore, </w:t>
      </w:r>
      <w:r w:rsidR="00883226" w:rsidRPr="00CB1C44">
        <w:rPr>
          <w:rFonts w:ascii="Arial" w:hAnsi="Arial" w:cs="Arial"/>
          <w:lang w:val="en-US"/>
        </w:rPr>
        <w:t xml:space="preserve">elevated levels of Aβ can contribute to oxidative stress in AD brain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{"citationItems":[{"id":"ITEM-1","itemData":{"DOI":"10.1021/bi990438f","ISBN":"0006-2960 (Print)\\r0006-2960 (Linking)","ISSN":"0006-2960","PMID":"10386999","abstract":"Oxidative stress markers characterize the neuropathology both of Alzheimer's disease and of amyloid-bearing transgenic mice. The neurotoxicity of amyloid A beta peptides has been linked to peroxide generation in cell cultures by an unknown mechanism. We now show that human A beta directly produces hydrogen peroxide (H2O2) by a mechanism that involves the reduction of metal ions, Fe(III) or Cu(II), setting up conditions for Fenton-type chemistry. Spectrophotometric experiments establish that the A beta peptide reduces Fe(III) and Cu(II) to Fe(II) and Cu(I), respectively. Spectrochemical techniques are used to show that molecular oxygen is then trapped by A beta and reduced to H2O2 in a reaction that is driven by substoichiometric amounts of Fe(II) or Cu(I). In the presence of Cu(II) or Fe(III), A beta produces a positive thiobarbituric-reactive substance (TBARS) assay, compatible with the generation of the hydroxyl radical (OH.). The amounts of both reduced metal and TBARS reactivity are greatest when generated by A beta 1-42 &gt;&gt; A beta 1-40 &gt; rat A beta 1-40, a chemical relationship that correlates with the participation of the native peptides in amyloid pathology. These findings indicate that the accumulation of A beta could be a direct source of oxidative stress in Alzheimer's disease.","author":[{"dropping-particle":"","family":"Huang","given":"Xudong","non-dropping-particle":"","parse-names":false,"suffix":""},{"dropping-particle":"","family":"Atwood","given":"Craig S.","non-dropping-particle":"","parse-names":false,"suffix":""},{"dropping-particle":"","family":"Hartshorn","given":"Mariana A.","non-dropping-particle":"","parse-names":false,"suffix":""},{"dropping-particle":"","family":"Multhaup","given":"Gerd","non-dropping-particle":"","parse-names":false,"suffix":""},{"dropping-particle":"","family":"Goldstein","given":"Lee E.","non-dropping-particle":"","parse-names":false,"suffix":""},{"dropping-particle":"","family":"Scarpa","given":"Richard C.","non-dropping-particle":"","parse-names":false,"suffix":""},{"dropping-particle":"","family":"Cuajungco","given":"Math P.","non-dropping-particle":"","parse-names":false,"suffix":""},{"dropping-particle":"","family":"Gray","given":"Danielle N.","non-dropping-particle":"","parse-names":false,"suffix":""},{"dropping-particle":"","family":"Lim","given":"James","non-dropping-particle":"","parse-names":false,"suffix":""},{"dropping-particle":"","family":"Moir","given":"Robert D.","non-dropping-particle":"","parse-names":false,"suffix":""},{"dropping-particle":"","family":"Tanzi","given":"Rudolph E.","non-dropping-particle":"","parse-names":false,"suffix":""},{"dropping-particle":"","family":"Bush","given":"Ashley I.","non-dropping-particle":"","parse-names":false,"suffix":""}],"container-title":"Biochemistry","id":"ITEM-1","issue":"24","issued":{"date-parts":[["1999","6"]]},"page":"7609-7616","title":"The Aβ Peptide of Alzheimer's Disease Directly Produces Hydrogen Peroxide through Metal Ion Reduction †","type":"article-journal","volume":"38"},"uris":["http://www.mendeley.com/documents/?uuid=24a64d65-c065-41c4-9ef9-bb69554e43c7"]}],"mendeley":{"formattedCitation":"(Huang et al., 1999)","plainTextFormattedCitation":"(Huang et al., 1999)","previouslyFormattedCitation":"(Huang et al., 1999)"},"properties":{"noteIndex":0},"schema":"https://github.com/citation-style-language/schema/raw/master/csl-citation.json"}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(Huang et al., 1999)</w:t>
      </w:r>
      <w:r w:rsidR="00844011" w:rsidRPr="00CB1C44">
        <w:rPr>
          <w:rFonts w:ascii="Arial" w:hAnsi="Arial" w:cs="Arial"/>
          <w:lang w:val="en-US"/>
        </w:rPr>
        <w:fldChar w:fldCharType="end"/>
      </w:r>
      <w:r w:rsidR="00883226" w:rsidRPr="00CB1C44">
        <w:rPr>
          <w:rFonts w:ascii="Arial" w:hAnsi="Arial" w:cs="Arial"/>
          <w:lang w:val="en-US"/>
        </w:rPr>
        <w:t>.</w:t>
      </w:r>
      <w:r w:rsidR="008643E6" w:rsidRPr="00CB1C44">
        <w:rPr>
          <w:rFonts w:ascii="Arial" w:hAnsi="Arial" w:cs="Arial"/>
          <w:lang w:val="en-US"/>
        </w:rPr>
        <w:t xml:space="preserve"> </w:t>
      </w:r>
      <w:r w:rsidR="004939D8" w:rsidRPr="00CB1C44">
        <w:rPr>
          <w:rFonts w:ascii="Arial" w:hAnsi="Arial" w:cs="Arial"/>
          <w:lang w:val="en-US"/>
        </w:rPr>
        <w:t xml:space="preserve">Interestingly, </w:t>
      </w:r>
      <w:r w:rsidR="00542B34" w:rsidRPr="00CB1C44">
        <w:rPr>
          <w:rFonts w:ascii="Arial" w:hAnsi="Arial" w:cs="Arial"/>
          <w:lang w:val="en-US"/>
        </w:rPr>
        <w:t>there are evidences of oxidative stress already in early stages of the disease</w:t>
      </w:r>
      <w:r w:rsidR="001B454C" w:rsidRPr="00CB1C44">
        <w:rPr>
          <w:rFonts w:ascii="Arial" w:hAnsi="Arial" w:cs="Arial"/>
          <w:lang w:val="en-US"/>
        </w:rPr>
        <w:t xml:space="preserve"> in peripheral </w:t>
      </w:r>
      <w:r w:rsidR="000B7BC8" w:rsidRPr="00CB1C44">
        <w:rPr>
          <w:rFonts w:ascii="Arial" w:hAnsi="Arial" w:cs="Arial"/>
          <w:lang w:val="en-US"/>
        </w:rPr>
        <w:t>tissues</w:t>
      </w:r>
      <w:r w:rsidR="00542B34" w:rsidRPr="00CB1C44">
        <w:rPr>
          <w:rFonts w:ascii="Arial" w:hAnsi="Arial" w:cs="Arial"/>
          <w:lang w:val="en-US"/>
        </w:rPr>
        <w:t xml:space="preserve">. </w:t>
      </w:r>
      <w:r w:rsidR="001B454C" w:rsidRPr="00CB1C44">
        <w:rPr>
          <w:rFonts w:ascii="Arial" w:hAnsi="Arial" w:cs="Arial"/>
          <w:lang w:val="en-US"/>
        </w:rPr>
        <w:t xml:space="preserve">Thus, </w:t>
      </w:r>
      <w:r w:rsidR="00493DFF" w:rsidRPr="00CB1C44">
        <w:rPr>
          <w:rFonts w:ascii="Arial" w:hAnsi="Arial" w:cs="Arial"/>
          <w:lang w:val="en-US"/>
        </w:rPr>
        <w:t xml:space="preserve">oxidative changes found in mild AD patients are already present in </w:t>
      </w:r>
      <w:r w:rsidR="00CC3A5B" w:rsidRPr="00CB1C44">
        <w:rPr>
          <w:rFonts w:ascii="Arial" w:hAnsi="Arial" w:cs="Arial"/>
          <w:lang w:val="en-US"/>
        </w:rPr>
        <w:t>Mild Cognitive impairment (</w:t>
      </w:r>
      <w:r w:rsidR="00493DFF" w:rsidRPr="00CB1C44">
        <w:rPr>
          <w:rFonts w:ascii="Arial" w:hAnsi="Arial" w:cs="Arial"/>
          <w:lang w:val="en-US"/>
        </w:rPr>
        <w:t>MCI</w:t>
      </w:r>
      <w:r w:rsidR="00CC3A5B" w:rsidRPr="00CB1C44">
        <w:rPr>
          <w:rFonts w:ascii="Arial" w:hAnsi="Arial" w:cs="Arial"/>
          <w:lang w:val="en-US"/>
        </w:rPr>
        <w:t>)</w:t>
      </w:r>
      <w:r w:rsidR="00493DFF" w:rsidRPr="00CB1C44">
        <w:rPr>
          <w:rFonts w:ascii="Arial" w:hAnsi="Arial" w:cs="Arial"/>
          <w:lang w:val="en-US"/>
        </w:rPr>
        <w:t xml:space="preserve"> group</w:t>
      </w:r>
      <w:r w:rsidR="00E627D4" w:rsidRPr="00CB1C44">
        <w:rPr>
          <w:rFonts w:ascii="Arial" w:hAnsi="Arial" w:cs="Arial"/>
          <w:lang w:val="en-US"/>
        </w:rPr>
        <w:t>,</w:t>
      </w:r>
      <w:r w:rsidR="00D872D8" w:rsidRPr="00CB1C44">
        <w:rPr>
          <w:rFonts w:ascii="Arial" w:hAnsi="Arial" w:cs="Arial"/>
          <w:lang w:val="en-US"/>
        </w:rPr>
        <w:t xml:space="preserve"> as suggest</w:t>
      </w:r>
      <w:r w:rsidR="00343142" w:rsidRPr="00CB1C44">
        <w:rPr>
          <w:rFonts w:ascii="Arial" w:hAnsi="Arial" w:cs="Arial"/>
          <w:lang w:val="en-US"/>
        </w:rPr>
        <w:t>ed</w:t>
      </w:r>
      <w:r w:rsidR="00D872D8" w:rsidRPr="00CB1C44">
        <w:rPr>
          <w:rFonts w:ascii="Arial" w:hAnsi="Arial" w:cs="Arial"/>
          <w:lang w:val="en-US"/>
        </w:rPr>
        <w:t xml:space="preserve"> by </w:t>
      </w:r>
      <w:r w:rsidR="00493DFF" w:rsidRPr="00CB1C44">
        <w:rPr>
          <w:rFonts w:ascii="Arial" w:hAnsi="Arial" w:cs="Arial"/>
          <w:lang w:val="en-US"/>
        </w:rPr>
        <w:t xml:space="preserve">decreased vitamin E levels </w:t>
      </w:r>
      <w:r w:rsidR="00D872D8" w:rsidRPr="00CB1C44">
        <w:rPr>
          <w:rFonts w:ascii="Arial" w:hAnsi="Arial" w:cs="Arial"/>
          <w:lang w:val="en-US"/>
        </w:rPr>
        <w:t xml:space="preserve">in the plasma of mild AD patients </w:t>
      </w:r>
      <w:r w:rsidR="00493DFF" w:rsidRPr="00CB1C44">
        <w:rPr>
          <w:rFonts w:ascii="Arial" w:hAnsi="Arial" w:cs="Arial"/>
          <w:lang w:val="en-US"/>
        </w:rPr>
        <w:t>and</w:t>
      </w:r>
      <w:r w:rsidR="00D872D8" w:rsidRPr="00CB1C44">
        <w:rPr>
          <w:rFonts w:ascii="Arial" w:hAnsi="Arial" w:cs="Arial"/>
          <w:lang w:val="en-US"/>
        </w:rPr>
        <w:t xml:space="preserve"> </w:t>
      </w:r>
      <w:r w:rsidR="00343142" w:rsidRPr="00CB1C44">
        <w:rPr>
          <w:rFonts w:ascii="Arial" w:hAnsi="Arial" w:cs="Arial"/>
          <w:lang w:val="en-US"/>
        </w:rPr>
        <w:t xml:space="preserve">increased </w:t>
      </w:r>
      <w:r w:rsidR="00D872D8" w:rsidRPr="00CB1C44">
        <w:rPr>
          <w:rFonts w:ascii="Arial" w:hAnsi="Arial" w:cs="Arial"/>
          <w:lang w:val="en-US"/>
        </w:rPr>
        <w:t xml:space="preserve">oxidized </w:t>
      </w:r>
      <w:r w:rsidR="00D92445" w:rsidRPr="00CB1C44">
        <w:rPr>
          <w:rFonts w:ascii="Arial" w:hAnsi="Arial" w:cs="Arial"/>
          <w:lang w:val="en-US"/>
        </w:rPr>
        <w:t xml:space="preserve">glutathione (GSSG) </w:t>
      </w:r>
      <w:r w:rsidR="00D872D8" w:rsidRPr="00CB1C44">
        <w:rPr>
          <w:rFonts w:ascii="Arial" w:hAnsi="Arial" w:cs="Arial"/>
          <w:lang w:val="en-US"/>
        </w:rPr>
        <w:t xml:space="preserve">levels in </w:t>
      </w:r>
      <w:r w:rsidR="00343142" w:rsidRPr="00CB1C44">
        <w:rPr>
          <w:rFonts w:ascii="Arial" w:hAnsi="Arial" w:cs="Arial"/>
          <w:lang w:val="en-US"/>
        </w:rPr>
        <w:t xml:space="preserve">the </w:t>
      </w:r>
      <w:r w:rsidR="00D872D8" w:rsidRPr="00CB1C44">
        <w:rPr>
          <w:rFonts w:ascii="Arial" w:hAnsi="Arial" w:cs="Arial"/>
          <w:lang w:val="en-US"/>
        </w:rPr>
        <w:t xml:space="preserve">plasma </w:t>
      </w:r>
      <w:r w:rsidR="00343142" w:rsidRPr="00CB1C44">
        <w:rPr>
          <w:rFonts w:ascii="Arial" w:hAnsi="Arial" w:cs="Arial"/>
          <w:lang w:val="en-US"/>
        </w:rPr>
        <w:t xml:space="preserve">of </w:t>
      </w:r>
      <w:r w:rsidR="00493DFF" w:rsidRPr="00CB1C44">
        <w:rPr>
          <w:rFonts w:ascii="Arial" w:hAnsi="Arial" w:cs="Arial"/>
          <w:lang w:val="en-US"/>
        </w:rPr>
        <w:t xml:space="preserve">both MCI and mild AD patients </w:t>
      </w:r>
      <w:r w:rsidR="00493DFF"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{"citationItems":[{"id":"ITEM-1","itemData":{"ISSN":"1387-2877","PMID":"18780972","abstract":"Oxidative stress has been shown to be a triggering event in the pathogenesis of Alzheimer's disease (AD). However, little evidence exists on the role of oxidative imbalance in Mild Cognitive Impairment (MCI), a group with a high risk of progression to AD. We therefore assessed the peripheral blood levels of a broad spectrum of non-enzymatic and enzymatic antioxidant defenses, as well as lipid and protein oxidation markers and nitrogen oxidative species in 85 MCI patients, 42 mild AD patients and 37 age-matched controls. In mild AD patients, the plasma levels of vitamin E were significantly decreased, while the plasma concentration of oxidized glutathione was increased in both MCI and mild AD patients. An increase in plasmatic and erythrocytes oxidative markers was also observed in MCI and mild AD patients as compared to controls. In both patients groups, increased levels of plasma antioxidants were found in females, whereas apolipoprotein E epsilon4 allele carriers showed higher indices of intracellular oxidative markers. Moreover, in MCI patients, cognitive function positively correlates with antioxidant levels. This study shows that most of the oxidative changes found in mild AD patients are already present in the MCI group, and that progression to AD might be accompanied by antioxidant depletion.","author":[{"dropping-particle":"","family":"Baldeiras","given":"Inês","non-dropping-particle":"","parse-names":false,"suffix":""},{"dropping-particle":"","family":"Santana","given":"Isabel","non-dropping-particle":"","parse-names":false,"suffix":""},{"dropping-particle":"","family":"Proença","given":"Maria Teresa","non-dropping-particle":"","parse-names":false,"suffix":""},{"dropping-particle":"","family":"Garrucho","given":"Maria Helena","non-dropping-particle":"","parse-names":false,"suffix":""},{"dropping-particle":"","family":"Pascoal","given":"Rui","non-dropping-particle":"","parse-names":false,"suffix":""},{"dropping-particle":"","family":"Rodrigues","given":"Ana","non-dropping-particle":"","parse-names":false,"suffix":""},{"dropping-particle":"","family":"Duro","given":"Diana","non-dropping-particle":"","parse-names":false,"suffix":""},{"dropping-particle":"","family":"Oliveira","given":"Catarina Resende","non-dropping-particle":"","parse-names":false,"suffix":""}],"container-title":"Journal of Alzheimer's disease : JAD","id":"ITEM-1","issue":"1","issued":{"date-parts":[["2008"]]},"page":"117-28","title":"Peripheral oxidative damage in mild cognitive impairment and mild Alzheimer's disease.","type":"article-journal","volume":"15"},"uris":["http://www.mendeley.com/documents/?uuid=6156f81e-de21-44d1-a7b9-a9a7a5127ddd"]}],"mendeley":{"formattedCitation":"(Baldeiras et al., 2008)","plainTextFormattedCitation":"(Baldeiras et al., 2008)","previouslyFormattedCitation":"(Baldeiras et al., 2008)"},"properties":{"noteIndex":0},"schema":"https://github.com/citation-style-language/schema/raw/master/csl-citation.json"}</w:instrText>
      </w:r>
      <w:r w:rsidR="00493DFF" w:rsidRPr="00CB1C44">
        <w:rPr>
          <w:rFonts w:ascii="Arial" w:hAnsi="Arial" w:cs="Arial"/>
          <w:lang w:val="en-US"/>
        </w:rPr>
        <w:fldChar w:fldCharType="separate"/>
      </w:r>
      <w:r w:rsidR="00DD645C" w:rsidRPr="00CB1C44">
        <w:rPr>
          <w:rFonts w:ascii="Arial" w:hAnsi="Arial" w:cs="Arial"/>
          <w:noProof/>
          <w:lang w:val="en-US"/>
        </w:rPr>
        <w:t>(Baldeiras et al., 2008)</w:t>
      </w:r>
      <w:r w:rsidR="00493DFF" w:rsidRPr="00CB1C44">
        <w:rPr>
          <w:rFonts w:ascii="Arial" w:hAnsi="Arial" w:cs="Arial"/>
          <w:lang w:val="en-US"/>
        </w:rPr>
        <w:fldChar w:fldCharType="end"/>
      </w:r>
      <w:r w:rsidR="00493DFF" w:rsidRPr="00CB1C44">
        <w:rPr>
          <w:rFonts w:ascii="Arial" w:hAnsi="Arial" w:cs="Arial"/>
          <w:lang w:val="en-US"/>
        </w:rPr>
        <w:t xml:space="preserve">. </w:t>
      </w:r>
      <w:r w:rsidR="00E84D61" w:rsidRPr="00CB1C44">
        <w:rPr>
          <w:rFonts w:ascii="Arial" w:hAnsi="Arial" w:cs="Arial"/>
          <w:lang w:val="en-US"/>
        </w:rPr>
        <w:t>In addition</w:t>
      </w:r>
      <w:r w:rsidR="009070FA" w:rsidRPr="00CB1C44">
        <w:rPr>
          <w:rFonts w:ascii="Arial" w:hAnsi="Arial" w:cs="Arial"/>
          <w:lang w:val="en-US"/>
        </w:rPr>
        <w:t xml:space="preserve">, </w:t>
      </w:r>
      <w:r w:rsidR="00493DFF" w:rsidRPr="00CB1C44">
        <w:rPr>
          <w:rFonts w:ascii="Arial" w:hAnsi="Arial" w:cs="Arial"/>
          <w:lang w:val="en-US"/>
        </w:rPr>
        <w:t>we previously observed</w:t>
      </w:r>
      <w:r w:rsidR="00CC3A5B" w:rsidRPr="00CB1C44">
        <w:rPr>
          <w:rFonts w:ascii="Arial" w:hAnsi="Arial" w:cs="Arial"/>
          <w:lang w:val="en-US"/>
        </w:rPr>
        <w:t xml:space="preserve"> </w:t>
      </w:r>
      <w:r w:rsidR="00493DFF" w:rsidRPr="00CB1C44">
        <w:rPr>
          <w:rFonts w:ascii="Arial" w:hAnsi="Arial" w:cs="Arial"/>
          <w:lang w:val="en-US"/>
        </w:rPr>
        <w:t>ER stress-mediated Ca</w:t>
      </w:r>
      <w:r w:rsidR="00493DFF" w:rsidRPr="00CB1C44">
        <w:rPr>
          <w:rFonts w:ascii="Arial" w:hAnsi="Arial" w:cs="Arial"/>
          <w:vertAlign w:val="superscript"/>
          <w:lang w:val="en-US"/>
        </w:rPr>
        <w:t>2+</w:t>
      </w:r>
      <w:r w:rsidR="00493DFF" w:rsidRPr="00CB1C44">
        <w:rPr>
          <w:rFonts w:ascii="Arial" w:hAnsi="Arial" w:cs="Arial"/>
          <w:lang w:val="en-US"/>
        </w:rPr>
        <w:t xml:space="preserve"> </w:t>
      </w:r>
      <w:proofErr w:type="spellStart"/>
      <w:r w:rsidR="00493DFF" w:rsidRPr="00CB1C44">
        <w:rPr>
          <w:rFonts w:ascii="Arial" w:hAnsi="Arial" w:cs="Arial"/>
          <w:lang w:val="en-US"/>
        </w:rPr>
        <w:t>dyshomeostasis</w:t>
      </w:r>
      <w:proofErr w:type="spellEnd"/>
      <w:r w:rsidR="00493DFF" w:rsidRPr="00CB1C44">
        <w:rPr>
          <w:rFonts w:ascii="Arial" w:hAnsi="Arial" w:cs="Arial"/>
          <w:lang w:val="en-US"/>
        </w:rPr>
        <w:t xml:space="preserve"> and ER-associated ROS generation in peripheral blood mononuclear cells (PBMCs) </w:t>
      </w:r>
      <w:r w:rsidR="00343142" w:rsidRPr="00CB1C44">
        <w:rPr>
          <w:rFonts w:ascii="Arial" w:hAnsi="Arial" w:cs="Arial"/>
          <w:lang w:val="en-US"/>
        </w:rPr>
        <w:t xml:space="preserve">from MCI patients </w:t>
      </w:r>
      <w:r w:rsidR="00493DFF" w:rsidRPr="00CB1C44">
        <w:rPr>
          <w:rFonts w:ascii="Arial" w:hAnsi="Arial" w:cs="Arial"/>
          <w:lang w:val="en-US"/>
        </w:rPr>
        <w:t>concomitant with increase</w:t>
      </w:r>
      <w:r w:rsidR="00E627D4" w:rsidRPr="00CB1C44">
        <w:rPr>
          <w:rFonts w:ascii="Arial" w:hAnsi="Arial" w:cs="Arial"/>
          <w:lang w:val="en-US"/>
        </w:rPr>
        <w:t>d</w:t>
      </w:r>
      <w:r w:rsidR="00D91CCE" w:rsidRPr="00CB1C44">
        <w:rPr>
          <w:rFonts w:ascii="Arial" w:hAnsi="Arial" w:cs="Arial"/>
          <w:lang w:val="en-US"/>
        </w:rPr>
        <w:t xml:space="preserve"> Nrf2 phosphorylation at Ser40, </w:t>
      </w:r>
      <w:r w:rsidR="00E627D4" w:rsidRPr="00CB1C44">
        <w:rPr>
          <w:rFonts w:ascii="Arial" w:hAnsi="Arial" w:cs="Arial"/>
          <w:lang w:val="en-US"/>
        </w:rPr>
        <w:t>a residue reported to target</w:t>
      </w:r>
      <w:r w:rsidR="00493DFF" w:rsidRPr="00CB1C44">
        <w:rPr>
          <w:rFonts w:ascii="Arial" w:hAnsi="Arial" w:cs="Arial"/>
          <w:lang w:val="en-US"/>
        </w:rPr>
        <w:t xml:space="preserve"> Nrf2 nuclear translocation </w:t>
      </w:r>
      <w:r w:rsidR="00493DFF"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{"citationItems":[{"id":"ITEM-1","itemData":{"DOI":"10.1016/j.bbadis.2015.03.015","ISBN":"0006-3002 (Print)\\r0006-3002 (Linking)","ISSN":"1879260X","PMID":"25857617","abstract":"Oxidative stress and endoplasmic reticulum (ER) stress have been associated with Alzheimer's disease (AD) progression. In this study we analyzed whether oxidative stress involving changes in Nrf2 and ER stress may constitute early events in AD pathogenesis by using human peripheral blood cells and an AD transgenic mouse model at different disease stages. Increased oxidative stress and increased phosphorylated Nrf2 (p(Ser40)Nrf2) were observed in human peripheral blood mononuclear cells (PBMCs) isolated from individuals with mild cognitive impairment (MCI). Moreover, we observed impaired ER Ca&lt;sup&gt;2+&lt;/sup&gt; homeostasis and increased ER stress markers in PBMCs from MCI individuals and mild AD patients. Evidence of early oxidative stress defense mechanisms in AD was substantiated by increased p(Ser40)Nrf2 in 3month-old 3xTg-AD male mice PBMCs, and also with increased nuclear Nrf2 levels in brain cortex. However, SOD1 protein levels were decreased in human MCI PBMCs and in 3xTg-AD mice brain cortex; the latter further correlated with reduced SOD1 mRNA levels. Increased ER stress was also detected in the brain cortex of young female and old male 3xTg-AD mice. We demonstrate oxidative stress and early Nrf2 activation in AD human and mouse models, which fails to regulate some of its targets, leading to repressed expression of antioxidant defenses (e.g., SOD-1), and extending to ER stress. Results suggest markers of prodromal AD linked to oxidative stress associated with Nrf2 activation and ER stress that may be followed in human peripheral blood mononuclear cells.","author":[{"dropping-particle":"","family":"Mota","given":"Sandra I.","non-dropping-particle":"","parse-names":false,"suffix":""},{"dropping-particle":"","family":"Costa","given":"Rui O.","non-dropping-particle":"","parse-names":false,"suffix":""},{"dropping-particle":"","family":"Ferreira","given":"Ildete L.","non-dropping-particle":"","parse-names":false,"suffix":""},{"dropping-particle":"","family":"Santana","given":"Isabel","non-dropping-particle":"","parse-names":false,"suffix":""},{"dropping-particle":"","family":"Caldeira","given":"Gladys L.","non-dropping-particle":"","parse-names":false,"suffix":""},{"dropping-particle":"","family":"Padovano","given":"Carmela","non-dropping-particle":"","parse-names":false,"suffix":""},{"dropping-particle":"","family":"Fonseca","given":"Ana C.","non-dropping-particle":"","parse-names":false,"suffix":""},{"dropping-particle":"","family":"Baldeiras","given":"In??s","non-dropping-particle":"","parse-names":false,"suffix":""},{"dropping-particle":"","family":"Cunha","given":"Catarina","non-dropping-particle":"","parse-names":false,"suffix":""},{"dropping-particle":"","family":"Letra","given":"Liliana","non-dropping-particle":"","parse-names":false,"suffix":""},{"dropping-particle":"","family":"Oliveira","given":"Catarina R.","non-dropping-particle":"","parse-names":false,"suffix":""},{"dropping-particle":"","family":"Pereira","given":"Cl??udia M F","non-dropping-particle":"","parse-names":false,"suffix":""},{"dropping-particle":"","family":"Rego","given":"Ana Cristina","non-dropping-particle":"","parse-names":false,"suffix":""}],"container-title":"Biochimica et Biophysica Acta - Molecular Basis of Disease","id":"ITEM-1","issue":"7","issued":{"date-parts":[["2015"]]},"page":"1428-1441","publisher":"Elsevier B.V.","title":"Oxidative stress involving changes in Nrf2 and ER stress in early stages of Alzheimer's disease","type":"article-journal","volume":"1852"},"uris":["http://www.mendeley.com/documents/?uuid=becaf500-ac4c-4d8a-ac20-2f9d8fdf764c"]}],"mendeley":{"formattedCitation":"(Mota et al., 2015)","plainTextFormattedCitation":"(Mota et al., 2015)","previouslyFormattedCitation":"(Mota et al., 2015)"},"properties":{"noteIndex":0},"schema":"https://github.com/citation-style-language/schema/raw/master/csl-citation.json"}</w:instrText>
      </w:r>
      <w:r w:rsidR="00493DFF" w:rsidRPr="00CB1C44">
        <w:rPr>
          <w:rFonts w:ascii="Arial" w:hAnsi="Arial" w:cs="Arial"/>
          <w:lang w:val="en-US"/>
        </w:rPr>
        <w:fldChar w:fldCharType="separate"/>
      </w:r>
      <w:r w:rsidR="00DD645C" w:rsidRPr="00CB1C44">
        <w:rPr>
          <w:rFonts w:ascii="Arial" w:hAnsi="Arial" w:cs="Arial"/>
          <w:noProof/>
          <w:lang w:val="en-US"/>
        </w:rPr>
        <w:t>(Mota et al., 2015)</w:t>
      </w:r>
      <w:r w:rsidR="00493DFF" w:rsidRPr="00CB1C44">
        <w:rPr>
          <w:rFonts w:ascii="Arial" w:hAnsi="Arial" w:cs="Arial"/>
          <w:lang w:val="en-US"/>
        </w:rPr>
        <w:fldChar w:fldCharType="end"/>
      </w:r>
      <w:r w:rsidR="00493DFF" w:rsidRPr="00CB1C44">
        <w:rPr>
          <w:rFonts w:ascii="Arial" w:hAnsi="Arial" w:cs="Arial"/>
          <w:lang w:val="en-US"/>
        </w:rPr>
        <w:t>.</w:t>
      </w:r>
    </w:p>
    <w:p w14:paraId="06A8E818" w14:textId="77777777" w:rsidR="00BB52DF" w:rsidRPr="00CB1C44" w:rsidRDefault="00BB52DF" w:rsidP="00BB52DF">
      <w:pPr>
        <w:spacing w:after="0" w:line="360" w:lineRule="auto"/>
        <w:jc w:val="both"/>
        <w:outlineLvl w:val="0"/>
        <w:rPr>
          <w:rFonts w:ascii="Arial" w:hAnsi="Arial" w:cs="Arial"/>
          <w:b/>
          <w:lang w:val="en-US"/>
        </w:rPr>
      </w:pPr>
    </w:p>
    <w:p w14:paraId="3E96CF5A" w14:textId="78106566" w:rsidR="0073277C" w:rsidRPr="00CB1C44" w:rsidRDefault="00E969E5" w:rsidP="004038B5">
      <w:pPr>
        <w:spacing w:after="0" w:line="360" w:lineRule="auto"/>
        <w:jc w:val="both"/>
        <w:outlineLvl w:val="0"/>
        <w:rPr>
          <w:rFonts w:ascii="Arial" w:hAnsi="Arial" w:cs="Arial"/>
          <w:b/>
          <w:lang w:val="en-US"/>
        </w:rPr>
      </w:pPr>
      <w:r w:rsidRPr="00CB1C44">
        <w:rPr>
          <w:rFonts w:ascii="Arial" w:hAnsi="Arial" w:cs="Arial"/>
          <w:b/>
          <w:lang w:val="en-US"/>
        </w:rPr>
        <w:t>3.1.1</w:t>
      </w:r>
      <w:r w:rsidR="00A70A84" w:rsidRPr="00CB1C44">
        <w:rPr>
          <w:rFonts w:ascii="Arial" w:hAnsi="Arial" w:cs="Arial"/>
          <w:b/>
          <w:lang w:val="en-US"/>
        </w:rPr>
        <w:t xml:space="preserve"> </w:t>
      </w:r>
      <w:r w:rsidR="0073277C" w:rsidRPr="00CB1C44">
        <w:rPr>
          <w:rFonts w:ascii="Arial" w:hAnsi="Arial" w:cs="Arial"/>
          <w:b/>
          <w:lang w:val="en-US"/>
        </w:rPr>
        <w:t xml:space="preserve">Nrf2-ARE </w:t>
      </w:r>
      <w:r w:rsidR="004A4D84" w:rsidRPr="00CB1C44">
        <w:rPr>
          <w:rFonts w:ascii="Arial" w:hAnsi="Arial" w:cs="Arial"/>
          <w:b/>
          <w:lang w:val="en-US"/>
        </w:rPr>
        <w:t>pathway</w:t>
      </w:r>
      <w:r w:rsidR="0073277C" w:rsidRPr="00CB1C44">
        <w:rPr>
          <w:rFonts w:ascii="Arial" w:hAnsi="Arial" w:cs="Arial"/>
          <w:b/>
          <w:lang w:val="en-US"/>
        </w:rPr>
        <w:t xml:space="preserve"> in Alzheimer’s disease</w:t>
      </w:r>
    </w:p>
    <w:p w14:paraId="543EB677" w14:textId="6A117BB2" w:rsidR="000337F1" w:rsidRPr="00CB1C44" w:rsidRDefault="00DC0CD7" w:rsidP="000337F1">
      <w:pPr>
        <w:spacing w:after="0" w:line="360" w:lineRule="auto"/>
        <w:jc w:val="both"/>
        <w:rPr>
          <w:rFonts w:ascii="Arial" w:hAnsi="Arial" w:cs="Arial"/>
          <w:lang w:val="en-US"/>
        </w:rPr>
      </w:pPr>
      <w:r w:rsidRPr="00CB1C44">
        <w:rPr>
          <w:rFonts w:ascii="Arial" w:hAnsi="Arial" w:cs="Arial"/>
          <w:lang w:val="en-US"/>
        </w:rPr>
        <w:t xml:space="preserve">In </w:t>
      </w:r>
      <w:r w:rsidR="003751BC" w:rsidRPr="00CB1C44">
        <w:rPr>
          <w:rFonts w:ascii="Arial" w:hAnsi="Arial" w:cs="Arial"/>
          <w:lang w:val="en-US"/>
        </w:rPr>
        <w:t xml:space="preserve">the </w:t>
      </w:r>
      <w:r w:rsidRPr="00CB1C44">
        <w:rPr>
          <w:rFonts w:ascii="Arial" w:hAnsi="Arial" w:cs="Arial"/>
          <w:lang w:val="en-US"/>
        </w:rPr>
        <w:t xml:space="preserve">last </w:t>
      </w:r>
      <w:r w:rsidR="00C77444" w:rsidRPr="00CB1C44">
        <w:rPr>
          <w:rFonts w:ascii="Arial" w:hAnsi="Arial" w:cs="Arial"/>
          <w:lang w:val="en-US"/>
        </w:rPr>
        <w:t>decades,</w:t>
      </w:r>
      <w:r w:rsidRPr="00CB1C44">
        <w:rPr>
          <w:rFonts w:ascii="Arial" w:hAnsi="Arial" w:cs="Arial"/>
          <w:lang w:val="en-US"/>
        </w:rPr>
        <w:t xml:space="preserve"> several s</w:t>
      </w:r>
      <w:r w:rsidR="002E3895" w:rsidRPr="00CB1C44">
        <w:rPr>
          <w:rFonts w:ascii="Arial" w:hAnsi="Arial" w:cs="Arial"/>
          <w:lang w:val="en-US"/>
        </w:rPr>
        <w:t>tudies have reported different patterns of Nrf2 expression</w:t>
      </w:r>
      <w:r w:rsidR="00DA1FE2" w:rsidRPr="00CB1C44">
        <w:rPr>
          <w:rFonts w:ascii="Arial" w:hAnsi="Arial" w:cs="Arial"/>
          <w:lang w:val="en-US"/>
        </w:rPr>
        <w:t xml:space="preserve"> and related antioxidant proteins</w:t>
      </w:r>
      <w:r w:rsidR="002E3895" w:rsidRPr="00CB1C44">
        <w:rPr>
          <w:rFonts w:ascii="Arial" w:hAnsi="Arial" w:cs="Arial"/>
          <w:lang w:val="en-US"/>
        </w:rPr>
        <w:t xml:space="preserve"> in</w:t>
      </w:r>
      <w:r w:rsidR="00AE3B3F" w:rsidRPr="00CB1C44">
        <w:rPr>
          <w:rFonts w:ascii="Arial" w:hAnsi="Arial" w:cs="Arial"/>
          <w:lang w:val="en-US"/>
        </w:rPr>
        <w:t xml:space="preserve"> AD models.</w:t>
      </w:r>
      <w:r w:rsidR="002E3895" w:rsidRPr="00CB1C44">
        <w:rPr>
          <w:rFonts w:ascii="Arial" w:hAnsi="Arial" w:cs="Arial"/>
          <w:lang w:val="en-US"/>
        </w:rPr>
        <w:t xml:space="preserve"> </w:t>
      </w:r>
      <w:r w:rsidR="000337F1" w:rsidRPr="00CB1C44">
        <w:rPr>
          <w:rFonts w:ascii="Arial" w:hAnsi="Arial" w:cs="Arial"/>
          <w:lang w:val="en-US"/>
        </w:rPr>
        <w:t>In human studies</w:t>
      </w:r>
      <w:r w:rsidR="00E627D4" w:rsidRPr="00CB1C44">
        <w:rPr>
          <w:rFonts w:ascii="Arial" w:hAnsi="Arial" w:cs="Arial"/>
          <w:lang w:val="en-US"/>
        </w:rPr>
        <w:t>,</w:t>
      </w:r>
      <w:r w:rsidR="000337F1" w:rsidRPr="00CB1C44">
        <w:rPr>
          <w:rFonts w:ascii="Arial" w:hAnsi="Arial" w:cs="Arial"/>
          <w:lang w:val="en-US"/>
        </w:rPr>
        <w:t xml:space="preserve"> a significant decrease </w:t>
      </w:r>
      <w:r w:rsidR="00892A3A" w:rsidRPr="00CB1C44">
        <w:rPr>
          <w:rFonts w:ascii="Arial" w:hAnsi="Arial" w:cs="Arial"/>
          <w:lang w:val="en-US"/>
        </w:rPr>
        <w:t>in</w:t>
      </w:r>
      <w:r w:rsidR="000337F1" w:rsidRPr="00CB1C44">
        <w:rPr>
          <w:rFonts w:ascii="Arial" w:hAnsi="Arial" w:cs="Arial"/>
          <w:lang w:val="en-US"/>
        </w:rPr>
        <w:t xml:space="preserve"> nuclear Nrf2 levels and a confinement within cytoplasm in AD hippocampus </w:t>
      </w:r>
      <w:r w:rsidR="00892A3A" w:rsidRPr="00CB1C44">
        <w:rPr>
          <w:rFonts w:ascii="Arial" w:hAnsi="Arial" w:cs="Arial"/>
          <w:lang w:val="en-US"/>
        </w:rPr>
        <w:t xml:space="preserve">was observed </w:t>
      </w:r>
      <w:r w:rsidR="000337F1" w:rsidRPr="00CB1C44">
        <w:rPr>
          <w:rFonts w:ascii="Arial" w:hAnsi="Arial" w:cs="Arial"/>
          <w:lang w:val="en-US"/>
        </w:rPr>
        <w:t xml:space="preserve">when compared to age-matched control individuals, suggesting a decrease in Nrf2 activity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{"citationItems":[{"id":"ITEM-1","itemData":{"DOI":"10.1097/nen.0b013e31802d6da9","ISBN":"0022-3069 (Print)\\r0022-3069 (Linking)","ISSN":"0022-3069","PMID":"17204939","abstract":"In response to oxidative stress, the nuclear factor E2-related factor 2 (Nrf2) transcription factor translocates from the cytoplasm into the nucleus and transactivates expression of genes with antioxidant activity. Despite this cellular mechanism, oxidative damage is abundant in Alzheimer and Parkinson disease (AD and PD). To investigate mechanisms by which Nrf2 activity may be aberrant or insufficient in neurodegenerative conditions, we assessed Nrf2 localization in affected brain regions of AD, Lewy body variant of AD (LBVAD), and PD. By immunohistochemistry, Nrf2 is expressed in both the nucleus and the cytoplasm of neurons in normal hippocampi with predominant expression in the nucleus. In AD and LBVAD, Nrf2 was predominantly cytoplasmic in hippocampal neurons and was not a major component of beta amyloid plaques or neurofibrillary tangles. By immunoblotting, we observed a significant decrease in nuclear Nrf2 levels in AD cases. In contrast, Nrf2 was strongly nuclear in PD nigral neurons but cytoplasmic in substantia nigra of normal, AD, and LBVAD cases. These findings suggest that Nrf2-mediated transcription is not induced in neurons in AD despite the presence of oxidative stress. In PD, nuclear localization of Nrf2 is strongly induced, but this response may be insufficient to protect neurons from degeneration.","author":[{"dropping-particle":"","family":"Ramsey","given":"Chenere P","non-dropping-particle":"","parse-names":false,"suffix":""},{"dropping-particle":"","family":"Glass","given":"Charles A","non-dropping-particle":"","parse-names":false,"suffix":""},{"dropping-particle":"","family":"Montgomery","given":"Marshall B","non-dropping-particle":"","parse-names":false,"suffix":""},{"dropping-particle":"","family":"Lindl","given":"Kathryn A","non-dropping-particle":"","parse-names":false,"suffix":""},{"dropping-particle":"","family":"Ritson","given":"Gillian P","non-dropping-particle":"","parse-names":false,"suffix":""},{"dropping-particle":"","family":"Chia","given":"Luis A","non-dropping-particle":"","parse-names":false,"suffix":""},{"dropping-particle":"","family":"Hamilton","given":"Ronald L","non-dropping-particle":"","parse-names":false,"suffix":""},{"dropping-particle":"","family":"Chu","given":"Charleen T","non-dropping-particle":"","parse-names":false,"suffix":""},{"dropping-particle":"","family":"Jordan-Sciutto","given":"Kelly L","non-dropping-particle":"","parse-names":false,"suffix":""}],"container-title":"Journal of neuropathology and experimental neurology","id":"ITEM-1","issue":"1","issued":{"date-parts":[["2007"]]},"page":"75-85","title":"Expression of Nrf2 in neurodegenerative diseases.","type":"article-journal","volume":"66"},"uris":["http://www.mendeley.com/documents/?uuid=58a35ec4-e69a-4db1-947d-c7cabb75074e"]}],"mendeley":{"formattedCitation":"(Ramsey et al., 2007)","plainTextFormattedCitation":"(Ramsey et al., 2007)","previouslyFormattedCitation":"(Ramsey et al., 2007)"},"properties":{"noteIndex":0},"schema":"https://github.com/citation-style-language/schema/raw/master/csl-citation.json"}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(Ramsey et al., 2007)</w:t>
      </w:r>
      <w:r w:rsidR="000337F1" w:rsidRPr="00CB1C44">
        <w:rPr>
          <w:rFonts w:ascii="Arial" w:hAnsi="Arial" w:cs="Arial"/>
          <w:lang w:val="en-US"/>
        </w:rPr>
        <w:fldChar w:fldCharType="end"/>
      </w:r>
      <w:r w:rsidR="000337F1" w:rsidRPr="00CB1C44">
        <w:rPr>
          <w:rFonts w:ascii="Arial" w:hAnsi="Arial" w:cs="Arial"/>
          <w:lang w:val="en-US"/>
        </w:rPr>
        <w:t xml:space="preserve">. Accordingly, the activity of antioxidant enzymes regulated by Nrf2, namely </w:t>
      </w:r>
      <w:r w:rsidR="008A5840" w:rsidRPr="00CB1C44">
        <w:rPr>
          <w:rFonts w:ascii="Arial" w:hAnsi="Arial" w:cs="Arial"/>
          <w:lang w:val="en-US"/>
        </w:rPr>
        <w:t>SOD1</w:t>
      </w:r>
      <w:r w:rsidR="000337F1" w:rsidRPr="00CB1C44">
        <w:rPr>
          <w:rFonts w:ascii="Arial" w:hAnsi="Arial" w:cs="Arial"/>
          <w:lang w:val="en-US"/>
        </w:rPr>
        <w:t xml:space="preserve"> and GSH-Px, were shown to be decreased in hippocampal AD tissues when compared with controls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{"citationItems":[{"id":"ITEM-1","itemData":{"ISSN":"1875-8908","PMID":"12213999","abstract":"A growing body of data suggests that free radicals are involved in the pathogenesis of Alzheimer's disease (AD). Increased expression of antioxidant enzymes, such as superoxide dismutase (SOD), and their co-localization to senile plaques and dystrophic neurites have established a firm association between free-radical mediated injury and the disease neuropathology. While several studies have confirmed these findings, there is conflicting information regarding the activity of some of the enzymes. In the current report, we assayed the activity of superoxide dismutase (SOD), catalase and glutathione peroxidase (GSH-Px) from the same areas of the tissue showing increased expression of SOD1 and SOD2 (parallel sequential slices). Nine brains with neuropathologically confirmed AD and six neuropathologically normal, age-matched, controls were examined. Despite marked increased expression of SOD1 and SOD2 within senile plaques in all the cases studied, the activities of SOD, GSH-Px and catalase were significantly lower in AD than in control brains. The difference was most profound in the case of catalase followed by GSH-Px and SOD. These data are in qualitative agreement with that of several laboratories, and support a decrease rather than an increase, in antioxidant enzyme activity. The findings suggest two main possibilities. On one hand, the observed reduced activity along with antigenically increased expression may be consistent with inactivation of excess protein that has been synthesized under conditions of high oxidative stress. Increased protein oxidation coupled with enzyme inactivation is a documented, aging-associated phenomenon. Alternatively, the increased immuno-reactivity may reflect a redistribution phenomenon as the enzymes become more concentrated at the sites of increased oxidative stress, despite an over all reduction in their activity.","author":[{"dropping-particle":"","family":"Omar","given":"Rawhi a.","non-dropping-particle":"","parse-names":false,"suffix":""},{"dropping-particle":"","family":"Chyan","given":"Y.-J.","non-dropping-particle":"","parse-names":false,"suffix":""},{"dropping-particle":"","family":"Andorn","given":"Anne C.","non-dropping-particle":"","parse-names":false,"suffix":""},{"dropping-particle":"","family":"Poeggeler","given":"Burkhart","non-dropping-particle":"","parse-names":false,"suffix":""},{"dropping-particle":"","family":"Robakis","given":"Nikolaos K.","non-dropping-particle":"","parse-names":false,"suffix":""},{"dropping-particle":"","family":"Pappolla","given":"Miguel a.","non-dropping-particle":"","parse-names":false,"suffix":""}],"container-title":"Journal of Alzheimer's disease : JAD","id":"ITEM-1","issue":"3","issued":{"date-parts":[["1999","10"]]},"page":"139-145","title":"Increased Expression but Reduced Activity of Antioxidant Enzymes in Alzheimer's Disease.","type":"article-journal","volume":"1"},"uris":["http://www.mendeley.com/documents/?uuid=5a9e8ba8-1054-496e-a36e-c21626d9c257"]}],"mendeley":{"formattedCitation":"(Omar et al., 1999)","plainTextFormattedCitation":"(Omar et al., 1999)","previouslyFormattedCitation":"(Omar et al., 1999)"},"properties":{"noteIndex":0},"schema":"https://github.com/citation-style-language/schema/raw/master/csl-citation.json"}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(Omar et al., 1999)</w:t>
      </w:r>
      <w:r w:rsidR="000337F1" w:rsidRPr="00CB1C44">
        <w:rPr>
          <w:rFonts w:ascii="Arial" w:hAnsi="Arial" w:cs="Arial"/>
          <w:lang w:val="en-US"/>
        </w:rPr>
        <w:fldChar w:fldCharType="end"/>
      </w:r>
      <w:r w:rsidR="000337F1" w:rsidRPr="00CB1C44">
        <w:rPr>
          <w:rFonts w:ascii="Arial" w:hAnsi="Arial" w:cs="Arial"/>
          <w:lang w:val="en-US"/>
        </w:rPr>
        <w:t xml:space="preserve">, although NQO1 activity was increased in AD hippocampal pyramidal neurons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{"citationItems":[{"id":"ITEM-1","itemData":{"DOI":"10.1016/S0197-4580(00)00114-7","ISSN":"01974580","PMID":"10924765","abstract":"NAD(P)H:quinone oxidoreductase (QR) catalyzes the two-electron reduction of quinones, preventing their participation in redox cycling and subsequent generation of reactive oxygen species. Pretreatment of neuroblastoma cells with compounds, such as tert-butylhydroquinone and dimethyl fumarate, that increase QR expression protect cells from oxidative stress-induced cell death by glutamate, H(2)O(2,) and dopamine. The potential neuroprotective role of QR as well as the evidence for oxidative stress-induced neuronal cell death in Alzheimer's disease (AD) led us to examine the expression pattern of QR from AD and control patients. Histochemical staining of hippocampal sections from AD patients revealed QR activity in pyramidal neurons. The presence of QR protein in these neurons also was confirmed by immunoreactivity. In control patients, hippocampal pyramidal neurons were negative for both QR enzymatic activity and QR immunoreactivity. In addition, the QR positive neurons of AD patients were selectively located in areas where neuronal populations exhibited tau immunostaining. Our data demonstrate that QR is up-regulated in hippocampal pyramidal neurons of AD patients. We hypothesize that this is part of a neuroprotective system up-regulated in response to the AD process. Understanding this system may lead to further insights into the pathogenesis and potential new avenues of treatment for AD.","author":[{"dropping-particle":"","family":"Wang","given":"Y","non-dropping-particle":"","parse-names":false,"suffix":""},{"dropping-particle":"","family":"Santa-Cruz","given":"K","non-dropping-particle":"","parse-names":false,"suffix":""},{"dropping-particle":"","family":"DeCarli","given":"C","non-dropping-particle":"","parse-names":false,"suffix":""},{"dropping-particle":"","family":"Johnson","given":"J a","non-dropping-particle":"","parse-names":false,"suffix":""}],"container-title":"Neurobiology of aging","id":"ITEM-1","issue":"4","issued":{"date-parts":[["2000"]]},"page":"525-531","title":"NAD(P)H:quinone oxidoreductase activity is increased in hippocampal pyramidal neurons of patients with Aalzheimer's disease.","type":"article-journal","volume":"21"},"uris":["http://www.mendeley.com/documents/?uuid=bc2b0aa6-1860-4109-be47-c828bccab359"]}],"mendeley":{"formattedCitation":"(Wang et al., 2000)","plainTextFormattedCitation":"(Wang et al., 2000)","previouslyFormattedCitation":"(Wang et al., 2000)"},"properties":{"noteIndex":0},"schema":"https://github.com/citation-style-language/schema/raw/master/csl-citation.json"}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(Wang et al., 2000)</w:t>
      </w:r>
      <w:r w:rsidR="000337F1" w:rsidRPr="00CB1C44">
        <w:rPr>
          <w:rFonts w:ascii="Arial" w:hAnsi="Arial" w:cs="Arial"/>
          <w:lang w:val="en-US"/>
        </w:rPr>
        <w:fldChar w:fldCharType="end"/>
      </w:r>
      <w:r w:rsidR="000337F1" w:rsidRPr="00CB1C44">
        <w:rPr>
          <w:rFonts w:ascii="Arial" w:hAnsi="Arial" w:cs="Arial"/>
          <w:lang w:val="en-US"/>
        </w:rPr>
        <w:t>. Moreover, catalase and SOD</w:t>
      </w:r>
      <w:r w:rsidR="008A5840" w:rsidRPr="00CB1C44">
        <w:rPr>
          <w:rFonts w:ascii="Arial" w:hAnsi="Arial" w:cs="Arial"/>
          <w:lang w:val="en-US"/>
        </w:rPr>
        <w:t>1</w:t>
      </w:r>
      <w:r w:rsidR="000337F1" w:rsidRPr="00CB1C44">
        <w:rPr>
          <w:rFonts w:ascii="Arial" w:hAnsi="Arial" w:cs="Arial"/>
          <w:lang w:val="en-US"/>
        </w:rPr>
        <w:t xml:space="preserve"> activities appeared to be decreased in frontal and temporal cortex of AD brains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{"citationItems":[{"id":"ITEM-1","itemData":{"DOI":"10.1006/exnr.1997.6750","ISBN":"0014-4886 (Print)\\n0014-4886 (Linking)","ISSN":"0014-4886","PMID":"9514828","abstract":"The overall peroxidation activity in brain tissue by region from patients with Alzheimer's disease (AD) and age-matched controls was determined employing the thiobarbituric acid-reactive substances (TBARS) assay, a measure of lipid peroxidation, followed by a determination the activities of the antioxidant enzymes Cu/Zn superoxide dismutase (SOD), glutathione peroxidase (GSH-Px), and catalase (CAT), in the frontal, temporal, and cerebellar cortex of 10 AD and 9 control brains. The level of TBARS was elevated in all regions, with particular statistical significance in the temporal cortex when compared to age-matched controls. SOD activity was significantly decreased in AD frontal and AD temporal cortex, while catalase activity was significantly decreased in AD temporal cortex. There was no significant difference in GSH-Px activity found in any of the regions examined. This study supports the theory that in AD the brain is affected by increased oxidative stress which, when combined with a decrease in SOD activity, produces oxidative alterations, seen most significantly in temporal cortex in AD, where the pathophysiologic changes are most severe.","author":[{"dropping-particle":"","family":"Marcus","given":"D L","non-dropping-particle":"","parse-names":false,"suffix":""},{"dropping-particle":"","family":"Thomas","given":"C","non-dropping-particle":"","parse-names":false,"suffix":""},{"dropping-particle":"","family":"Rodriguez","given":"C","non-dropping-particle":"","parse-names":false,"suffix":""},{"dropping-particle":"","family":"Simberkoff","given":"K","non-dropping-particle":"","parse-names":false,"suffix":""},{"dropping-particle":"","family":"Tsai","given":"J S","non-dropping-particle":"","parse-names":false,"suffix":""},{"dropping-particle":"","family":"Strafaci","given":"J a","non-dropping-particle":"","parse-names":false,"suffix":""},{"dropping-particle":"","family":"Freedman","given":"M L","non-dropping-particle":"","parse-names":false,"suffix":""}],"container-title":"Experimental neurology","id":"ITEM-1","issue":"150","issued":{"date-parts":[["1998"]]},"page":"40-44","title":"Increased peroxidation and reduced antioxidant enzyme activity in Alzheimer's disease.","type":"article-journal","volume":"150"},"uris":["http://www.mendeley.com/documents/?uuid=ca92530d-4e34-467a-95a2-c68078e25aae"]}],"mendeley":{"formattedCitation":"(Marcus et al., 1998)","plainTextFormattedCitation":"(Marcus et al., 1998)","previouslyFormattedCitation":"(Marcus et al., 1998)"},"properties":{"noteIndex":0},"schema":"https://github.com/citation-style-language/schema/raw/master/csl-citation.json"}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(Marcus et al., 1998)</w:t>
      </w:r>
      <w:r w:rsidR="000337F1" w:rsidRPr="00CB1C44">
        <w:rPr>
          <w:rFonts w:ascii="Arial" w:hAnsi="Arial" w:cs="Arial"/>
          <w:lang w:val="en-US"/>
        </w:rPr>
        <w:fldChar w:fldCharType="end"/>
      </w:r>
      <w:r w:rsidR="000337F1" w:rsidRPr="00CB1C44">
        <w:rPr>
          <w:rFonts w:ascii="Arial" w:hAnsi="Arial" w:cs="Arial"/>
          <w:lang w:val="en-US"/>
        </w:rPr>
        <w:t xml:space="preserve">, whereas expression of HO-1 </w:t>
      </w:r>
      <w:r w:rsidR="00B44F80" w:rsidRPr="00CB1C44">
        <w:rPr>
          <w:rFonts w:ascii="Arial" w:hAnsi="Arial" w:cs="Arial"/>
          <w:lang w:val="en-US"/>
        </w:rPr>
        <w:t>was</w:t>
      </w:r>
      <w:r w:rsidR="000337F1" w:rsidRPr="00CB1C44">
        <w:rPr>
          <w:rFonts w:ascii="Arial" w:hAnsi="Arial" w:cs="Arial"/>
          <w:lang w:val="en-US"/>
        </w:rPr>
        <w:t xml:space="preserve"> enhanced in AD patients inferior parietal brain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{"citationItems":[{"id":"ITEM-1","itemData":{"DOI":"10.1089/ars.2006.8.1975","ISBN":"1523-0864 (Print)\r1523-0864 (Linking)","ISSN":"1523-0864 (Print)","PMID":"17034343","abstract":"Alzheimer's disease (AD) is a neurodegenerative disorder with cognitive and memory decline, personality changes, and synapse loss. Increasing evidence indicates that factors such as oxidative and nitrosative stress, glutathione depletion, and impaired protein metabolism can interact in a vicious cycle, which is central to AD pathogenesis. In the present study, we demonstrate that brains of AD patients undergo oxidative changes classically associated with a strong induction of the so-called vitagenes, including the heat shock proteins (HSPs) heme oxygenase-1 (HO-1), HSP60, and HSP72, as well as thioredoxin reductase (TRXr). In inferior parietal brain of AD patients, a significant increase in the expression of HO-1 and TRXr was observed, whereas HO-2 expression was decreased, compared with controls. TRHr was not increased in AD cerebellum. Plasma GSH was decreased in AD patients, compared with the control group, and was associated with a significant increase in oxidative stress markers (i.e., GSSG, hydroxynonenal, protein carbonyl content, and nitrotyrosine). In AD lymphocytes, we observed an increased expression of inducible nitric oxide synthase, HO-1, Hsp72, HSP60, and TRXr. Our data support a role for nitrative stress in the pathogenesis of AD and indicate that the stress-responsive genes, such as HO-1 and TRXr, may represent important targets for novel cytoprotective strategies.","author":[{"dropping-particle":"","family":"Calabrese","given":"Vittorio","non-dropping-particle":"","parse-names":false,"suffix":""},{"dropping-particle":"","family":"Sultana","given":"Rukhsana","non-dropping-particle":"","parse-names":false,"suffix":""},{"dropping-particle":"","family":"Scapagnini","given":"Giovanni","non-dropping-particle":"","parse-names":false,"suffix":""},{"dropping-particle":"","family":"Guagliano","given":"Eleonora","non-dropping-particle":"","parse-names":false,"suffix":""},{"dropping-particle":"","family":"Sapienza","given":"Maria","non-dropping-particle":"","parse-names":false,"suffix":""},{"dropping-particle":"","family":"Bella","given":"Rita","non-dropping-particle":"","parse-names":false,"suffix":""},{"dropping-particle":"","family":"Kanski","given":"Jaroslaw","non-dropping-particle":"","parse-names":false,"suffix":""},{"dropping-particle":"","family":"Pennisi","given":"Giovanni","non-dropping-particle":"","parse-names":false,"suffix":""},{"dropping-particle":"","family":"Mancuso","given":"Cesare","non-dropping-particle":"","parse-names":false,"suffix":""},{"dropping-particle":"","family":"Stella","given":"Anna Maria Giuffrida","non-dropping-particle":"","parse-names":false,"suffix":""},{"dropping-particle":"","family":"Butterfield","given":"D A","non-dropping-particle":"","parse-names":false,"suffix":""}],"container-title":"Antioxidants &amp; redox signaling","id":"ITEM-1","issue":"11-12","issued":{"date-parts":[["2006"]]},"page":"1975-1986","title":"Nitrosative stress, cellular stress response, and thiol homeostasis in patients with Alzheimer's disease.","type":"article-journal","volume":"8"},"uris":["http://www.mendeley.com/documents/?uuid=25080b05-0a7e-4e41-89d2-86ff676450c3"]}],"mendeley":{"formattedCitation":"(Calabrese et al., 2006)","plainTextFormattedCitation":"(Calabrese et al., 2006)","previouslyFormattedCitation":"(Calabrese et al., 2006)"},"properties":{"noteIndex":0},"schema":"https://github.com/citation-style-language/schema/raw/master/csl-citation.json"}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(Calabrese et al., 2006)</w:t>
      </w:r>
      <w:r w:rsidR="000337F1" w:rsidRPr="00CB1C44">
        <w:rPr>
          <w:rFonts w:ascii="Arial" w:hAnsi="Arial" w:cs="Arial"/>
          <w:lang w:val="en-US"/>
        </w:rPr>
        <w:fldChar w:fldCharType="end"/>
      </w:r>
      <w:r w:rsidR="000337F1" w:rsidRPr="00CB1C44">
        <w:rPr>
          <w:rFonts w:ascii="Arial" w:hAnsi="Arial" w:cs="Arial"/>
          <w:lang w:val="en-US"/>
        </w:rPr>
        <w:t xml:space="preserve">. </w:t>
      </w:r>
      <w:r w:rsidR="00780EAC" w:rsidRPr="00CB1C44">
        <w:rPr>
          <w:rFonts w:ascii="Arial" w:hAnsi="Arial" w:cs="Arial"/>
          <w:lang w:val="en-US"/>
        </w:rPr>
        <w:t xml:space="preserve">As a reflection of what is happening in the central nervous system, changes in Nrf2 pathway have also been observed in </w:t>
      </w:r>
      <w:r w:rsidR="000337F1" w:rsidRPr="00CB1C44">
        <w:rPr>
          <w:rFonts w:ascii="Arial" w:hAnsi="Arial" w:cs="Arial"/>
          <w:lang w:val="en-US"/>
        </w:rPr>
        <w:t>peripheral tissues. Thus, although GSH was decreased in AD patient</w:t>
      </w:r>
      <w:r w:rsidR="0005290D" w:rsidRPr="00CB1C44">
        <w:rPr>
          <w:rFonts w:ascii="Arial" w:hAnsi="Arial" w:cs="Arial"/>
          <w:lang w:val="en-US"/>
        </w:rPr>
        <w:t>’</w:t>
      </w:r>
      <w:r w:rsidR="000337F1" w:rsidRPr="00CB1C44">
        <w:rPr>
          <w:rFonts w:ascii="Arial" w:hAnsi="Arial" w:cs="Arial"/>
          <w:lang w:val="en-US"/>
        </w:rPr>
        <w:t xml:space="preserve">s plasma, AD lymphocytes showed enhanced expression of HO-1 and GCLM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{"citationItems":[{"id":"ITEM-1","itemData":{"DOI":"10.1089/ars.2006.8.1975","ISBN":"1523-0864 (Print)\r1523-0864 (Linking)","ISSN":"1523-0864 (Print)","PMID":"17034343","abstract":"Alzheimer's disease (AD) is a neurodegenerative disorder with cognitive and memory decline, personality changes, and synapse loss. Increasing evidence indicates that factors such as oxidative and nitrosative stress, glutathione depletion, and impaired protein metabolism can interact in a vicious cycle, which is central to AD pathogenesis. In the present study, we demonstrate that brains of AD patients undergo oxidative changes classically associated with a strong induction of the so-called vitagenes, including the heat shock proteins (HSPs) heme oxygenase-1 (HO-1), HSP60, and HSP72, as well as thioredoxin reductase (TRXr). In inferior parietal brain of AD patients, a significant increase in the expression of HO-1 and TRXr was observed, whereas HO-2 expression was decreased, compared with controls. TRHr was not increased in AD cerebellum. Plasma GSH was decreased in AD patients, compared with the control group, and was associated with a significant increase in oxidative stress markers (i.e., GSSG, hydroxynonenal, protein carbonyl content, and nitrotyrosine). In AD lymphocytes, we observed an increased expression of inducible nitric oxide synthase, HO-1, Hsp72, HSP60, and TRXr. Our data support a role for nitrative stress in the pathogenesis of AD and indicate that the stress-responsive genes, such as HO-1 and TRXr, may represent important targets for novel cytoprotective strategies.","author":[{"dropping-particle":"","family":"Calabrese","given":"Vittorio","non-dropping-particle":"","parse-names":false,"suffix":""},{"dropping-particle":"","family":"Sultana","given":"Rukhsana","non-dropping-particle":"","parse-names":false,"suffix":""},{"dropping-particle":"","family":"Scapagnini","given":"Giovanni","non-dropping-particle":"","parse-names":false,"suffix":""},{"dropping-particle":"","family":"Guagliano","given":"Eleonora","non-dropping-particle":"","parse-names":false,"suffix":""},{"dropping-particle":"","family":"Sapienza","given":"Maria","non-dropping-particle":"","parse-names":false,"suffix":""},{"dropping-particle":"","family":"Bella","given":"Rita","non-dropping-particle":"","parse-names":false,"suffix":""},{"dropping-particle":"","family":"Kanski","given":"Jaroslaw","non-dropping-particle":"","parse-names":false,"suffix":""},{"dropping-particle":"","family":"Pennisi","given":"Giovanni","non-dropping-particle":"","parse-names":false,"suffix":""},{"dropping-particle":"","family":"Mancuso","given":"Cesare","non-dropping-particle":"","parse-names":false,"suffix":""},{"dropping-particle":"","family":"Stella","given":"Anna Maria Giuffrida","non-dropping-particle":"","parse-names":false,"suffix":""},{"dropping-particle":"","family":"Butterfield","given":"D A","non-dropping-particle":"","parse-names":false,"suffix":""}],"container-title":"Antioxidants &amp; redox signaling","id":"ITEM-1","issue":"11-12","issued":{"date-parts":[["2006"]]},"page":"1975-1986","title":"Nitrosative stress, cellular stress response, and thiol homeostasis in patients with Alzheimer's disease.","type":"article-journal","volume":"8"},"uris":["http://www.mendeley.com/documents/?uuid=25080b05-0a7e-4e41-89d2-86ff676450c3"]}],"mendeley":{"formattedCitation":"(Calabrese et al., 2006)","plainTextFormattedCitation":"(Calabrese et al., 2006)","previouslyFormattedCitation":"(Calabrese et al., 2006)"},"properties":{"noteIndex":0},"schema":"https://github.com/citation-style-language/schema/raw/master/csl-citation.json"}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(Calabrese et al., 2006)</w:t>
      </w:r>
      <w:r w:rsidR="000337F1" w:rsidRPr="00CB1C44">
        <w:rPr>
          <w:rFonts w:ascii="Arial" w:hAnsi="Arial" w:cs="Arial"/>
          <w:lang w:val="en-US"/>
        </w:rPr>
        <w:fldChar w:fldCharType="end"/>
      </w:r>
      <w:r w:rsidR="000337F1" w:rsidRPr="00CB1C44">
        <w:rPr>
          <w:rFonts w:ascii="Arial" w:hAnsi="Arial" w:cs="Arial"/>
          <w:lang w:val="en-US"/>
        </w:rPr>
        <w:t xml:space="preserve"> and increased SOD1 protein levels </w:t>
      </w:r>
      <w:r w:rsidR="000337F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{"citationItems":[{"id":"ITEM-1","itemData":{"DOI":"10.1016/j.bbadis.2015.03.015","ISBN":"0006-3002 (Print)\\r0006-3002 (Linking)","ISSN":"1879260X","PMID":"25857617","abstract":"Oxidative stress and endoplasmic reticulum (ER) stress have been associated with Alzheimer's disease (AD) progression. In this study we analyzed whether oxidative stress involving changes in Nrf2 and ER stress may constitute early events in AD pathogenesis by using human peripheral blood cells and an AD transgenic mouse model at different disease stages. Increased oxidative stress and increased phosphorylated Nrf2 (p(Ser40)Nrf2) were observed in human peripheral blood mononuclear cells (PBMCs) isolated from individuals with mild cognitive impairment (MCI). Moreover, we observed impaired ER Ca&lt;sup&gt;2+&lt;/sup&gt; homeostasis and increased ER stress markers in PBMCs from MCI individuals and mild AD patients. Evidence of early oxidative stress defense mechanisms in AD was substantiated by increased p(Ser40)Nrf2 in 3month-old 3xTg-AD male mice PBMCs, and also with increased nuclear Nrf2 levels in brain cortex. However, SOD1 protein levels were decreased in human MCI PBMCs and in 3xTg-AD mice brain cortex; the latter further correlated with reduced SOD1 mRNA levels. Increased ER stress was also detected in the brain cortex of young female and old male 3xTg-AD mice. We demonstrate oxidative stress and early Nrf2 activation in AD human and mouse models, which fails to regulate some of its targets, leading to repressed expression of antioxidant defenses (e.g., SOD-1), and extending to ER stress. Results suggest markers of prodromal AD linked to oxidative stress associated with Nrf2 activation and ER stress that may be followed in human peripheral blood mononuclear cells.","author":[{"dropping-particle":"","family":"Mota","given":"Sandra I.","non-dropping-particle":"","parse-names":false,"suffix":""},{"dropping-particle":"","family":"Costa","given":"Rui O.","non-dropping-particle":"","parse-names":false,"suffix":""},{"dropping-particle":"","family":"Ferreira","given":"Ildete L.","non-dropping-particle":"","parse-names":false,"suffix":""},{"dropping-particle":"","family":"Santana","given":"Isabel","non-dropping-particle":"","parse-names":false,"suffix":""},{"dropping-particle":"","family":"Caldeira","given":"Gladys L.","non-dropping-particle":"","parse-names":false,"suffix":""},{"dropping-particle":"","family":"Padovano","given":"Carmela","non-dropping-particle":"","parse-names":false,"suffix":""},{"dropping-particle":"","family":"Fonseca","given":"Ana C.","non-dropping-particle":"","parse-names":false,"suffix":""},{"dropping-particle":"","family":"Baldeiras","given":"In??s","non-dropping-particle":"","parse-names":false,"suffix":""},{"dropping-particle":"","family":"Cunha","given":"Catarina","non-dropping-particle":"","parse-names":false,"suffix":""},{"dropping-particle":"","family":"Letra","given":"Liliana","non-dropping-particle":"","parse-names":false,"suffix":""},{"dropping-particle":"","family":"Oliveira","given":"Catarina R.","non-dropping-particle":"","parse-names":false,"suffix":""},{"dropping-particle":"","family":"Pereira","given":"Cl??udia M F","non-dropping-particle":"","parse-names":false,"suffix":""},{"dropping-particle":"","family":"Rego","given":"Ana Cristina","non-dropping-particle":"","parse-names":false,"suffix":""}],"container-title":"Biochimica et Biophysica Acta - Molecular Basis of Disease","id":"ITEM-1","issue":"7","issued":{"date-parts":[["2015"]]},"page":"1428-1441","publisher":"Elsevier B.V.","title":"Oxidative stress involving changes in Nrf2 and ER stress in early stages of Alzheimer's disease","type":"article-journal","volume":"1852"},"uris":["http://www.mendeley.com/documents/?uuid=becaf500-ac4c-4d8a-ac20-2f9d8fdf764c"]}],"mendeley":{"formattedCitation":"(Mota et al., 2015)","plainTextFormattedCitation":"(Mota et al., 2015)","previouslyFormattedCitation":"(Mota et al., 2015)"},"properties":{"noteIndex":0},"schema":"https://github.com/citation-style-language/schema/raw/master/csl-citation.json"}</w:instrText>
      </w:r>
      <w:r w:rsidR="000337F1" w:rsidRPr="00CB1C44">
        <w:rPr>
          <w:rFonts w:ascii="Arial" w:hAnsi="Arial" w:cs="Arial"/>
          <w:lang w:val="en-US"/>
        </w:rPr>
        <w:fldChar w:fldCharType="separate"/>
      </w:r>
      <w:r w:rsidR="00DD645C" w:rsidRPr="00CB1C44">
        <w:rPr>
          <w:rFonts w:ascii="Arial" w:hAnsi="Arial" w:cs="Arial"/>
          <w:noProof/>
          <w:lang w:val="en-US"/>
        </w:rPr>
        <w:t>(Mota et al., 2015)</w:t>
      </w:r>
      <w:r w:rsidR="000337F1" w:rsidRPr="00CB1C44">
        <w:rPr>
          <w:rFonts w:ascii="Arial" w:hAnsi="Arial" w:cs="Arial"/>
          <w:lang w:val="en-US"/>
        </w:rPr>
        <w:fldChar w:fldCharType="end"/>
      </w:r>
      <w:r w:rsidR="000337F1" w:rsidRPr="00CB1C44">
        <w:rPr>
          <w:rFonts w:ascii="Arial" w:hAnsi="Arial" w:cs="Arial"/>
          <w:lang w:val="en-US"/>
        </w:rPr>
        <w:t xml:space="preserve">. </w:t>
      </w:r>
      <w:r w:rsidR="00780EAC" w:rsidRPr="00CB1C44">
        <w:rPr>
          <w:rFonts w:ascii="Arial" w:hAnsi="Arial" w:cs="Arial"/>
          <w:lang w:val="en-US"/>
        </w:rPr>
        <w:t xml:space="preserve">Despite an apparent contradiction in some results obtained in human samples, it is important to highlight the fact that changes in Nrf2 pathways </w:t>
      </w:r>
      <w:r w:rsidR="00254796" w:rsidRPr="00CB1C44">
        <w:rPr>
          <w:rFonts w:ascii="Arial" w:hAnsi="Arial" w:cs="Arial"/>
          <w:lang w:val="en-US"/>
        </w:rPr>
        <w:t>and/</w:t>
      </w:r>
      <w:r w:rsidR="00780EAC" w:rsidRPr="00CB1C44">
        <w:rPr>
          <w:rFonts w:ascii="Arial" w:hAnsi="Arial" w:cs="Arial"/>
          <w:lang w:val="en-US"/>
        </w:rPr>
        <w:t xml:space="preserve">or </w:t>
      </w:r>
      <w:r w:rsidR="00254796" w:rsidRPr="00CB1C44">
        <w:rPr>
          <w:rFonts w:ascii="Arial" w:hAnsi="Arial" w:cs="Arial"/>
          <w:lang w:val="en-US"/>
        </w:rPr>
        <w:t>downstream proteins may dependent in the stage of the disease and the brain area assessed.</w:t>
      </w:r>
      <w:r w:rsidR="00780EAC" w:rsidRPr="00CB1C44">
        <w:rPr>
          <w:rFonts w:ascii="Arial" w:hAnsi="Arial" w:cs="Arial"/>
          <w:lang w:val="en-US"/>
        </w:rPr>
        <w:t xml:space="preserve"> </w:t>
      </w:r>
    </w:p>
    <w:p w14:paraId="3B317E87" w14:textId="2DE7459D" w:rsidR="002345A2" w:rsidRPr="00CB1C44" w:rsidRDefault="000337F1" w:rsidP="004038B5">
      <w:pPr>
        <w:spacing w:after="0" w:line="360" w:lineRule="auto"/>
        <w:jc w:val="both"/>
        <w:rPr>
          <w:rFonts w:ascii="Arial" w:hAnsi="Arial" w:cs="Arial"/>
          <w:lang w:val="en-US"/>
        </w:rPr>
      </w:pPr>
      <w:r w:rsidRPr="00CB1C44">
        <w:rPr>
          <w:rFonts w:ascii="Arial" w:hAnsi="Arial" w:cs="Arial"/>
          <w:lang w:val="en-US"/>
        </w:rPr>
        <w:lastRenderedPageBreak/>
        <w:t xml:space="preserve">Using AD animal models, several studies described altered Nrf2 activity. </w:t>
      </w:r>
      <w:r w:rsidR="007268D9" w:rsidRPr="00CB1C44">
        <w:rPr>
          <w:rFonts w:ascii="Arial" w:hAnsi="Arial" w:cs="Arial"/>
          <w:lang w:val="en-US"/>
        </w:rPr>
        <w:t>The 3xTg-AD mouse model</w:t>
      </w:r>
      <w:r w:rsidR="009104CC" w:rsidRPr="00CB1C44">
        <w:rPr>
          <w:rFonts w:ascii="Arial" w:hAnsi="Arial" w:cs="Arial"/>
          <w:lang w:val="en-US"/>
        </w:rPr>
        <w:t xml:space="preserve">, </w:t>
      </w:r>
      <w:r w:rsidR="005A3C0D" w:rsidRPr="00CB1C44">
        <w:rPr>
          <w:rFonts w:ascii="Arial" w:hAnsi="Arial" w:cs="Arial"/>
          <w:lang w:val="en-US"/>
        </w:rPr>
        <w:t>contain</w:t>
      </w:r>
      <w:r w:rsidR="00FC54BB" w:rsidRPr="00CB1C44">
        <w:rPr>
          <w:rFonts w:ascii="Arial" w:hAnsi="Arial" w:cs="Arial"/>
          <w:lang w:val="en-US"/>
        </w:rPr>
        <w:t>ing</w:t>
      </w:r>
      <w:r w:rsidR="009104CC" w:rsidRPr="00CB1C44">
        <w:rPr>
          <w:rFonts w:ascii="Arial" w:hAnsi="Arial" w:cs="Arial"/>
          <w:lang w:val="en-US"/>
        </w:rPr>
        <w:t xml:space="preserve"> 3</w:t>
      </w:r>
      <w:r w:rsidR="005A3C0D" w:rsidRPr="00CB1C44">
        <w:rPr>
          <w:rFonts w:ascii="Arial" w:hAnsi="Arial" w:cs="Arial"/>
          <w:lang w:val="en-US"/>
        </w:rPr>
        <w:t xml:space="preserve"> genetic</w:t>
      </w:r>
      <w:r w:rsidR="009104CC" w:rsidRPr="00CB1C44">
        <w:rPr>
          <w:rFonts w:ascii="Arial" w:hAnsi="Arial" w:cs="Arial"/>
          <w:lang w:val="en-US"/>
        </w:rPr>
        <w:t xml:space="preserve"> mutations</w:t>
      </w:r>
      <w:r w:rsidR="00123826" w:rsidRPr="00CB1C44">
        <w:rPr>
          <w:rFonts w:ascii="Arial" w:hAnsi="Arial" w:cs="Arial"/>
          <w:lang w:val="en-US"/>
        </w:rPr>
        <w:t>, in</w:t>
      </w:r>
      <w:r w:rsidR="00A36675" w:rsidRPr="00CB1C44">
        <w:rPr>
          <w:rFonts w:ascii="Arial" w:hAnsi="Arial" w:cs="Arial"/>
          <w:lang w:val="en-US"/>
        </w:rPr>
        <w:t xml:space="preserve"> presenilin-1</w:t>
      </w:r>
      <w:r w:rsidR="00123826" w:rsidRPr="00CB1C44">
        <w:rPr>
          <w:rFonts w:ascii="Arial" w:hAnsi="Arial" w:cs="Arial"/>
          <w:lang w:val="en-US"/>
        </w:rPr>
        <w:t xml:space="preserve"> </w:t>
      </w:r>
      <w:r w:rsidR="00A36675" w:rsidRPr="00CB1C44">
        <w:rPr>
          <w:rFonts w:ascii="Arial" w:hAnsi="Arial" w:cs="Arial"/>
          <w:lang w:val="en-US"/>
        </w:rPr>
        <w:t>(</w:t>
      </w:r>
      <w:r w:rsidR="00123826" w:rsidRPr="00CB1C44">
        <w:rPr>
          <w:rFonts w:ascii="Arial" w:hAnsi="Arial" w:cs="Arial"/>
          <w:i/>
          <w:lang w:val="en-US"/>
        </w:rPr>
        <w:t>PS</w:t>
      </w:r>
      <w:r w:rsidR="00833ED5" w:rsidRPr="00CB1C44">
        <w:rPr>
          <w:rFonts w:ascii="Arial" w:hAnsi="Arial" w:cs="Arial"/>
          <w:i/>
          <w:lang w:val="en-US"/>
        </w:rPr>
        <w:t>EN</w:t>
      </w:r>
      <w:r w:rsidR="00123826" w:rsidRPr="00CB1C44">
        <w:rPr>
          <w:rFonts w:ascii="Arial" w:hAnsi="Arial" w:cs="Arial"/>
          <w:i/>
          <w:lang w:val="en-US"/>
        </w:rPr>
        <w:t>1</w:t>
      </w:r>
      <w:r w:rsidR="00A36675" w:rsidRPr="00CB1C44">
        <w:rPr>
          <w:rFonts w:ascii="Arial" w:hAnsi="Arial" w:cs="Arial"/>
          <w:lang w:val="en-US"/>
        </w:rPr>
        <w:t>)</w:t>
      </w:r>
      <w:r w:rsidR="00123826" w:rsidRPr="00CB1C44">
        <w:rPr>
          <w:rFonts w:ascii="Arial" w:hAnsi="Arial" w:cs="Arial"/>
          <w:lang w:val="en-US"/>
        </w:rPr>
        <w:t xml:space="preserve">, </w:t>
      </w:r>
      <w:r w:rsidR="00A36675" w:rsidRPr="00CB1C44">
        <w:rPr>
          <w:rFonts w:ascii="Arial" w:hAnsi="Arial" w:cs="Arial"/>
          <w:lang w:val="en-US"/>
        </w:rPr>
        <w:t>amyloid precursor protein (</w:t>
      </w:r>
      <w:r w:rsidR="00123826" w:rsidRPr="00CB1C44">
        <w:rPr>
          <w:rFonts w:ascii="Arial" w:hAnsi="Arial" w:cs="Arial"/>
          <w:i/>
          <w:lang w:val="en-US"/>
        </w:rPr>
        <w:t>APP</w:t>
      </w:r>
      <w:r w:rsidR="00A36675" w:rsidRPr="00CB1C44">
        <w:rPr>
          <w:rFonts w:ascii="Arial" w:hAnsi="Arial" w:cs="Arial"/>
          <w:lang w:val="en-US"/>
        </w:rPr>
        <w:t>)</w:t>
      </w:r>
      <w:r w:rsidR="00123826" w:rsidRPr="00CB1C44">
        <w:rPr>
          <w:rFonts w:ascii="Arial" w:hAnsi="Arial" w:cs="Arial"/>
          <w:lang w:val="en-US"/>
        </w:rPr>
        <w:t>, and microtubule-associated tau, that never co-exist in human AD familial forms or, in the case of tau, is not AD-related</w:t>
      </w:r>
      <w:r w:rsidR="007268D9" w:rsidRPr="00CB1C44">
        <w:rPr>
          <w:rFonts w:ascii="Arial" w:hAnsi="Arial" w:cs="Arial"/>
          <w:lang w:val="en-US"/>
        </w:rPr>
        <w:t>,</w:t>
      </w:r>
      <w:r w:rsidR="009104CC" w:rsidRPr="00CB1C44">
        <w:rPr>
          <w:rFonts w:ascii="Arial" w:hAnsi="Arial" w:cs="Arial"/>
          <w:lang w:val="en-US"/>
        </w:rPr>
        <w:t xml:space="preserve"> </w:t>
      </w:r>
      <w:r w:rsidR="007D2648" w:rsidRPr="00CB1C44">
        <w:rPr>
          <w:rFonts w:ascii="Arial" w:hAnsi="Arial" w:cs="Arial"/>
          <w:lang w:val="en-US"/>
        </w:rPr>
        <w:t>develop</w:t>
      </w:r>
      <w:r w:rsidR="00FC54BB" w:rsidRPr="00CB1C44">
        <w:rPr>
          <w:rFonts w:ascii="Arial" w:hAnsi="Arial" w:cs="Arial"/>
          <w:lang w:val="en-US"/>
        </w:rPr>
        <w:t>s</w:t>
      </w:r>
      <w:r w:rsidR="007D2648" w:rsidRPr="00CB1C44">
        <w:rPr>
          <w:rFonts w:ascii="Arial" w:hAnsi="Arial" w:cs="Arial"/>
          <w:lang w:val="en-US"/>
        </w:rPr>
        <w:t xml:space="preserve"> an age-</w:t>
      </w:r>
      <w:r w:rsidR="00123826" w:rsidRPr="00CB1C44">
        <w:rPr>
          <w:rFonts w:ascii="Arial" w:hAnsi="Arial" w:cs="Arial"/>
          <w:lang w:val="en-US"/>
        </w:rPr>
        <w:t>dependent</w:t>
      </w:r>
      <w:r w:rsidR="007D2648" w:rsidRPr="00CB1C44">
        <w:rPr>
          <w:rFonts w:ascii="Arial" w:hAnsi="Arial" w:cs="Arial"/>
          <w:lang w:val="en-US"/>
        </w:rPr>
        <w:t xml:space="preserve"> and progressive neuropathological phenotype, including </w:t>
      </w:r>
      <w:r w:rsidR="005A3C0D" w:rsidRPr="00CB1C44">
        <w:rPr>
          <w:rFonts w:ascii="Arial" w:hAnsi="Arial" w:cs="Arial"/>
          <w:lang w:val="en-US"/>
        </w:rPr>
        <w:t xml:space="preserve">Aβ </w:t>
      </w:r>
      <w:r w:rsidR="007268D9" w:rsidRPr="00CB1C44">
        <w:rPr>
          <w:rFonts w:ascii="Arial" w:hAnsi="Arial" w:cs="Arial"/>
          <w:lang w:val="en-US"/>
        </w:rPr>
        <w:t>plaques and neurofibrillary tangles</w:t>
      </w:r>
      <w:r w:rsidR="005A3C0D" w:rsidRPr="00CB1C44">
        <w:rPr>
          <w:rFonts w:ascii="Arial" w:hAnsi="Arial" w:cs="Arial"/>
          <w:lang w:val="en-US"/>
        </w:rPr>
        <w:t xml:space="preserve"> </w:t>
      </w:r>
      <w:r w:rsidR="00123826" w:rsidRPr="00CB1C44">
        <w:rPr>
          <w:rFonts w:ascii="Arial" w:hAnsi="Arial" w:cs="Arial"/>
          <w:lang w:val="en-US"/>
        </w:rPr>
        <w:t xml:space="preserve">similarly to AD patients </w:t>
      </w:r>
      <w:r w:rsidR="00BA321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{"citationItems":[{"id":"ITEM-1","itemData":{"DOI":"10.1016/S0896-6273(03)00434-3","ISBN":"0896-6273 (Print)","ISSN":"08966273","PMID":"12895417","author":[{"dropping-particle":"","family":"Oddo","given":"Salvatore","non-dropping-particle":"","parse-names":false,"suffix":""},{"dropping-particle":"","family":"Caccamo","given":"Antonella","non-dropping-particle":"","parse-names":false,"suffix":""},{"dropping-particle":"","family":"Shepherd","given":"Jason D","non-dropping-particle":"","parse-names":false,"suffix":""},{"dropping-particle":"","family":"Murphy","given":"M.Paul","non-dropping-particle":"","parse-names":false,"suffix":""},{"dropping-particle":"","family":"Golde","given":"Todd E","non-dropping-particle":"","parse-names":false,"suffix":""},{"dropping-particle":"","family":"Kayed","given":"Rakez","non-dropping-particle":"","parse-names":false,"suffix":""},{"dropping-particle":"","family":"Metherate","given":"Raju","non-dropping-particle":"","parse-names":false,"suffix":""},{"dropping-particle":"","family":"Mattson","given":"Mark P","non-dropping-particle":"","parse-names":false,"suffix":""},{"dropping-particle":"","family":"Akbari","given":"Yama","non-dropping-particle":"","parse-names":false,"suffix":""},{"dropping-particle":"","family":"LaFerla","given":"Frank M","non-dropping-particle":"","parse-names":false,"suffix":""}],"container-title":"Neuron","id":"ITEM-1","issue":"3","issued":{"date-parts":[["2003","7"]]},"page":"409-421","title":"Triple-Transgenic Model of Alzheimer's Disease with Plaques and Tangles","type":"article-journal","volume":"39"},"uris":["http://www.mendeley.com/documents/?uuid=76c5cf0b-2fe1-4e39-9970-70b5adf5fe19"]}],"mendeley":{"formattedCitation":"(Oddo et al., 2003)","plainTextFormattedCitation":"(Oddo et al., 2003)","previouslyFormattedCitation":"(Oddo et al., 2003)"},"properties":{"noteIndex":0},"schema":"https://github.com/citation-style-language/schema/raw/master/csl-citation.json"}</w:instrText>
      </w:r>
      <w:r w:rsidR="00BA3217" w:rsidRPr="00CB1C44">
        <w:rPr>
          <w:rFonts w:ascii="Arial" w:hAnsi="Arial" w:cs="Arial"/>
          <w:lang w:val="en-US"/>
        </w:rPr>
        <w:fldChar w:fldCharType="separate"/>
      </w:r>
      <w:r w:rsidR="00DD645C" w:rsidRPr="00CB1C44">
        <w:rPr>
          <w:rFonts w:ascii="Arial" w:hAnsi="Arial" w:cs="Arial"/>
          <w:noProof/>
          <w:lang w:val="en-US"/>
        </w:rPr>
        <w:t>(Oddo et al., 2003)</w:t>
      </w:r>
      <w:r w:rsidR="00BA3217" w:rsidRPr="00CB1C44">
        <w:rPr>
          <w:rFonts w:ascii="Arial" w:hAnsi="Arial" w:cs="Arial"/>
          <w:lang w:val="en-US"/>
        </w:rPr>
        <w:fldChar w:fldCharType="end"/>
      </w:r>
      <w:r w:rsidR="007268D9" w:rsidRPr="00CB1C44">
        <w:rPr>
          <w:rFonts w:ascii="Arial" w:hAnsi="Arial" w:cs="Arial"/>
          <w:lang w:val="en-US"/>
        </w:rPr>
        <w:t xml:space="preserve">. </w:t>
      </w:r>
      <w:r w:rsidRPr="00CB1C44">
        <w:rPr>
          <w:rFonts w:ascii="Arial" w:hAnsi="Arial" w:cs="Arial"/>
          <w:lang w:val="en-US"/>
        </w:rPr>
        <w:t>In the</w:t>
      </w:r>
      <w:r w:rsidR="00C56409" w:rsidRPr="00CB1C44">
        <w:rPr>
          <w:rFonts w:ascii="Arial" w:hAnsi="Arial" w:cs="Arial"/>
          <w:lang w:val="en-US"/>
        </w:rPr>
        <w:t xml:space="preserve"> 3xTg-AD m</w:t>
      </w:r>
      <w:r w:rsidR="003751BC" w:rsidRPr="00CB1C44">
        <w:rPr>
          <w:rFonts w:ascii="Arial" w:hAnsi="Arial" w:cs="Arial"/>
          <w:lang w:val="en-US"/>
        </w:rPr>
        <w:t>ouse</w:t>
      </w:r>
      <w:r w:rsidR="00C56409" w:rsidRPr="00CB1C44">
        <w:rPr>
          <w:rFonts w:ascii="Arial" w:hAnsi="Arial" w:cs="Arial"/>
          <w:lang w:val="en-US"/>
        </w:rPr>
        <w:t xml:space="preserve"> brain cortex, w</w:t>
      </w:r>
      <w:r w:rsidR="00E22E9B" w:rsidRPr="00CB1C44">
        <w:rPr>
          <w:rFonts w:ascii="Arial" w:hAnsi="Arial" w:cs="Arial"/>
          <w:lang w:val="en-US"/>
        </w:rPr>
        <w:t xml:space="preserve">e previously </w:t>
      </w:r>
      <w:r w:rsidR="00301FAD" w:rsidRPr="00CB1C44">
        <w:rPr>
          <w:rFonts w:ascii="Arial" w:hAnsi="Arial" w:cs="Arial"/>
          <w:lang w:val="en-US"/>
        </w:rPr>
        <w:t>observed</w:t>
      </w:r>
      <w:r w:rsidR="00E22E9B" w:rsidRPr="00CB1C44">
        <w:rPr>
          <w:rFonts w:ascii="Arial" w:hAnsi="Arial" w:cs="Arial"/>
          <w:lang w:val="en-US"/>
        </w:rPr>
        <w:t xml:space="preserve"> increased Nrf2 nuclear levels at 3 months of age</w:t>
      </w:r>
      <w:r w:rsidR="003751BC" w:rsidRPr="00CB1C44">
        <w:rPr>
          <w:rFonts w:ascii="Arial" w:hAnsi="Arial" w:cs="Arial"/>
          <w:lang w:val="en-US"/>
        </w:rPr>
        <w:t>;</w:t>
      </w:r>
      <w:r w:rsidR="00E22E9B" w:rsidRPr="00CB1C44">
        <w:rPr>
          <w:rFonts w:ascii="Arial" w:hAnsi="Arial" w:cs="Arial"/>
          <w:lang w:val="en-US"/>
        </w:rPr>
        <w:t xml:space="preserve"> </w:t>
      </w:r>
      <w:r w:rsidR="00CD41DC" w:rsidRPr="00CB1C44">
        <w:rPr>
          <w:rFonts w:ascii="Arial" w:hAnsi="Arial" w:cs="Arial"/>
          <w:lang w:val="en-US"/>
        </w:rPr>
        <w:t xml:space="preserve">however </w:t>
      </w:r>
      <w:r w:rsidR="003751BC" w:rsidRPr="00CB1C44">
        <w:rPr>
          <w:rFonts w:ascii="Arial" w:hAnsi="Arial" w:cs="Arial"/>
          <w:lang w:val="en-US"/>
        </w:rPr>
        <w:t xml:space="preserve">this was </w:t>
      </w:r>
      <w:r w:rsidR="00E22E9B" w:rsidRPr="00CB1C44">
        <w:rPr>
          <w:rFonts w:ascii="Arial" w:hAnsi="Arial" w:cs="Arial"/>
          <w:lang w:val="en-US"/>
        </w:rPr>
        <w:t xml:space="preserve">accompanied by </w:t>
      </w:r>
      <w:r w:rsidR="003751BC" w:rsidRPr="00CB1C44">
        <w:rPr>
          <w:rFonts w:ascii="Arial" w:hAnsi="Arial" w:cs="Arial"/>
          <w:lang w:val="en-US"/>
        </w:rPr>
        <w:t xml:space="preserve">a </w:t>
      </w:r>
      <w:r w:rsidR="00E22E9B" w:rsidRPr="00CB1C44">
        <w:rPr>
          <w:rFonts w:ascii="Arial" w:hAnsi="Arial" w:cs="Arial"/>
          <w:lang w:val="en-US"/>
        </w:rPr>
        <w:t xml:space="preserve">decrease in SOD1 mRNA and protein levels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{"citationItems":[{"id":"ITEM-1","itemData":{"DOI":"10.1016/j.bbadis.2015.03.015","ISBN":"0006-3002 (Print)\\r0006-3002 (Linking)","ISSN":"1879260X","PMID":"25857617","abstract":"Oxidative stress and endoplasmic reticulum (ER) stress have been associated with Alzheimer's disease (AD) progression. In this study we analyzed whether oxidative stress involving changes in Nrf2 and ER stress may constitute early events in AD pathogenesis by using human peripheral blood cells and an AD transgenic mouse model at different disease stages. Increased oxidative stress and increased phosphorylated Nrf2 (p(Ser40)Nrf2) were observed in human peripheral blood mononuclear cells (PBMCs) isolated from individuals with mild cognitive impairment (MCI). Moreover, we observed impaired ER Ca&lt;sup&gt;2+&lt;/sup&gt; homeostasis and increased ER stress markers in PBMCs from MCI individuals and mild AD patients. Evidence of early oxidative stress defense mechanisms in AD was substantiated by increased p(Ser40)Nrf2 in 3month-old 3xTg-AD male mice PBMCs, and also with increased nuclear Nrf2 levels in brain cortex. However, SOD1 protein levels were decreased in human MCI PBMCs and in 3xTg-AD mice brain cortex; the latter further correlated with reduced SOD1 mRNA levels. Increased ER stress was also detected in the brain cortex of young female and old male 3xTg-AD mice. We demonstrate oxidative stress and early Nrf2 activation in AD human and mouse models, which fails to regulate some of its targets, leading to repressed expression of antioxidant defenses (e.g., SOD-1), and extending to ER stress. Results suggest markers of prodromal AD linked to oxidative stress associated with Nrf2 activation and ER stress that may be followed in human peripheral blood mononuclear cells.","author":[{"dropping-particle":"","family":"Mota","given":"Sandra I.","non-dropping-particle":"","parse-names":false,"suffix":""},{"dropping-particle":"","family":"Costa","given":"Rui O.","non-dropping-particle":"","parse-names":false,"suffix":""},{"dropping-particle":"","family":"Ferreira","given":"Ildete L.","non-dropping-particle":"","parse-names":false,"suffix":""},{"dropping-particle":"","family":"Santana","given":"Isabel","non-dropping-particle":"","parse-names":false,"suffix":""},{"dropping-particle":"","family":"Caldeira","given":"Gladys L.","non-dropping-particle":"","parse-names":false,"suffix":""},{"dropping-particle":"","family":"Padovano","given":"Carmela","non-dropping-particle":"","parse-names":false,"suffix":""},{"dropping-particle":"","family":"Fonseca","given":"Ana C.","non-dropping-particle":"","parse-names":false,"suffix":""},{"dropping-particle":"","family":"Baldeiras","given":"In??s","non-dropping-particle":"","parse-names":false,"suffix":""},{"dropping-particle":"","family":"Cunha","given":"Catarina","non-dropping-particle":"","parse-names":false,"suffix":""},{"dropping-particle":"","family":"Letra","given":"Liliana","non-dropping-particle":"","parse-names":false,"suffix":""},{"dropping-particle":"","family":"Oliveira","given":"Catarina R.","non-dropping-particle":"","parse-names":false,"suffix":""},{"dropping-particle":"","family":"Pereira","given":"Cl??udia M F","non-dropping-particle":"","parse-names":false,"suffix":""},{"dropping-particle":"","family":"Rego","given":"Ana Cristina","non-dropping-particle":"","parse-names":false,"suffix":""}],"container-title":"Biochimica et Biophysica Acta - Molecular Basis of Disease","id":"ITEM-1","issue":"7","issued":{"date-parts":[["2015"]]},"page":"1428-1441","publisher":"Elsevier B.V.","title":"Oxidative stress involving changes in Nrf2 and ER stress in early stages of Alzheimer's disease","type":"article-journal","volume":"1852"},"uris":["http://www.mendeley.com/documents/?uuid=becaf500-ac4c-4d8a-ac20-2f9d8fdf764c"]}],"mendeley":{"formattedCitation":"(Mota et al., 2015)","plainTextFormattedCitation":"(Mota et al., 2015)","previouslyFormattedCitation":"(Mota et al., 2015)"},"properties":{"noteIndex":0},"schema":"https://github.com/citation-style-language/schema/raw/master/csl-citation.json"}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(Mota et al., 2015)</w:t>
      </w:r>
      <w:r w:rsidR="00E22E9B" w:rsidRPr="00CB1C44">
        <w:rPr>
          <w:rFonts w:ascii="Arial" w:hAnsi="Arial" w:cs="Arial"/>
          <w:lang w:val="en-US"/>
        </w:rPr>
        <w:fldChar w:fldCharType="end"/>
      </w:r>
      <w:r w:rsidR="00E22E9B" w:rsidRPr="00CB1C44">
        <w:rPr>
          <w:rFonts w:ascii="Arial" w:hAnsi="Arial" w:cs="Arial"/>
          <w:lang w:val="en-US"/>
        </w:rPr>
        <w:t xml:space="preserve">, suggesting a failure in Nrf2 activation pathway. Moreover, in the same model, NQO1 levels were increased in </w:t>
      </w:r>
      <w:r w:rsidR="003751BC" w:rsidRPr="00CB1C44">
        <w:rPr>
          <w:rFonts w:ascii="Arial" w:hAnsi="Arial" w:cs="Arial"/>
          <w:lang w:val="en-US"/>
        </w:rPr>
        <w:t xml:space="preserve">the </w:t>
      </w:r>
      <w:r w:rsidR="00E22E9B" w:rsidRPr="00CB1C44">
        <w:rPr>
          <w:rFonts w:ascii="Arial" w:hAnsi="Arial" w:cs="Arial"/>
          <w:lang w:val="en-US"/>
        </w:rPr>
        <w:t xml:space="preserve">cortex and hippocampus at 2 months </w:t>
      </w:r>
      <w:r w:rsidR="003751BC" w:rsidRPr="00CB1C44">
        <w:rPr>
          <w:rFonts w:ascii="Arial" w:hAnsi="Arial" w:cs="Arial"/>
          <w:lang w:val="en-US"/>
        </w:rPr>
        <w:t xml:space="preserve">of </w:t>
      </w:r>
      <w:r w:rsidR="00E22E9B" w:rsidRPr="00CB1C44">
        <w:rPr>
          <w:rFonts w:ascii="Arial" w:hAnsi="Arial" w:cs="Arial"/>
          <w:lang w:val="en-US"/>
        </w:rPr>
        <w:t>age, followed by</w:t>
      </w:r>
      <w:r w:rsidR="003751BC" w:rsidRPr="00CB1C44">
        <w:rPr>
          <w:rFonts w:ascii="Arial" w:hAnsi="Arial" w:cs="Arial"/>
          <w:lang w:val="en-US"/>
        </w:rPr>
        <w:t xml:space="preserve"> a</w:t>
      </w:r>
      <w:r w:rsidR="00E22E9B" w:rsidRPr="00CB1C44">
        <w:rPr>
          <w:rFonts w:ascii="Arial" w:hAnsi="Arial" w:cs="Arial"/>
          <w:lang w:val="en-US"/>
        </w:rPr>
        <w:t xml:space="preserve"> decrease at older ages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{"citationItems":[{"id":"ITEM-1","itemData":{"DOI":"10.1016/j.bbr.2014.04.055","ISSN":"01664328","PMID":"24837743","abstract":"Increased oxidative stress seems to be a key factor underlying natural processes of aging, but also to occur prior to neuropathological hallmarks of neurodegenerative diseases. The present work studied the temporal variation of three key antioxidant enzymes in cortex and hippocampus during the development of behavioral and cognitive symptoms in 3xTg-AD mice, and as compared to age-matched controls. At 2 months of age, when no intraneuronal A?? immunoreactivity has been reported, increased neophobia shown as a delayed and reduced rearing, evidenced the onset of BPSD-like symptoms at premorbid stages of disease. In these animals, NQO1 was found increased in both the hippocampus (800%) and cortex (400%) and progressively diminished at older ages. SOD1 was increased in the hippocampus at 4 months of age, when neuronal A?? accumulation has been established. These hippocampal increases of antioxidants before the prodromal emergence of cognitive symptoms support their role as defense mechanisms. SIRT1 levels showed opposite age-dependent changes in cortex (increase) and hippocampus (decrease) relative to controls. Prodromal cognitive deficits emerged at 6 months of age, concomitantly to cortical overexpression of SIRT1 but down-regulation of NQO1 and SIRT1 in the hippocampus, suggesting inadequate antioxidative protection to prevent or delay the subjacent neuronal damage. The present data further support the link between oxidative status and the anxious profile. Their crosstalk may underline AD-pathological mechanisms that may lead to deranged physiology and selective neuronal degeneration. It also points out increased neophobia and high expression of NQO1 among the first indicators of disease in the 3xTg-AD mice. ?? 2014.","author":[{"dropping-particle":"","family":"Torres-Lista","given":"Virginia","non-dropping-particle":"","parse-names":false,"suffix":""},{"dropping-particle":"","family":"Parrado-Fernández","given":"Cristina","non-dropping-particle":"","parse-names":false,"suffix":""},{"dropping-particle":"","family":"Alvarez-Montón","given":"Ismael","non-dropping-particle":"","parse-names":false,"suffix":""},{"dropping-particle":"","family":"Frontiñán-Rubio","given":"Javier","non-dropping-particle":"","parse-names":false,"suffix":""},{"dropping-particle":"","family":"Durán-Prado","given":"Mario","non-dropping-particle":"","parse-names":false,"suffix":""},{"dropping-particle":"","family":"Peinado","given":"Juan Ramón","non-dropping-particle":"","parse-names":false,"suffix":""},{"dropping-particle":"","family":"Johansson","given":"Björn","non-dropping-particle":"","parse-names":false,"suffix":""},{"dropping-particle":"","family":"Alcaín","given":"Francisco Javier","non-dropping-particle":"","parse-names":false,"suffix":""},{"dropping-particle":"","family":"Giménez-Llort","given":"Lydia","non-dropping-particle":"","parse-names":false,"suffix":""}],"container-title":"Behavioural Brain Research","id":"ITEM-1","issued":{"date-parts":[["2014","9"]]},"page":"140-146","title":"Neophobia, NQO1 and SIRT1 as premorbid and prodromal indicators of AD in 3xTg-AD mice","type":"article-journal","volume":"271"},"uris":["http://www.mendeley.com/documents/?uuid=3490e16f-c4ba-4d88-84c7-4d799aa12c86"]}],"mendeley":{"formattedCitation":"(Torres-Lista et al., 2014)","plainTextFormattedCitation":"(Torres-Lista et al., 2014)","previouslyFormattedCitation":"(Torres-Lista et al., 2014)"},"properties":{"noteIndex":0},"schema":"https://github.com/citation-style-language/schema/raw/master/csl-citation.json"}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(Torres-Lista et al., 2014)</w:t>
      </w:r>
      <w:r w:rsidR="00E22E9B" w:rsidRPr="00CB1C44">
        <w:rPr>
          <w:rFonts w:ascii="Arial" w:hAnsi="Arial" w:cs="Arial"/>
          <w:lang w:val="en-US"/>
        </w:rPr>
        <w:fldChar w:fldCharType="end"/>
      </w:r>
      <w:r w:rsidR="00E22E9B" w:rsidRPr="00CB1C44">
        <w:rPr>
          <w:rFonts w:ascii="Arial" w:hAnsi="Arial" w:cs="Arial"/>
          <w:lang w:val="en-US"/>
        </w:rPr>
        <w:t xml:space="preserve">. Reduced </w:t>
      </w:r>
      <w:r w:rsidR="0090473F" w:rsidRPr="00CB1C44">
        <w:rPr>
          <w:rFonts w:ascii="Arial" w:hAnsi="Arial" w:cs="Arial"/>
          <w:lang w:val="en-US"/>
        </w:rPr>
        <w:t>GSH</w:t>
      </w:r>
      <w:r w:rsidR="00D92445" w:rsidRPr="00CB1C44">
        <w:rPr>
          <w:rFonts w:ascii="Arial" w:hAnsi="Arial" w:cs="Arial"/>
          <w:lang w:val="en-US"/>
        </w:rPr>
        <w:t xml:space="preserve"> </w:t>
      </w:r>
      <w:r w:rsidR="00E22E9B" w:rsidRPr="00CB1C44">
        <w:rPr>
          <w:rFonts w:ascii="Arial" w:hAnsi="Arial" w:cs="Arial"/>
          <w:lang w:val="en-US"/>
        </w:rPr>
        <w:t xml:space="preserve">and vitamin E levels, as well as increased </w:t>
      </w:r>
      <w:r w:rsidR="00705EF3" w:rsidRPr="00CB1C44">
        <w:rPr>
          <w:rFonts w:ascii="Arial" w:hAnsi="Arial" w:cs="Arial"/>
          <w:lang w:val="en-US"/>
        </w:rPr>
        <w:t>GSH-Px</w:t>
      </w:r>
      <w:r w:rsidR="00E22E9B" w:rsidRPr="00CB1C44">
        <w:rPr>
          <w:rFonts w:ascii="Arial" w:hAnsi="Arial" w:cs="Arial"/>
          <w:lang w:val="en-US"/>
        </w:rPr>
        <w:t xml:space="preserve"> activity were also reported in </w:t>
      </w:r>
      <w:r w:rsidR="00301FAD" w:rsidRPr="00CB1C44">
        <w:rPr>
          <w:rFonts w:ascii="Arial" w:hAnsi="Arial" w:cs="Arial"/>
          <w:lang w:val="en-US"/>
        </w:rPr>
        <w:t xml:space="preserve">the </w:t>
      </w:r>
      <w:r w:rsidR="00CD41DC" w:rsidRPr="00CB1C44">
        <w:rPr>
          <w:rFonts w:ascii="Arial" w:hAnsi="Arial" w:cs="Arial"/>
          <w:lang w:val="en-US"/>
        </w:rPr>
        <w:t>3xTg-AD mice</w:t>
      </w:r>
      <w:r w:rsidR="00E22E9B" w:rsidRPr="00CB1C44">
        <w:rPr>
          <w:rFonts w:ascii="Arial" w:hAnsi="Arial" w:cs="Arial"/>
          <w:lang w:val="en-US"/>
        </w:rPr>
        <w:t xml:space="preserve"> at 3 to 5 months </w:t>
      </w:r>
      <w:r w:rsidR="003751BC" w:rsidRPr="00CB1C44">
        <w:rPr>
          <w:rFonts w:ascii="Arial" w:hAnsi="Arial" w:cs="Arial"/>
          <w:lang w:val="en-US"/>
        </w:rPr>
        <w:t xml:space="preserve">of </w:t>
      </w:r>
      <w:r w:rsidR="00E22E9B" w:rsidRPr="00CB1C44">
        <w:rPr>
          <w:rFonts w:ascii="Arial" w:hAnsi="Arial" w:cs="Arial"/>
          <w:lang w:val="en-US"/>
        </w:rPr>
        <w:t xml:space="preserve">age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{"citationItems":[{"id":"ITEM-1","itemData":{"DOI":"10.1016/j.freeradbiomed.2008.03.012","ISBN":"0891-5849 (Print)\\r0891-5849 (Linking)","ISSN":"0891-5849","PMID":"18423383","abstract":"Alzheimer disease (AD) is a neurodegenerative disease which is characterized by the presence of extracellular senile plaques mainly composed of amyloid-beta peptide (Abeta), intracellular neurofibrillary tangles, and selective synaptic and neuronal loss. AD brains revealed elevated levels of oxidative stress markers which have been implicated in Abeta-induced toxicity. In the present work we addressed the hypothesis that oxidative stress occurs early in the development of AD and evaluated the extension of the oxidative stress and the levels of antioxidants in an in vivo model of AD, the triple-transgenic mouse, which develops plaques, tangles, and cognitive impairments and thus mimics AD progression in humans. We have shown that in this model, levels of antioxidants, namely, reduced glutathione and vitamin E, are decreased and the extent of lipid peroxidation is increased. We have also observed increased activity of the antioxidant enzymes glutathione peroxidase and superoxide dismutase. These alterations are evident during the Abeta oligomerization period, before the appearance of Abeta plaques and neurofibrillary tangles, supporting the view that oxidative stress occurs early in the development of the disease.","author":[{"dropping-particle":"","family":"Resende","given":"Rosa","non-dropping-particle":"","parse-names":false,"suffix":""},{"dropping-particle":"","family":"Moreira","given":"Paula Isabel","non-dropping-particle":"","parse-names":false,"suffix":""},{"dropping-particle":"","family":"Proença","given":"Teresa","non-dropping-particle":"","parse-names":false,"suffix":""},{"dropping-particle":"","family":"Deshpande","given":"Atul","non-dropping-particle":"","parse-names":false,"suffix":""},{"dropping-particle":"","family":"Busciglio","given":"Jorge","non-dropping-particle":"","parse-names":false,"suffix":""},{"dropping-particle":"","family":"Pereira","given":"Cláudia","non-dropping-particle":"","parse-names":false,"suffix":""},{"dropping-particle":"","family":"Oliveira","given":"Catarina Resende","non-dropping-particle":"","parse-names":false,"suffix":""}],"container-title":"Free radical biology &amp; medicine","id":"ITEM-1","issue":"12","issued":{"date-parts":[["2008"]]},"page":"2051-2057","title":"Brain oxidative stress in a triple-transgenic mouse model of Alzheimer disease.","type":"article-journal","volume":"44"},"uris":["http://www.mendeley.com/documents/?uuid=312855a5-ae4d-4893-b58d-d39bc4d14bbe"]}],"mendeley":{"formattedCitation":"(Resende et al., 2008)","plainTextFormattedCitation":"(Resende et al., 2008)","previouslyFormattedCitation":"(Resende et al., 2008)"},"properties":{"noteIndex":0},"schema":"https://github.com/citation-style-language/schema/raw/master/csl-citation.json"}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(Resende et al., 2008)</w:t>
      </w:r>
      <w:r w:rsidR="00E22E9B" w:rsidRPr="00CB1C44">
        <w:rPr>
          <w:rFonts w:ascii="Arial" w:hAnsi="Arial" w:cs="Arial"/>
          <w:lang w:val="en-US"/>
        </w:rPr>
        <w:fldChar w:fldCharType="end"/>
      </w:r>
      <w:r w:rsidR="00E22E9B" w:rsidRPr="00CB1C44">
        <w:rPr>
          <w:rFonts w:ascii="Arial" w:hAnsi="Arial" w:cs="Arial"/>
          <w:lang w:val="en-US"/>
        </w:rPr>
        <w:t xml:space="preserve">. Importantly, as in human </w:t>
      </w:r>
      <w:r w:rsidR="008E6B2A" w:rsidRPr="00CB1C44">
        <w:rPr>
          <w:rFonts w:ascii="Arial" w:hAnsi="Arial" w:cs="Arial"/>
          <w:lang w:val="en-US"/>
        </w:rPr>
        <w:t xml:space="preserve">MCI </w:t>
      </w:r>
      <w:r w:rsidR="00E22E9B" w:rsidRPr="00CB1C44">
        <w:rPr>
          <w:rFonts w:ascii="Arial" w:hAnsi="Arial" w:cs="Arial"/>
          <w:lang w:val="en-US"/>
        </w:rPr>
        <w:t>PBMCs, 3 month-old PBMCs from 3xTg-AD showed increased p(Ser40)Nrf2</w:t>
      </w:r>
      <w:r w:rsidR="003751BC" w:rsidRPr="00CB1C44">
        <w:rPr>
          <w:rFonts w:ascii="Arial" w:hAnsi="Arial" w:cs="Arial"/>
          <w:lang w:val="en-US"/>
        </w:rPr>
        <w:t>,</w:t>
      </w:r>
      <w:r w:rsidR="00E22E9B" w:rsidRPr="00CB1C44">
        <w:rPr>
          <w:rFonts w:ascii="Arial" w:hAnsi="Arial" w:cs="Arial"/>
          <w:lang w:val="en-US"/>
        </w:rPr>
        <w:t xml:space="preserve"> concordant</w:t>
      </w:r>
      <w:r w:rsidR="003751BC" w:rsidRPr="00CB1C44">
        <w:rPr>
          <w:rFonts w:ascii="Arial" w:hAnsi="Arial" w:cs="Arial"/>
          <w:lang w:val="en-US"/>
        </w:rPr>
        <w:t>ly</w:t>
      </w:r>
      <w:r w:rsidR="00E22E9B" w:rsidRPr="00CB1C44">
        <w:rPr>
          <w:rFonts w:ascii="Arial" w:hAnsi="Arial" w:cs="Arial"/>
          <w:lang w:val="en-US"/>
        </w:rPr>
        <w:t xml:space="preserve"> with Nrf2 nuclear translocation signal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{"citationItems":[{"id":"ITEM-1","itemData":{"DOI":"10.1016/j.bbadis.2015.03.015","ISBN":"0006-3002 (Print)\\r0006-3002 (Linking)","ISSN":"1879260X","PMID":"25857617","abstract":"Oxidative stress and endoplasmic reticulum (ER) stress have been associated with Alzheimer's disease (AD) progression. In this study we analyzed whether oxidative stress involving changes in Nrf2 and ER stress may constitute early events in AD pathogenesis by using human peripheral blood cells and an AD transgenic mouse model at different disease stages. Increased oxidative stress and increased phosphorylated Nrf2 (p(Ser40)Nrf2) were observed in human peripheral blood mononuclear cells (PBMCs) isolated from individuals with mild cognitive impairment (MCI). Moreover, we observed impaired ER Ca&lt;sup&gt;2+&lt;/sup&gt; homeostasis and increased ER stress markers in PBMCs from MCI individuals and mild AD patients. Evidence of early oxidative stress defense mechanisms in AD was substantiated by increased p(Ser40)Nrf2 in 3month-old 3xTg-AD male mice PBMCs, and also with increased nuclear Nrf2 levels in brain cortex. However, SOD1 protein levels were decreased in human MCI PBMCs and in 3xTg-AD mice brain cortex; the latter further correlated with reduced SOD1 mRNA levels. Increased ER stress was also detected in the brain cortex of young female and old male 3xTg-AD mice. We demonstrate oxidative stress and early Nrf2 activation in AD human and mouse models, which fails to regulate some of its targets, leading to repressed expression of antioxidant defenses (e.g., SOD-1), and extending to ER stress. Results suggest markers of prodromal AD linked to oxidative stress associated with Nrf2 activation and ER stress that may be followed in human peripheral blood mononuclear cells.","author":[{"dropping-particle":"","family":"Mota","given":"Sandra I.","non-dropping-particle":"","parse-names":false,"suffix":""},{"dropping-particle":"","family":"Costa","given":"Rui O.","non-dropping-particle":"","parse-names":false,"suffix":""},{"dropping-particle":"","family":"Ferreira","given":"Ildete L.","non-dropping-particle":"","parse-names":false,"suffix":""},{"dropping-particle":"","family":"Santana","given":"Isabel","non-dropping-particle":"","parse-names":false,"suffix":""},{"dropping-particle":"","family":"Caldeira","given":"Gladys L.","non-dropping-particle":"","parse-names":false,"suffix":""},{"dropping-particle":"","family":"Padovano","given":"Carmela","non-dropping-particle":"","parse-names":false,"suffix":""},{"dropping-particle":"","family":"Fonseca","given":"Ana C.","non-dropping-particle":"","parse-names":false,"suffix":""},{"dropping-particle":"","family":"Baldeiras","given":"In??s","non-dropping-particle":"","parse-names":false,"suffix":""},{"dropping-particle":"","family":"Cunha","given":"Catarina","non-dropping-particle":"","parse-names":false,"suffix":""},{"dropping-particle":"","family":"Letra","given":"Liliana","non-dropping-particle":"","parse-names":false,"suffix":""},{"dropping-particle":"","family":"Oliveira","given":"Catarina R.","non-dropping-particle":"","parse-names":false,"suffix":""},{"dropping-particle":"","family":"Pereira","given":"Cl??udia M F","non-dropping-particle":"","parse-names":false,"suffix":""},{"dropping-particle":"","family":"Rego","given":"Ana Cristina","non-dropping-particle":"","parse-names":false,"suffix":""}],"container-title":"Biochimica et Biophysica Acta - Molecular Basis of Disease","id":"ITEM-1","issue":"7","issued":{"date-parts":[["2015"]]},"page":"1428-1441","publisher":"Elsevier B.V.","title":"Oxidative stress involving changes in Nrf2 and ER stress in early stages of Alzheimer's disease","type":"article-journal","volume":"1852"},"uris":["http://www.mendeley.com/documents/?uuid=becaf500-ac4c-4d8a-ac20-2f9d8fdf764c"]}],"mendeley":{"formattedCitation":"(Mota et al., 2015)","plainTextFormattedCitation":"(Mota et al., 2015)","previouslyFormattedCitation":"(Mota et al., 2015)"},"properties":{"noteIndex":0},"schema":"https://github.com/citation-style-language/schema/raw/master/csl-citation.json"}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(Mota et al., 2015)</w:t>
      </w:r>
      <w:r w:rsidR="00E22E9B" w:rsidRPr="00CB1C44">
        <w:rPr>
          <w:rFonts w:ascii="Arial" w:hAnsi="Arial" w:cs="Arial"/>
          <w:lang w:val="en-US"/>
        </w:rPr>
        <w:fldChar w:fldCharType="end"/>
      </w:r>
      <w:r w:rsidR="00E22E9B" w:rsidRPr="00CB1C44">
        <w:rPr>
          <w:rFonts w:ascii="Arial" w:hAnsi="Arial" w:cs="Arial"/>
          <w:lang w:val="en-US"/>
        </w:rPr>
        <w:t xml:space="preserve">. </w:t>
      </w:r>
      <w:r w:rsidR="00C56409" w:rsidRPr="00CB1C44">
        <w:rPr>
          <w:rFonts w:ascii="Arial" w:hAnsi="Arial" w:cs="Arial"/>
          <w:lang w:val="en-US"/>
        </w:rPr>
        <w:t xml:space="preserve">Similar results were observed </w:t>
      </w:r>
      <w:r w:rsidR="003751BC" w:rsidRPr="00CB1C44">
        <w:rPr>
          <w:rFonts w:ascii="Arial" w:hAnsi="Arial" w:cs="Arial"/>
          <w:lang w:val="en-US"/>
        </w:rPr>
        <w:t xml:space="preserve">in </w:t>
      </w:r>
      <w:r w:rsidR="00CD41DC" w:rsidRPr="00CB1C44">
        <w:rPr>
          <w:rFonts w:ascii="Arial" w:hAnsi="Arial" w:cs="Arial"/>
          <w:lang w:val="en-US"/>
        </w:rPr>
        <w:t>the APP/PS1</w:t>
      </w:r>
      <w:r w:rsidR="00C56409" w:rsidRPr="00CB1C44">
        <w:rPr>
          <w:rFonts w:ascii="Arial" w:hAnsi="Arial" w:cs="Arial"/>
          <w:lang w:val="en-US"/>
        </w:rPr>
        <w:t xml:space="preserve"> AD m</w:t>
      </w:r>
      <w:r w:rsidR="003751BC" w:rsidRPr="00CB1C44">
        <w:rPr>
          <w:rFonts w:ascii="Arial" w:hAnsi="Arial" w:cs="Arial"/>
          <w:lang w:val="en-US"/>
        </w:rPr>
        <w:t>ouse</w:t>
      </w:r>
      <w:r w:rsidR="00C56409" w:rsidRPr="00CB1C44">
        <w:rPr>
          <w:rFonts w:ascii="Arial" w:hAnsi="Arial" w:cs="Arial"/>
          <w:lang w:val="en-US"/>
        </w:rPr>
        <w:t xml:space="preserve"> model</w:t>
      </w:r>
      <w:r w:rsidR="008379A7" w:rsidRPr="00CB1C44">
        <w:rPr>
          <w:rFonts w:ascii="Arial" w:hAnsi="Arial" w:cs="Arial"/>
          <w:lang w:val="en-US"/>
        </w:rPr>
        <w:t xml:space="preserve">, which contain human transgenes for both </w:t>
      </w:r>
      <w:r w:rsidR="008379A7" w:rsidRPr="00CB1C44">
        <w:rPr>
          <w:rFonts w:ascii="Arial" w:hAnsi="Arial" w:cs="Arial"/>
          <w:i/>
          <w:lang w:val="en-US"/>
        </w:rPr>
        <w:t>APP</w:t>
      </w:r>
      <w:r w:rsidR="008379A7" w:rsidRPr="00CB1C44">
        <w:rPr>
          <w:rFonts w:ascii="Arial" w:hAnsi="Arial" w:cs="Arial"/>
          <w:lang w:val="en-US"/>
        </w:rPr>
        <w:t xml:space="preserve"> and </w:t>
      </w:r>
      <w:r w:rsidR="008379A7" w:rsidRPr="00CB1C44">
        <w:rPr>
          <w:rFonts w:ascii="Arial" w:hAnsi="Arial" w:cs="Arial"/>
          <w:i/>
          <w:lang w:val="en-US"/>
        </w:rPr>
        <w:t xml:space="preserve">PSEN1 </w:t>
      </w:r>
      <w:r w:rsidR="008379A7" w:rsidRPr="00CB1C44">
        <w:rPr>
          <w:rFonts w:ascii="Arial" w:hAnsi="Arial" w:cs="Arial"/>
          <w:lang w:val="en-US"/>
        </w:rPr>
        <w:t>mutations</w:t>
      </w:r>
      <w:r w:rsidR="00C56409" w:rsidRPr="00CB1C44">
        <w:rPr>
          <w:rFonts w:ascii="Arial" w:hAnsi="Arial" w:cs="Arial"/>
          <w:lang w:val="en-US"/>
        </w:rPr>
        <w:t>. Th</w:t>
      </w:r>
      <w:r w:rsidR="003751BC" w:rsidRPr="00CB1C44">
        <w:rPr>
          <w:rFonts w:ascii="Arial" w:hAnsi="Arial" w:cs="Arial"/>
          <w:lang w:val="en-US"/>
        </w:rPr>
        <w:t>ese transgenic</w:t>
      </w:r>
      <w:r w:rsidR="00E22E9B" w:rsidRPr="00CB1C44">
        <w:rPr>
          <w:rFonts w:ascii="Arial" w:hAnsi="Arial" w:cs="Arial"/>
          <w:lang w:val="en-US"/>
        </w:rPr>
        <w:t xml:space="preserve"> </w:t>
      </w:r>
      <w:r w:rsidR="00C56409" w:rsidRPr="00CB1C44">
        <w:rPr>
          <w:rFonts w:ascii="Arial" w:hAnsi="Arial" w:cs="Arial"/>
          <w:lang w:val="en-US"/>
        </w:rPr>
        <w:t>mice</w:t>
      </w:r>
      <w:r w:rsidR="00E22E9B" w:rsidRPr="00CB1C44">
        <w:rPr>
          <w:rFonts w:ascii="Arial" w:hAnsi="Arial" w:cs="Arial"/>
          <w:lang w:val="en-US"/>
        </w:rPr>
        <w:t xml:space="preserve"> evidenced reduced levels of</w:t>
      </w:r>
      <w:r w:rsidR="001C6AD4" w:rsidRPr="00CB1C44">
        <w:rPr>
          <w:rFonts w:ascii="Arial" w:hAnsi="Arial" w:cs="Arial"/>
          <w:lang w:val="en-US"/>
        </w:rPr>
        <w:t xml:space="preserve"> </w:t>
      </w:r>
      <w:r w:rsidR="00E22E9B" w:rsidRPr="00CB1C44">
        <w:rPr>
          <w:rFonts w:ascii="Arial" w:hAnsi="Arial" w:cs="Arial"/>
          <w:lang w:val="en-US"/>
        </w:rPr>
        <w:t xml:space="preserve">GCLM and NQO1 mRNA at 6 months of age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{"citationItems":[{"id":"ITEM-1","itemData":{"DOI":"10.1016/j.mcn.2008.07.010","ISBN":"1095-9327 (Electronic)\\r1044-7431 (Linking)","ISSN":"10447431","PMID":"18706502","abstract":"Nuclear factor erythroid 2-related factor 2 (Nrf2) coordinates the up-regulation of cytoprotective genes via the antioxidant response element (ARE). In the pathogenesis of Alzheimer's disease (AD) current evidence supports the role of oxidative stress. Considering the protective role of Nrf2 against oxidative injury, we studied Nrf2 and Nrf2-ARE target genes in transgenic AD mice and tested whether Nrf2 could confer neuroprotection against amyloid-beta peptides (Abeta). Nrf2-ARE pathway was attenuated in APP/PS1 transgenic mouse brain at the time of Abeta deposition. Boosting the activity of the Nrf2-ARE pathway by tert-butylhydroquinone treatment or adenoviral Nrf2 gene transfer protected against Abeta toxicity. This neuroprotection was associated with increased expression of Nrf2 target genes and reduced phosphorylation of p66Shc, a marker of increased susceptibility for oxidative stress. The findings suggest that the Nrf2-ARE pathway may be impaired in AD and that induction of the Nrf2-ARE defence mechanism may prevent or delay AD-like pathology.","author":[{"dropping-particle":"","family":"Kanninen","given":"Katja","non-dropping-particle":"","parse-names":false,"suffix":""},{"dropping-particle":"","family":"Malm","given":"Tarja M.","non-dropping-particle":"","parse-names":false,"suffix":""},{"dropping-particle":"","family":"Jyrkkänen","given":"Henna-Kaisa","non-dropping-particle":"","parse-names":false,"suffix":""},{"dropping-particle":"","family":"Goldsteins","given":"Gundars","non-dropping-particle":"","parse-names":false,"suffix":""},{"dropping-particle":"","family":"Keksa-Goldsteine","given":"Velta","non-dropping-particle":"","parse-names":false,"suffix":""},{"dropping-particle":"","family":"Tanila","given":"Heikki","non-dropping-particle":"","parse-names":false,"suffix":""},{"dropping-particle":"","family":"Yamamoto","given":"Masayuki","non-dropping-particle":"","parse-names":false,"suffix":""},{"dropping-particle":"","family":"Ylä-Herttuala","given":"Seppo","non-dropping-particle":"","parse-names":false,"suffix":""},{"dropping-particle":"","family":"Levonen","given":"Anna-Liisa","non-dropping-particle":"","parse-names":false,"suffix":""},{"dropping-particle":"","family":"Koistinaho","given":"Jari","non-dropping-particle":"","parse-names":false,"suffix":""}],"container-title":"Molecular and Cellular Neuroscience","id":"ITEM-1","issue":"3","issued":{"date-parts":[["2008","10"]]},"page":"302-313","title":"Nuclear factor erythroid 2-related factor 2 protects against beta amyloid","type":"article-journal","volume":"39"},"uris":["http://www.mendeley.com/documents/?uuid=b2995542-3156-4507-91e0-6caecc840a20"]}],"mendeley":{"formattedCitation":"(Kanninen et al., 2008)","plainTextFormattedCitation":"(Kanninen et al., 2008)","previouslyFormattedCitation":"(Kanninen et al., 2008)"},"properties":{"noteIndex":0},"schema":"https://github.com/citation-style-language/schema/raw/master/csl-citation.json"}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(Kanninen et al., 2008)</w:t>
      </w:r>
      <w:r w:rsidR="00E22E9B" w:rsidRPr="00CB1C44">
        <w:rPr>
          <w:rFonts w:ascii="Arial" w:hAnsi="Arial" w:cs="Arial"/>
          <w:lang w:val="en-US"/>
        </w:rPr>
        <w:fldChar w:fldCharType="end"/>
      </w:r>
      <w:r w:rsidR="00E22E9B" w:rsidRPr="00CB1C44">
        <w:rPr>
          <w:rFonts w:ascii="Arial" w:hAnsi="Arial" w:cs="Arial"/>
          <w:lang w:val="en-US"/>
        </w:rPr>
        <w:t xml:space="preserve">, as well as </w:t>
      </w:r>
      <w:r w:rsidR="003751BC" w:rsidRPr="00CB1C44">
        <w:rPr>
          <w:rFonts w:ascii="Arial" w:hAnsi="Arial" w:cs="Arial"/>
          <w:lang w:val="en-US"/>
        </w:rPr>
        <w:t xml:space="preserve">decreased </w:t>
      </w:r>
      <w:r w:rsidR="00E22E9B" w:rsidRPr="00CB1C44">
        <w:rPr>
          <w:rFonts w:ascii="Arial" w:hAnsi="Arial" w:cs="Arial"/>
          <w:lang w:val="en-US"/>
        </w:rPr>
        <w:t>GCL</w:t>
      </w:r>
      <w:r w:rsidR="0024646D" w:rsidRPr="00CB1C44">
        <w:rPr>
          <w:rFonts w:ascii="Arial" w:hAnsi="Arial" w:cs="Arial"/>
          <w:lang w:val="en-US"/>
        </w:rPr>
        <w:t>C</w:t>
      </w:r>
      <w:r w:rsidR="00E22E9B" w:rsidRPr="00CB1C44">
        <w:rPr>
          <w:rFonts w:ascii="Arial" w:hAnsi="Arial" w:cs="Arial"/>
          <w:lang w:val="en-US"/>
        </w:rPr>
        <w:t xml:space="preserve"> mRNA and protein levels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{"citationItems":[{"id":"ITEM-1","itemData":{"DOI":"10.1016/j.neurobiolaging.2014.09.004","ISBN":"1558-1497 (Electronic) 0197-4580 (Linking)","ISSN":"15581497","PMID":"25316599","abstract":"The presence of senile plaques is one of the major pathologic hallmarks of the brain with Alzheimer's disease (AD). The plaques predominantly contain insoluble amyloid ??-peptide, a cleavage product of the larger amyloid precursor protein (APP). Two enzymes, named ?? and ?? secretase, generate the neurotoxic amyloid-?? peptide from APP. Mature APP is also turned over endogenously by autophagy, more specifically by the endosomal-lysosomal pathway. A defective lysosomal system is known to be pathogenic in AD. Modulation of NF-E2 related factor 2 (Nrf2) has been shown in several neurodegenerative disorders, and Nrf2 has become a potential therapeutic target for various neurodegenerative disorders, including AD, Parkinson's disease, and amyotrophic lateral sclerosis. In the current study, we explored the effect of genetic ablation of Nrf2 on APP/A?? processing and/or aggregation as well as changes in autophagic dysfunction in APP/PS1 mice. There was a significant increase in inflammatory response in APP/PS1 mice lacking Nrf2. This was accompanied by increased intracellular levels of APP, A?? (1-42), and A?? (1-40), without a change total full-length APP. There was a shift of APP and A?? into the insoluble fraction, as well as increased poly-ubiquitin conjugated proteins in mice lacking Nrf2. APP/PS1-mediated autophagic dysfunction is also enhanced in Nrf2-deficient mice. Finally, neurons in the APP/PS1/Nrf2-/- mice had increased accumulation of multivesicular bodies, endosomes, and lysosomes. These outcomes provide a better understanding of the role of Nrf2 in modulating autophagy in an AD mouse model and may help design better Nrf2 targeted therapeutics that could be efficacious in the treatment of AD.","author":[{"dropping-particle":"","family":"Joshi","given":"Gururaj","non-dropping-particle":"","parse-names":false,"suffix":""},{"dropping-particle":"","family":"Gan","given":"Kok Ann","non-dropping-particle":"","parse-names":false,"suffix":""},{"dropping-particle":"","family":"Johnson","given":"Delinda A.","non-dropping-particle":"","parse-names":false,"suffix":""},{"dropping-particle":"","family":"Johnson","given":"Jeffrey A.","non-dropping-particle":"","parse-names":false,"suffix":""}],"container-title":"Neurobiology of Aging","id":"ITEM-1","issue":"2","issued":{"date-parts":[["2015"]]},"page":"664-679","title":"Increased Alzheimer's disease-like pathology in the APP/ PS1??E9 mouse model lacking Nrf2 through modulation of autophagy","type":"article-journal","volume":"36"},"uris":["http://www.mendeley.com/documents/?uuid=2e2bc50c-3065-456a-8ab9-2cee5b27c6c2"]}],"mendeley":{"formattedCitation":"(Joshi et al., 2015)","plainTextFormattedCitation":"(Joshi et al., 2015)","previouslyFormattedCitation":"(Joshi et al., 2015)"},"properties":{"noteIndex":0},"schema":"https://github.com/citation-style-language/schema/raw/master/csl-citation.json"}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(Joshi et al., 2015)</w:t>
      </w:r>
      <w:r w:rsidR="00E22E9B" w:rsidRPr="00CB1C44">
        <w:rPr>
          <w:rFonts w:ascii="Arial" w:hAnsi="Arial" w:cs="Arial"/>
          <w:lang w:val="en-US"/>
        </w:rPr>
        <w:fldChar w:fldCharType="end"/>
      </w:r>
      <w:r w:rsidR="003751BC" w:rsidRPr="00CB1C44">
        <w:rPr>
          <w:rFonts w:ascii="Arial" w:hAnsi="Arial" w:cs="Arial"/>
          <w:lang w:val="en-US"/>
        </w:rPr>
        <w:t>,</w:t>
      </w:r>
      <w:r w:rsidR="00C56409" w:rsidRPr="00CB1C44">
        <w:rPr>
          <w:rFonts w:ascii="Arial" w:hAnsi="Arial" w:cs="Arial"/>
          <w:lang w:val="en-US"/>
        </w:rPr>
        <w:t xml:space="preserve"> suggesting</w:t>
      </w:r>
      <w:r w:rsidR="00E22E9B" w:rsidRPr="00CB1C44">
        <w:rPr>
          <w:rFonts w:ascii="Arial" w:hAnsi="Arial" w:cs="Arial"/>
          <w:lang w:val="en-US"/>
        </w:rPr>
        <w:t xml:space="preserve"> </w:t>
      </w:r>
      <w:r w:rsidR="00BD5AA6" w:rsidRPr="00CB1C44">
        <w:rPr>
          <w:rFonts w:ascii="Arial" w:hAnsi="Arial" w:cs="Arial"/>
          <w:lang w:val="en-US"/>
        </w:rPr>
        <w:t>dysregulated</w:t>
      </w:r>
      <w:r w:rsidR="00E22E9B" w:rsidRPr="00CB1C44">
        <w:rPr>
          <w:rFonts w:ascii="Arial" w:hAnsi="Arial" w:cs="Arial"/>
          <w:lang w:val="en-US"/>
        </w:rPr>
        <w:t xml:space="preserve"> Nrf2-ARE pathway in neurons of this mouse model, resulting in decreased related enzyme expression, when Aβ plaques become visible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{"citationItems":[{"id":"ITEM-1","itemData":{"DOI":"10.1016/j.mcn.2008.07.010","ISBN":"1095-9327 (Electronic)\\r1044-7431 (Linking)","ISSN":"10447431","PMID":"18706502","abstract":"Nuclear factor erythroid 2-related factor 2 (Nrf2) coordinates the up-regulation of cytoprotective genes via the antioxidant response element (ARE). In the pathogenesis of Alzheimer's disease (AD) current evidence supports the role of oxidative stress. Considering the protective role of Nrf2 against oxidative injury, we studied Nrf2 and Nrf2-ARE target genes in transgenic AD mice and tested whether Nrf2 could confer neuroprotection against amyloid-beta peptides (Abeta). Nrf2-ARE pathway was attenuated in APP/PS1 transgenic mouse brain at the time of Abeta deposition. Boosting the activity of the Nrf2-ARE pathway by tert-butylhydroquinone treatment or adenoviral Nrf2 gene transfer protected against Abeta toxicity. This neuroprotection was associated with increased expression of Nrf2 target genes and reduced phosphorylation of p66Shc, a marker of increased susceptibility for oxidative stress. The findings suggest that the Nrf2-ARE pathway may be impaired in AD and that induction of the Nrf2-ARE defence mechanism may prevent or delay AD-like pathology.","author":[{"dropping-particle":"","family":"Kanninen","given":"Katja","non-dropping-particle":"","parse-names":false,"suffix":""},{"dropping-particle":"","family":"Malm","given":"Tarja M.","non-dropping-particle":"","parse-names":false,"suffix":""},{"dropping-particle":"","family":"Jyrkkänen","given":"Henna-Kaisa","non-dropping-particle":"","parse-names":false,"suffix":""},{"dropping-particle":"","family":"Goldsteins","given":"Gundars","non-dropping-particle":"","parse-names":false,"suffix":""},{"dropping-particle":"","family":"Keksa-Goldsteine","given":"Velta","non-dropping-particle":"","parse-names":false,"suffix":""},{"dropping-particle":"","family":"Tanila","given":"Heikki","non-dropping-particle":"","parse-names":false,"suffix":""},{"dropping-particle":"","family":"Yamamoto","given":"Masayuki","non-dropping-particle":"","parse-names":false,"suffix":""},{"dropping-particle":"","family":"Ylä-Herttuala","given":"Seppo","non-dropping-particle":"","parse-names":false,"suffix":""},{"dropping-particle":"","family":"Levonen","given":"Anna-Liisa","non-dropping-particle":"","parse-names":false,"suffix":""},{"dropping-particle":"","family":"Koistinaho","given":"Jari","non-dropping-particle":"","parse-names":false,"suffix":""}],"container-title":"Molecular and Cellular Neuroscience","id":"ITEM-1","issue":"3","issued":{"date-parts":[["2008","10"]]},"page":"302-313","title":"Nuclear factor erythroid 2-related factor 2 protects against beta amyloid","type":"article-journal","volume":"39"},"uris":["http://www.mendeley.com/documents/?uuid=b2995542-3156-4507-91e0-6caecc840a20"]}],"mendeley":{"formattedCitation":"(Kanninen et al., 2008)","plainTextFormattedCitation":"(Kanninen et al., 2008)","previouslyFormattedCitation":"(Kanninen et al., 2008)"},"properties":{"noteIndex":0},"schema":"https://github.com/citation-style-language/schema/raw/master/csl-citation.json"}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(Kanninen et al., 2008)</w:t>
      </w:r>
      <w:r w:rsidR="00E22E9B" w:rsidRPr="00CB1C44">
        <w:rPr>
          <w:rFonts w:ascii="Arial" w:hAnsi="Arial" w:cs="Arial"/>
          <w:lang w:val="en-US"/>
        </w:rPr>
        <w:fldChar w:fldCharType="end"/>
      </w:r>
      <w:r w:rsidR="00E22E9B" w:rsidRPr="00CB1C44">
        <w:rPr>
          <w:rFonts w:ascii="Arial" w:hAnsi="Arial" w:cs="Arial"/>
          <w:lang w:val="en-US"/>
        </w:rPr>
        <w:t xml:space="preserve">. </w:t>
      </w:r>
    </w:p>
    <w:p w14:paraId="438A6632" w14:textId="6C22B54E" w:rsidR="00E22E9B" w:rsidRPr="00CB1C44" w:rsidRDefault="00804743" w:rsidP="004038B5">
      <w:pPr>
        <w:spacing w:after="0" w:line="360" w:lineRule="auto"/>
        <w:jc w:val="both"/>
        <w:rPr>
          <w:rFonts w:ascii="Arial" w:hAnsi="Arial" w:cs="Arial"/>
          <w:lang w:val="en-US"/>
        </w:rPr>
      </w:pPr>
      <w:r w:rsidRPr="00CB1C44">
        <w:rPr>
          <w:rFonts w:ascii="Arial" w:hAnsi="Arial" w:cs="Arial"/>
          <w:lang w:val="en-US"/>
        </w:rPr>
        <w:t>R</w:t>
      </w:r>
      <w:r w:rsidR="000E26AA" w:rsidRPr="00CB1C44">
        <w:rPr>
          <w:rFonts w:ascii="Arial" w:hAnsi="Arial" w:cs="Arial"/>
          <w:lang w:val="en-US"/>
        </w:rPr>
        <w:t xml:space="preserve">ecent studies show the importance of Nrf2-ARE activation in AD context. The </w:t>
      </w:r>
      <w:r w:rsidR="00956E28" w:rsidRPr="00CB1C44">
        <w:rPr>
          <w:rFonts w:ascii="Arial" w:hAnsi="Arial" w:cs="Arial"/>
          <w:lang w:val="en-US"/>
        </w:rPr>
        <w:t>use of Nrf2 inducer</w:t>
      </w:r>
      <w:r w:rsidR="000E26AA" w:rsidRPr="00CB1C44">
        <w:rPr>
          <w:rFonts w:ascii="Arial" w:hAnsi="Arial" w:cs="Arial"/>
          <w:lang w:val="en-US"/>
        </w:rPr>
        <w:t xml:space="preserve">, </w:t>
      </w:r>
      <w:r w:rsidR="002345A2" w:rsidRPr="00CB1C44">
        <w:rPr>
          <w:rFonts w:ascii="Arial" w:hAnsi="Arial" w:cs="Arial"/>
          <w:lang w:val="en-US"/>
        </w:rPr>
        <w:t>s</w:t>
      </w:r>
      <w:r w:rsidR="000E26AA" w:rsidRPr="00CB1C44">
        <w:rPr>
          <w:rFonts w:ascii="Arial" w:hAnsi="Arial" w:cs="Arial"/>
          <w:lang w:val="en-US"/>
        </w:rPr>
        <w:t xml:space="preserve">ulforaphane </w:t>
      </w:r>
      <w:r w:rsidR="00956E28" w:rsidRPr="00CB1C44">
        <w:rPr>
          <w:rFonts w:ascii="Arial" w:hAnsi="Arial" w:cs="Arial"/>
          <w:lang w:val="en-US"/>
        </w:rPr>
        <w:t>in the AD mouse model PS1</w:t>
      </w:r>
      <w:r w:rsidR="00956E28" w:rsidRPr="00CB1C44">
        <w:rPr>
          <w:rFonts w:ascii="Arial" w:hAnsi="Arial" w:cs="Arial"/>
          <w:vertAlign w:val="subscript"/>
          <w:lang w:val="en-US"/>
        </w:rPr>
        <w:t>V97L</w:t>
      </w:r>
      <w:r w:rsidR="00956E28" w:rsidRPr="00CB1C44">
        <w:rPr>
          <w:rFonts w:ascii="Calibri" w:eastAsia="Calibri" w:hAnsi="Calibri" w:cs="Calibri"/>
          <w:lang w:val="en-US"/>
        </w:rPr>
        <w:t>‐</w:t>
      </w:r>
      <w:r w:rsidR="00956E28" w:rsidRPr="00CB1C44">
        <w:rPr>
          <w:rFonts w:ascii="Arial" w:hAnsi="Arial" w:cs="Arial"/>
          <w:lang w:val="en-US"/>
        </w:rPr>
        <w:t>Tg</w:t>
      </w:r>
      <w:r w:rsidR="00145163" w:rsidRPr="00CB1C44">
        <w:rPr>
          <w:rFonts w:ascii="Arial" w:hAnsi="Arial" w:cs="Arial"/>
          <w:lang w:val="en-US"/>
        </w:rPr>
        <w:t xml:space="preserve">, with mutation in </w:t>
      </w:r>
      <w:r w:rsidR="00145163" w:rsidRPr="00CB1C44">
        <w:rPr>
          <w:rFonts w:ascii="Arial" w:hAnsi="Arial" w:cs="Arial"/>
          <w:i/>
          <w:lang w:val="en-US"/>
        </w:rPr>
        <w:t>PS</w:t>
      </w:r>
      <w:r w:rsidR="00833ED5" w:rsidRPr="00CB1C44">
        <w:rPr>
          <w:rFonts w:ascii="Arial" w:hAnsi="Arial" w:cs="Arial"/>
          <w:i/>
          <w:lang w:val="en-US"/>
        </w:rPr>
        <w:t>EN</w:t>
      </w:r>
      <w:r w:rsidR="00145163" w:rsidRPr="00CB1C44">
        <w:rPr>
          <w:rFonts w:ascii="Arial" w:hAnsi="Arial" w:cs="Arial"/>
          <w:i/>
          <w:lang w:val="en-US"/>
        </w:rPr>
        <w:t>1</w:t>
      </w:r>
      <w:r w:rsidR="00145163" w:rsidRPr="00CB1C44">
        <w:rPr>
          <w:rFonts w:ascii="Arial" w:hAnsi="Arial" w:cs="Arial"/>
          <w:lang w:val="en-US"/>
        </w:rPr>
        <w:t xml:space="preserve"> gene,</w:t>
      </w:r>
      <w:r w:rsidR="00956E28" w:rsidRPr="00CB1C44">
        <w:rPr>
          <w:rFonts w:ascii="Arial" w:hAnsi="Arial" w:cs="Arial"/>
          <w:lang w:val="en-US"/>
        </w:rPr>
        <w:t xml:space="preserve"> promoted increased cerebral Nrf2 expression and Nrf2/ARE pathway activation, ameliorated oxidative stress, amyloid pathology and improved cognitive function </w:t>
      </w:r>
      <w:r w:rsidR="009F690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{"citationItems":[{"id":"ITEM-1","itemData":{"DOI":"10.1002/jnr.24357","ISBN":"9781137527103 (ISBN); 9781137527080 (ISBN)","ISSN":"03604012","author":[{"dropping-particle":"","family":"Tian","given":"Yuanruhua","non-dropping-particle":"","parse-names":false,"suffix":""},{"dropping-particle":"","family":"Wang","given":"Wei","non-dropping-particle":"","parse-names":false,"suffix":""},{"dropping-particle":"","family":"Xu","given":"Lingzhi","non-dropping-particle":"","parse-names":false,"suffix":""},{"dropping-particle":"","family":"Li","given":"Haitao","non-dropping-particle":"","parse-names":false,"suffix":""},{"dropping-particle":"","family":"Wei","given":"Yiping","non-dropping-particle":"","parse-names":false,"suffix":""},{"dropping-particle":"","family":"Wu","given":"Qiaoqi","non-dropping-particle":"","parse-names":false,"suffix":""},{"dropping-particle":"","family":"Jia","given":"Jianping","non-dropping-particle":"","parse-names":false,"suffix":""}],"container-title":"Journal of Neuroscience Research","id":"ITEM-1","issue":"October","issued":{"date-parts":[["2018","11","21"]]},"page":"1-14","title":"Activation of Nrf2/ARE pathway alleviates the cognitive deficits in PS1V97L-Tg mouse model of Alzheimer’s disease through modulation of oxidative stress","type":"article-journal"},"uris":["http://www.mendeley.com/documents/?uuid=0b8912d8-dba6-412c-b4e9-4ba62171404f"]}],"mendeley":{"formattedCitation":"(Tian et al., 2018)","plainTextFormattedCitation":"(Tian et al., 2018)","previouslyFormattedCitation":"(Tian et al., 2018)"},"properties":{"noteIndex":0},"schema":"https://github.com/citation-style-language/schema/raw/master/csl-citation.json"}</w:instrText>
      </w:r>
      <w:r w:rsidR="009F6907" w:rsidRPr="00CB1C44">
        <w:rPr>
          <w:rFonts w:ascii="Arial" w:hAnsi="Arial" w:cs="Arial"/>
          <w:lang w:val="en-US"/>
        </w:rPr>
        <w:fldChar w:fldCharType="separate"/>
      </w:r>
      <w:r w:rsidR="00DD645C" w:rsidRPr="00CB1C44">
        <w:rPr>
          <w:rFonts w:ascii="Arial" w:hAnsi="Arial" w:cs="Arial"/>
          <w:noProof/>
          <w:lang w:val="en-US"/>
        </w:rPr>
        <w:t>(Tian et al., 2018)</w:t>
      </w:r>
      <w:r w:rsidR="009F6907" w:rsidRPr="00CB1C44">
        <w:rPr>
          <w:rFonts w:ascii="Arial" w:hAnsi="Arial" w:cs="Arial"/>
          <w:lang w:val="en-US"/>
        </w:rPr>
        <w:fldChar w:fldCharType="end"/>
      </w:r>
      <w:r w:rsidR="00956E28" w:rsidRPr="00CB1C44">
        <w:rPr>
          <w:rFonts w:ascii="Arial" w:hAnsi="Arial" w:cs="Arial"/>
          <w:lang w:val="en-US"/>
        </w:rPr>
        <w:t>.</w:t>
      </w:r>
      <w:r w:rsidR="009F6907" w:rsidRPr="00CB1C44">
        <w:rPr>
          <w:rFonts w:ascii="Arial" w:hAnsi="Arial" w:cs="Arial"/>
          <w:lang w:val="en-US"/>
        </w:rPr>
        <w:t xml:space="preserve"> </w:t>
      </w:r>
      <w:r w:rsidR="002E1A27" w:rsidRPr="00CB1C44">
        <w:rPr>
          <w:rFonts w:ascii="Arial" w:hAnsi="Arial" w:cs="Arial"/>
          <w:lang w:val="en-US"/>
        </w:rPr>
        <w:t>Importantly</w:t>
      </w:r>
      <w:r w:rsidR="00E22E9B" w:rsidRPr="00CB1C44">
        <w:rPr>
          <w:rFonts w:ascii="Arial" w:hAnsi="Arial" w:cs="Arial"/>
          <w:lang w:val="en-US"/>
        </w:rPr>
        <w:t>,</w:t>
      </w:r>
      <w:r w:rsidR="002E1A27" w:rsidRPr="00CB1C44">
        <w:rPr>
          <w:rFonts w:ascii="Arial" w:hAnsi="Arial" w:cs="Arial"/>
          <w:lang w:val="en-US"/>
        </w:rPr>
        <w:t xml:space="preserve"> by crossing Nrf2</w:t>
      </w:r>
      <w:r w:rsidR="002E1A27" w:rsidRPr="00CB1C44">
        <w:rPr>
          <w:rFonts w:ascii="Arial" w:hAnsi="Arial" w:cs="Arial"/>
          <w:vertAlign w:val="superscript"/>
          <w:lang w:val="en-US"/>
        </w:rPr>
        <w:t>-/-</w:t>
      </w:r>
      <w:r w:rsidR="002E1A27" w:rsidRPr="00CB1C44">
        <w:rPr>
          <w:rFonts w:ascii="Arial" w:hAnsi="Arial" w:cs="Arial"/>
          <w:lang w:val="en-US"/>
        </w:rPr>
        <w:t xml:space="preserve"> and APP/PS1 mice</w:t>
      </w:r>
      <w:r w:rsidR="005256BB" w:rsidRPr="00CB1C44">
        <w:rPr>
          <w:rFonts w:ascii="Arial" w:hAnsi="Arial" w:cs="Arial"/>
          <w:lang w:val="en-US"/>
        </w:rPr>
        <w:t>,</w:t>
      </w:r>
      <w:r w:rsidR="002E1A27" w:rsidRPr="00CB1C44">
        <w:rPr>
          <w:rFonts w:ascii="Arial" w:hAnsi="Arial" w:cs="Arial"/>
          <w:lang w:val="en-US"/>
        </w:rPr>
        <w:t xml:space="preserve"> </w:t>
      </w:r>
      <w:r w:rsidR="00E22E9B" w:rsidRPr="00CB1C44">
        <w:rPr>
          <w:rFonts w:ascii="Arial" w:hAnsi="Arial" w:cs="Arial"/>
          <w:lang w:val="en-US"/>
        </w:rPr>
        <w:t>Joshi and colleagues observed increased intracellular Aβ, APP fragments and full-length APP in</w:t>
      </w:r>
      <w:r w:rsidR="00E22E9B" w:rsidRPr="00CB1C44" w:rsidDel="00885733">
        <w:rPr>
          <w:rFonts w:ascii="Arial" w:hAnsi="Arial" w:cs="Arial"/>
          <w:lang w:val="en-US"/>
        </w:rPr>
        <w:t xml:space="preserve"> </w:t>
      </w:r>
      <w:r w:rsidR="00E22E9B" w:rsidRPr="00CB1C44">
        <w:rPr>
          <w:rFonts w:ascii="Arial" w:hAnsi="Arial" w:cs="Arial"/>
          <w:lang w:val="en-US"/>
        </w:rPr>
        <w:t>CA1 neurons from APP/PS1/Nrf2</w:t>
      </w:r>
      <w:r w:rsidR="00E22E9B" w:rsidRPr="00CB1C44">
        <w:rPr>
          <w:rFonts w:ascii="Arial" w:hAnsi="Arial" w:cs="Arial"/>
          <w:vertAlign w:val="superscript"/>
          <w:lang w:val="en-US"/>
        </w:rPr>
        <w:t>-/-</w:t>
      </w:r>
      <w:r w:rsidR="00E22E9B" w:rsidRPr="00CB1C44">
        <w:rPr>
          <w:rFonts w:ascii="Arial" w:hAnsi="Arial" w:cs="Arial"/>
          <w:lang w:val="en-US"/>
        </w:rPr>
        <w:t xml:space="preserve"> mice</w:t>
      </w:r>
      <w:r w:rsidR="002345A2" w:rsidRPr="00CB1C44">
        <w:rPr>
          <w:rFonts w:ascii="Arial" w:hAnsi="Arial" w:cs="Arial"/>
          <w:lang w:val="en-US"/>
        </w:rPr>
        <w:t>,</w:t>
      </w:r>
      <w:r w:rsidR="00E22E9B" w:rsidRPr="00CB1C44">
        <w:rPr>
          <w:rFonts w:ascii="Arial" w:hAnsi="Arial" w:cs="Arial"/>
          <w:lang w:val="en-US"/>
        </w:rPr>
        <w:t xml:space="preserve"> when compared with APP/PS1 mice </w:t>
      </w:r>
      <w:r w:rsidR="00E22E9B"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{"citationItems":[{"id":"ITEM-1","itemData":{"DOI":"10.1016/j.neurobiolaging.2014.09.004","ISBN":"1558-1497 (Electronic) 0197-4580 (Linking)","ISSN":"15581497","PMID":"25316599","abstract":"The presence of senile plaques is one of the major pathologic hallmarks of the brain with Alzheimer's disease (AD). The plaques predominantly contain insoluble amyloid ??-peptide, a cleavage product of the larger amyloid precursor protein (APP). Two enzymes, named ?? and ?? secretase, generate the neurotoxic amyloid-?? peptide from APP. Mature APP is also turned over endogenously by autophagy, more specifically by the endosomal-lysosomal pathway. A defective lysosomal system is known to be pathogenic in AD. Modulation of NF-E2 related factor 2 (Nrf2) has been shown in several neurodegenerative disorders, and Nrf2 has become a potential therapeutic target for various neurodegenerative disorders, including AD, Parkinson's disease, and amyotrophic lateral sclerosis. In the current study, we explored the effect of genetic ablation of Nrf2 on APP/A?? processing and/or aggregation as well as changes in autophagic dysfunction in APP/PS1 mice. There was a significant increase in inflammatory response in APP/PS1 mice lacking Nrf2. This was accompanied by increased intracellular levels of APP, A?? (1-42), and A?? (1-40), without a change total full-length APP. There was a shift of APP and A?? into the insoluble fraction, as well as increased poly-ubiquitin conjugated proteins in mice lacking Nrf2. APP/PS1-mediated autophagic dysfunction is also enhanced in Nrf2-deficient mice. Finally, neurons in the APP/PS1/Nrf2-/- mice had increased accumulation of multivesicular bodies, endosomes, and lysosomes. These outcomes provide a better understanding of the role of Nrf2 in modulating autophagy in an AD mouse model and may help design better Nrf2 targeted therapeutics that could be efficacious in the treatment of AD.","author":[{"dropping-particle":"","family":"Joshi","given":"Gururaj","non-dropping-particle":"","parse-names":false,"suffix":""},{"dropping-particle":"","family":"Gan","given":"Kok Ann","non-dropping-particle":"","parse-names":false,"suffix":""},{"dropping-particle":"","family":"Johnson","given":"Delinda A.","non-dropping-particle":"","parse-names":false,"suffix":""},{"dropping-particle":"","family":"Johnson","given":"Jeffrey A.","non-dropping-particle":"","parse-names":false,"suffix":""}],"container-title":"Neurobiology of Aging","id":"ITEM-1","issue":"2","issued":{"date-parts":[["2015"]]},"page":"664-679","title":"Increased Alzheimer's disease-like pathology in the APP/ PS1??E9 mouse model lacking Nrf2 through modulation of autophagy","type":"article-journal","volume":"36"},"uris":["http://www.mendeley.com/documents/?uuid=2e2bc50c-3065-456a-8ab9-2cee5b27c6c2"]}],"mendeley":{"formattedCitation":"(Joshi et al., 2015)","plainTextFormattedCitation":"(Joshi et al., 2015)","previouslyFormattedCitation":"(Joshi et al., 2015)"},"properties":{"noteIndex":0},"schema":"https://github.com/citation-style-language/schema/raw/master/csl-citation.json"}</w:instrText>
      </w:r>
      <w:r w:rsidR="00E22E9B" w:rsidRPr="00CB1C44">
        <w:rPr>
          <w:rFonts w:ascii="Arial" w:hAnsi="Arial" w:cs="Arial"/>
          <w:lang w:val="en-US"/>
        </w:rPr>
        <w:fldChar w:fldCharType="separate"/>
      </w:r>
      <w:r w:rsidR="00DD645C" w:rsidRPr="00CB1C44">
        <w:rPr>
          <w:rFonts w:ascii="Arial" w:hAnsi="Arial" w:cs="Arial"/>
          <w:noProof/>
          <w:lang w:val="en-US"/>
        </w:rPr>
        <w:t>(Joshi et al., 2015)</w:t>
      </w:r>
      <w:r w:rsidR="00E22E9B" w:rsidRPr="00CB1C44">
        <w:rPr>
          <w:rFonts w:ascii="Arial" w:hAnsi="Arial" w:cs="Arial"/>
          <w:lang w:val="en-US"/>
        </w:rPr>
        <w:fldChar w:fldCharType="end"/>
      </w:r>
      <w:r w:rsidR="00E22E9B" w:rsidRPr="00CB1C44">
        <w:rPr>
          <w:rFonts w:ascii="Arial" w:hAnsi="Arial" w:cs="Arial"/>
          <w:lang w:val="en-US"/>
        </w:rPr>
        <w:t xml:space="preserve">. </w:t>
      </w:r>
      <w:proofErr w:type="spellStart"/>
      <w:r w:rsidR="00AB2887" w:rsidRPr="00CB1C44">
        <w:rPr>
          <w:rFonts w:ascii="Arial" w:hAnsi="Arial" w:cs="Arial"/>
          <w:lang w:val="en-US"/>
        </w:rPr>
        <w:t>Branca</w:t>
      </w:r>
      <w:proofErr w:type="spellEnd"/>
      <w:r w:rsidR="00AB2887" w:rsidRPr="00CB1C44">
        <w:rPr>
          <w:rFonts w:ascii="Arial" w:hAnsi="Arial" w:cs="Arial"/>
          <w:lang w:val="en-US"/>
        </w:rPr>
        <w:t xml:space="preserve"> and co-workers further described that the APP/PS1/Nrf2</w:t>
      </w:r>
      <w:r w:rsidR="00AB2887" w:rsidRPr="00CB1C44">
        <w:rPr>
          <w:rFonts w:ascii="Arial" w:hAnsi="Arial" w:cs="Arial"/>
          <w:vertAlign w:val="superscript"/>
          <w:lang w:val="en-US"/>
        </w:rPr>
        <w:t>-/-</w:t>
      </w:r>
      <w:r w:rsidR="00AB2887" w:rsidRPr="00CB1C44">
        <w:rPr>
          <w:rFonts w:ascii="Arial" w:hAnsi="Arial" w:cs="Arial"/>
          <w:lang w:val="en-US"/>
        </w:rPr>
        <w:t xml:space="preserve"> mice has exacerbated cognitive deficits</w:t>
      </w:r>
      <w:r w:rsidR="00401BFA" w:rsidRPr="00CB1C44">
        <w:rPr>
          <w:rFonts w:ascii="Arial" w:hAnsi="Arial" w:cs="Arial"/>
          <w:lang w:val="en-US"/>
        </w:rPr>
        <w:t xml:space="preserve"> and </w:t>
      </w:r>
      <w:r w:rsidR="00D805C2" w:rsidRPr="00CB1C44">
        <w:rPr>
          <w:rFonts w:ascii="Arial" w:hAnsi="Arial" w:cs="Arial"/>
          <w:lang w:val="en-US"/>
        </w:rPr>
        <w:t xml:space="preserve">increased </w:t>
      </w:r>
      <w:r w:rsidR="00401BFA" w:rsidRPr="00CB1C44">
        <w:rPr>
          <w:rFonts w:ascii="Arial" w:hAnsi="Arial" w:cs="Arial"/>
          <w:lang w:val="en-US"/>
        </w:rPr>
        <w:t>neuroinflammation</w:t>
      </w:r>
      <w:r w:rsidR="00D805C2" w:rsidRPr="00CB1C44">
        <w:rPr>
          <w:rFonts w:ascii="Arial" w:hAnsi="Arial" w:cs="Arial"/>
          <w:lang w:val="en-US"/>
        </w:rPr>
        <w:t xml:space="preserve"> </w:t>
      </w:r>
      <w:r w:rsidR="0089653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{"citationItems":[{"id":"ITEM-1","itemData":{"DOI":"10.1093/hmg/ddx361","ISSN":"0964-6906","PMID":"29036636","abstract":"Aging is the major risk factor for several neurodegenerative diseases, including Alzheimer's disease (AD). However, the mechanisms by which aging contributes to neurodegeneration remain elusive. The nuclear factor (erythroid-derived 2)-like 2 (Nrf2) is a transcription factor that regulates expression of a vast number of genes by binding to the antioxidant response element. Nrf2 levels decrease as a function of age, and reduced Nrf2 levels have been reported in postmortem human brains and animal models of AD. Nevertheless, it is still unknown whether Nrf2 plays a role in the cognitive deficits associated with AD. To address this question, we used a genetic approach to remove the Nrf2 gene from APP/PS1 mice, a widely used animal model of AD. We found that the lack of Nrf2 significantly exacerbates cognitive deficits in APP/PS1, without altering gross motor function. Specifically, we found an exacerbation of deficits in spatial learning and memory, as well as in working and associative memory. Different brain regions control these behavioral tests, indicating that the lack of Nrf2 has a global effect on brain function. The changes in cognition were linked to an increase in Aβ and interferon-gamma (IFNγ) levels, and microgliosis. The changes in IFNγ levels are noteworthy as previously published evidence indicates that IFNγ can increase microglia activation and induce Aβ production. Our data suggest a clear link between Nrf2 and AD-mediated cognitive decline and further strengthen the connection between Nrf2 and AD.","author":[{"dropping-particle":"","family":"Branca","given":"Caterina","non-dropping-particle":"","parse-names":false,"suffix":""},{"dropping-particle":"","family":"Ferreira","given":"Eric","non-dropping-particle":"","parse-names":false,"suffix":""},{"dropping-particle":"","family":"Nguyen","given":"Thuy-Vi","non-dropping-particle":"","parse-names":false,"suffix":""},{"dropping-particle":"","family":"Doyle","given":"Kristian","non-dropping-particle":"","parse-names":false,"suffix":""},{"dropping-particle":"","family":"Caccamo","given":"Antonella","non-dropping-particle":"","parse-names":false,"suffix":""},{"dropping-particle":"","family":"Oddo","given":"Salvatore","non-dropping-particle":"","parse-names":false,"suffix":""}],"container-title":"Human Molecular Genetics","id":"ITEM-1","issue":"24","issued":{"date-parts":[["2017","12","15"]]},"page":"4823-4835","title":"Genetic reduction of Nrf2 exacerbates cognitive deficits in a mouse model of Alzheimer’s disease","type":"article-journal","volume":"26"},"uris":["http://www.mendeley.com/documents/?uuid=ba062699-d879-49c7-ba15-6a843cc0523c"]}],"mendeley":{"formattedCitation":"(Branca et al., 2017)","plainTextFormattedCitation":"(Branca et al., 2017)","previouslyFormattedCitation":"(Branca et al., 2017)"},"properties":{"noteIndex":0},"schema":"https://github.com/citation-style-language/schema/raw/master/csl-citation.json"}</w:instrText>
      </w:r>
      <w:r w:rsidR="00896533" w:rsidRPr="00CB1C44">
        <w:rPr>
          <w:rFonts w:ascii="Arial" w:hAnsi="Arial" w:cs="Arial"/>
          <w:lang w:val="en-US"/>
        </w:rPr>
        <w:fldChar w:fldCharType="separate"/>
      </w:r>
      <w:r w:rsidR="00DD645C" w:rsidRPr="00CB1C44">
        <w:rPr>
          <w:rFonts w:ascii="Arial" w:hAnsi="Arial" w:cs="Arial"/>
          <w:noProof/>
          <w:lang w:val="en-US"/>
        </w:rPr>
        <w:t>(Branca et al., 2017)</w:t>
      </w:r>
      <w:r w:rsidR="00896533" w:rsidRPr="00CB1C44">
        <w:rPr>
          <w:rFonts w:ascii="Arial" w:hAnsi="Arial" w:cs="Arial"/>
          <w:lang w:val="en-US"/>
        </w:rPr>
        <w:fldChar w:fldCharType="end"/>
      </w:r>
      <w:r w:rsidR="00401BFA" w:rsidRPr="00CB1C44">
        <w:rPr>
          <w:rFonts w:ascii="Arial" w:hAnsi="Arial" w:cs="Arial"/>
          <w:lang w:val="en-US"/>
        </w:rPr>
        <w:t>.</w:t>
      </w:r>
      <w:r w:rsidR="008C386D" w:rsidRPr="00CB1C44">
        <w:rPr>
          <w:rFonts w:ascii="Arial" w:hAnsi="Arial" w:cs="Arial"/>
          <w:lang w:val="en-US"/>
        </w:rPr>
        <w:t xml:space="preserve"> More recently, </w:t>
      </w:r>
      <w:r w:rsidR="00E535C0" w:rsidRPr="00CB1C44">
        <w:rPr>
          <w:rFonts w:ascii="Arial" w:hAnsi="Arial" w:cs="Arial"/>
          <w:lang w:val="en-US"/>
        </w:rPr>
        <w:t xml:space="preserve">an AD model that combines </w:t>
      </w:r>
      <w:proofErr w:type="spellStart"/>
      <w:r w:rsidR="00E535C0" w:rsidRPr="00CB1C44">
        <w:rPr>
          <w:rFonts w:ascii="Arial" w:hAnsi="Arial" w:cs="Arial"/>
          <w:lang w:val="en-US"/>
        </w:rPr>
        <w:t>amyloidopathy</w:t>
      </w:r>
      <w:proofErr w:type="spellEnd"/>
      <w:r w:rsidR="00E535C0" w:rsidRPr="00CB1C44">
        <w:rPr>
          <w:rFonts w:ascii="Arial" w:hAnsi="Arial" w:cs="Arial"/>
          <w:lang w:val="en-US"/>
        </w:rPr>
        <w:t xml:space="preserve"> and tauopathy with NRF2-deficiency (AT-NRF2-KO)</w:t>
      </w:r>
      <w:r w:rsidR="004346FD" w:rsidRPr="00CB1C44">
        <w:rPr>
          <w:rFonts w:ascii="Arial" w:hAnsi="Arial" w:cs="Arial"/>
          <w:lang w:val="en-US"/>
        </w:rPr>
        <w:t xml:space="preserve"> </w:t>
      </w:r>
      <w:r w:rsidR="004D75EE" w:rsidRPr="00CB1C44">
        <w:rPr>
          <w:rFonts w:ascii="Arial" w:hAnsi="Arial" w:cs="Arial"/>
          <w:lang w:val="en-US"/>
        </w:rPr>
        <w:t xml:space="preserve">died prematurely and </w:t>
      </w:r>
      <w:r w:rsidR="004346FD" w:rsidRPr="00CB1C44">
        <w:rPr>
          <w:rFonts w:ascii="Arial" w:hAnsi="Arial" w:cs="Arial"/>
          <w:lang w:val="en-US"/>
        </w:rPr>
        <w:t>showed intensified astrogliosis and microgliosis</w:t>
      </w:r>
      <w:r w:rsidR="004D75EE" w:rsidRPr="00CB1C44">
        <w:rPr>
          <w:rFonts w:ascii="Arial" w:hAnsi="Arial" w:cs="Arial"/>
          <w:lang w:val="en-US"/>
        </w:rPr>
        <w:t>, when compared to</w:t>
      </w:r>
      <w:r w:rsidR="00E535C0" w:rsidRPr="00CB1C44">
        <w:rPr>
          <w:rFonts w:ascii="Arial" w:hAnsi="Arial" w:cs="Arial"/>
          <w:lang w:val="en-US"/>
        </w:rPr>
        <w:t xml:space="preserve"> wild type</w:t>
      </w:r>
      <w:r w:rsidR="004D75EE" w:rsidRPr="00CB1C44">
        <w:rPr>
          <w:rFonts w:ascii="Arial" w:hAnsi="Arial" w:cs="Arial"/>
          <w:lang w:val="en-US"/>
        </w:rPr>
        <w:t xml:space="preserve"> mice</w:t>
      </w:r>
      <w:r w:rsidR="00E535C0" w:rsidRPr="00CB1C44">
        <w:rPr>
          <w:rFonts w:ascii="Arial" w:hAnsi="Arial" w:cs="Arial"/>
          <w:lang w:val="en-US"/>
        </w:rPr>
        <w:t xml:space="preserve"> (AT-NRF</w:t>
      </w:r>
      <w:r w:rsidR="004D75EE" w:rsidRPr="00CB1C44">
        <w:rPr>
          <w:rFonts w:ascii="Arial" w:hAnsi="Arial" w:cs="Arial"/>
          <w:lang w:val="en-US"/>
        </w:rPr>
        <w:t xml:space="preserve">2-WT) </w:t>
      </w:r>
      <w:r w:rsidR="007D60A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{"citationItems":[{"id":"ITEM-1","itemData":{"DOI":"10.1016/j.redox.2018.07.006","ISSN":"22132317","abstract":"Chronic neuroinflammation is a hallmark of the onset and progression of brain proteinopathies such as Alzheimer disease (AD) and it is suspected to participate in the neurodegenerative process. Transcription factor NRF2, a master regulator of redox homeostasis, controls acute inflammation but its relevance in low-grade chronic inflammation of AD is inconclusive due to lack of good mouse models. We have addressed this question in a transgenic mouse that combines amyloidopathy and tauopathy with either wild type (AT-NRF2-WT) or NRF2-deficiency (AT-NRF2-KO). AT-NRF2-WT mice died prematurely, at around 14 months of age, due to motor deficits and a terminal spinal deformity but AT-NRF2-KO mice died roughly 2 months earlier. NRF2-deficiency correlated with exacerbated astrogliosis and microgliosis, as determined by an increase in GFAP, IBA1 and CD11b levels. The immunomodulatory molecule dimethyl fumarate (DMF), a drug already used for the treatment of multiple sclerosis whose main target is accepted to be NRF2, was tested in this preclinical model. Daily oral gavage of DMF during six weeks reduced glial and inflammatory markers and improved cognition and motor complications in the AT-NRF2-WT mice compared with the vehicle-treated animals. This study demonstrates the relevance of the inflammatory response in experimental AD, tightly regulated by NRF2 activity, and provides a new strategy to fight AD.","author":[{"dropping-particle":"","family":"Rojo","given":"Ana I.","non-dropping-particle":"","parse-names":false,"suffix":""},{"dropping-particle":"","family":"Pajares","given":"Marta","non-dropping-particle":"","parse-names":false,"suffix":""},{"dropping-particle":"","family":"García-Yagüe","given":"Angel J.","non-dropping-particle":"","parse-names":false,"suffix":""},{"dropping-particle":"","family":"Buendia","given":"Izaskun","non-dropping-particle":"","parse-names":false,"suffix":""},{"dropping-particle":"","family":"Leuven","given":"Fred","non-dropping-particle":"Van","parse-names":false,"suffix":""},{"dropping-particle":"","family":"Yamamoto","given":"Masayuki","non-dropping-particle":"","parse-names":false,"suffix":""},{"dropping-particle":"","family":"López","given":"Manuela G.","non-dropping-particle":"","parse-names":false,"suffix":""},{"dropping-particle":"","family":"Cuadrado","given":"Antonio","non-dropping-particle":"","parse-names":false,"suffix":""}],"container-title":"Redox Biology","id":"ITEM-1","issue":"July","issued":{"date-parts":[["2018","9"]]},"page":"173-180","publisher":"Elsevier B.V.","title":"Deficiency in the transcription factor NRF2 worsens inflammatory parameters in a mouse model with combined tauopathy and amyloidopathy","type":"article-journal","volume":"18"},"uris":["http://www.mendeley.com/documents/?uuid=4eee8c21-e577-4fd9-ac9d-eb9f099a9e5e"]}],"mendeley":{"formattedCitation":"(Rojo et al., 2018)","plainTextFormattedCitation":"(Rojo et al., 2018)","previouslyFormattedCitation":"(Rojo et al., 2018)"},"properties":{"noteIndex":0},"schema":"https://github.com/citation-style-language/schema/raw/master/csl-citation.json"}</w:instrText>
      </w:r>
      <w:r w:rsidR="007D60A0" w:rsidRPr="00CB1C44">
        <w:rPr>
          <w:rFonts w:ascii="Arial" w:hAnsi="Arial" w:cs="Arial"/>
          <w:lang w:val="en-US"/>
        </w:rPr>
        <w:fldChar w:fldCharType="separate"/>
      </w:r>
      <w:r w:rsidR="00DD645C" w:rsidRPr="00CB1C44">
        <w:rPr>
          <w:rFonts w:ascii="Arial" w:hAnsi="Arial" w:cs="Arial"/>
          <w:noProof/>
          <w:lang w:val="en-US"/>
        </w:rPr>
        <w:t>(Rojo et al., 2018)</w:t>
      </w:r>
      <w:r w:rsidR="007D60A0" w:rsidRPr="00CB1C44">
        <w:rPr>
          <w:rFonts w:ascii="Arial" w:hAnsi="Arial" w:cs="Arial"/>
          <w:lang w:val="en-US"/>
        </w:rPr>
        <w:fldChar w:fldCharType="end"/>
      </w:r>
      <w:r w:rsidR="004D75EE" w:rsidRPr="00CB1C44">
        <w:rPr>
          <w:rFonts w:ascii="Arial" w:hAnsi="Arial" w:cs="Arial"/>
          <w:lang w:val="en-US"/>
        </w:rPr>
        <w:t>.</w:t>
      </w:r>
    </w:p>
    <w:p w14:paraId="49057AB1" w14:textId="55DF5B79" w:rsidR="00DC0CD7" w:rsidRPr="00CB1C44" w:rsidRDefault="002E1A27" w:rsidP="004038B5">
      <w:pPr>
        <w:spacing w:after="0" w:line="360" w:lineRule="auto"/>
        <w:jc w:val="both"/>
        <w:rPr>
          <w:rFonts w:ascii="Arial" w:hAnsi="Arial" w:cs="Arial"/>
          <w:lang w:val="en-US"/>
        </w:rPr>
      </w:pPr>
      <w:r w:rsidRPr="00CB1C44">
        <w:rPr>
          <w:rFonts w:ascii="Arial" w:hAnsi="Arial" w:cs="Arial"/>
          <w:lang w:val="en-US"/>
        </w:rPr>
        <w:t xml:space="preserve">Altogether, </w:t>
      </w:r>
      <w:r w:rsidR="00EB1BA3" w:rsidRPr="00CB1C44">
        <w:rPr>
          <w:rFonts w:ascii="Arial" w:hAnsi="Arial" w:cs="Arial"/>
          <w:lang w:val="en-US"/>
        </w:rPr>
        <w:t xml:space="preserve">existing </w:t>
      </w:r>
      <w:r w:rsidRPr="00CB1C44">
        <w:rPr>
          <w:rFonts w:ascii="Arial" w:hAnsi="Arial" w:cs="Arial"/>
          <w:lang w:val="en-US"/>
        </w:rPr>
        <w:t xml:space="preserve">results suggest that Nrf2-ARE pathway activation </w:t>
      </w:r>
      <w:r w:rsidR="00BA1DFB" w:rsidRPr="00CB1C44">
        <w:rPr>
          <w:rFonts w:ascii="Arial" w:hAnsi="Arial" w:cs="Arial"/>
          <w:lang w:val="en-US"/>
        </w:rPr>
        <w:t>may occur very soon (at MCI stage) during</w:t>
      </w:r>
      <w:r w:rsidRPr="00CB1C44">
        <w:rPr>
          <w:rFonts w:ascii="Arial" w:hAnsi="Arial" w:cs="Arial"/>
          <w:lang w:val="en-US"/>
        </w:rPr>
        <w:t xml:space="preserve"> disease progression, related with augmented ROS production and Aβ oligomerization. </w:t>
      </w:r>
      <w:r w:rsidR="00293A99" w:rsidRPr="00CB1C44">
        <w:rPr>
          <w:rFonts w:ascii="Arial" w:hAnsi="Arial" w:cs="Arial"/>
          <w:lang w:val="en-US"/>
        </w:rPr>
        <w:t>T</w:t>
      </w:r>
      <w:r w:rsidRPr="00CB1C44">
        <w:rPr>
          <w:rFonts w:ascii="Arial" w:hAnsi="Arial" w:cs="Arial"/>
          <w:lang w:val="en-US"/>
        </w:rPr>
        <w:t>hus</w:t>
      </w:r>
      <w:r w:rsidR="00293A99" w:rsidRPr="00CB1C44">
        <w:rPr>
          <w:rFonts w:ascii="Arial" w:hAnsi="Arial" w:cs="Arial"/>
          <w:lang w:val="en-US"/>
        </w:rPr>
        <w:t>, Nrf2 activation may be protective in neuronal and cognitive dysfunction, making this transcription factor a</w:t>
      </w:r>
      <w:r w:rsidRPr="00CB1C44">
        <w:rPr>
          <w:rFonts w:ascii="Arial" w:hAnsi="Arial" w:cs="Arial"/>
          <w:lang w:val="en-US"/>
        </w:rPr>
        <w:t xml:space="preserve"> potential </w:t>
      </w:r>
      <w:r w:rsidR="00293A99" w:rsidRPr="00CB1C44">
        <w:rPr>
          <w:rFonts w:ascii="Arial" w:hAnsi="Arial" w:cs="Arial"/>
          <w:lang w:val="en-US"/>
        </w:rPr>
        <w:t>target</w:t>
      </w:r>
      <w:r w:rsidRPr="00CB1C44">
        <w:rPr>
          <w:rFonts w:ascii="Arial" w:hAnsi="Arial" w:cs="Arial"/>
          <w:lang w:val="en-US"/>
        </w:rPr>
        <w:t xml:space="preserve"> for AD </w:t>
      </w:r>
      <w:r w:rsidR="00293A99" w:rsidRPr="00CB1C44">
        <w:rPr>
          <w:rFonts w:ascii="Arial" w:hAnsi="Arial" w:cs="Arial"/>
          <w:lang w:val="en-US"/>
        </w:rPr>
        <w:t>treatment.</w:t>
      </w:r>
    </w:p>
    <w:p w14:paraId="7BF39047" w14:textId="77777777" w:rsidR="00FC7A37" w:rsidRPr="00CB1C44" w:rsidRDefault="00FC7A37" w:rsidP="004038B5">
      <w:pPr>
        <w:spacing w:after="0" w:line="360" w:lineRule="auto"/>
        <w:jc w:val="both"/>
        <w:rPr>
          <w:rFonts w:ascii="Arial" w:hAnsi="Arial" w:cs="Arial"/>
          <w:lang w:val="en-US"/>
        </w:rPr>
      </w:pPr>
    </w:p>
    <w:p w14:paraId="26D1B4F5" w14:textId="77777777" w:rsidR="00D5252F" w:rsidRPr="00CB1C44" w:rsidRDefault="00D5252F" w:rsidP="004038B5">
      <w:pPr>
        <w:spacing w:after="0" w:line="360" w:lineRule="auto"/>
        <w:jc w:val="both"/>
        <w:rPr>
          <w:rFonts w:ascii="Arial" w:hAnsi="Arial" w:cs="Arial"/>
          <w:lang w:val="en-US"/>
        </w:rPr>
      </w:pPr>
    </w:p>
    <w:p w14:paraId="7240AD44" w14:textId="280EEA4D" w:rsidR="0073277C" w:rsidRPr="00CB1C44" w:rsidRDefault="0040451A" w:rsidP="004038B5">
      <w:pPr>
        <w:spacing w:after="0" w:line="360" w:lineRule="auto"/>
        <w:jc w:val="both"/>
        <w:outlineLvl w:val="0"/>
        <w:rPr>
          <w:rFonts w:ascii="Arial" w:hAnsi="Arial" w:cs="Arial"/>
          <w:b/>
          <w:lang w:val="en-US"/>
        </w:rPr>
      </w:pPr>
      <w:r w:rsidRPr="00CB1C44">
        <w:rPr>
          <w:rFonts w:ascii="Arial" w:hAnsi="Arial" w:cs="Arial"/>
          <w:b/>
          <w:lang w:val="en-US"/>
        </w:rPr>
        <w:t>3.1.2</w:t>
      </w:r>
      <w:r w:rsidR="0073277C" w:rsidRPr="00CB1C44">
        <w:rPr>
          <w:rFonts w:ascii="Arial" w:hAnsi="Arial" w:cs="Arial"/>
          <w:b/>
          <w:lang w:val="en-US"/>
        </w:rPr>
        <w:t xml:space="preserve"> </w:t>
      </w:r>
      <w:r w:rsidR="004378AE" w:rsidRPr="00CB1C44">
        <w:rPr>
          <w:rFonts w:ascii="Arial" w:hAnsi="Arial" w:cs="Arial"/>
          <w:b/>
          <w:lang w:val="en-US"/>
        </w:rPr>
        <w:t xml:space="preserve">Targeting </w:t>
      </w:r>
      <w:r w:rsidR="002345A2" w:rsidRPr="00CB1C44">
        <w:rPr>
          <w:rFonts w:ascii="Arial" w:hAnsi="Arial" w:cs="Arial"/>
          <w:b/>
          <w:lang w:val="en-US"/>
        </w:rPr>
        <w:t xml:space="preserve">the </w:t>
      </w:r>
      <w:r w:rsidR="004378AE" w:rsidRPr="00CB1C44">
        <w:rPr>
          <w:rFonts w:ascii="Arial" w:hAnsi="Arial" w:cs="Arial"/>
          <w:b/>
          <w:lang w:val="en-US"/>
        </w:rPr>
        <w:t>Nrf2</w:t>
      </w:r>
      <w:r w:rsidR="002345A2" w:rsidRPr="00CB1C44">
        <w:rPr>
          <w:rFonts w:ascii="Arial" w:hAnsi="Arial" w:cs="Arial"/>
          <w:b/>
          <w:lang w:val="en-US"/>
        </w:rPr>
        <w:t xml:space="preserve"> </w:t>
      </w:r>
      <w:r w:rsidR="00456C4A" w:rsidRPr="00CB1C44">
        <w:rPr>
          <w:rFonts w:ascii="Arial" w:hAnsi="Arial" w:cs="Arial"/>
          <w:b/>
          <w:lang w:val="en-US"/>
        </w:rPr>
        <w:t xml:space="preserve">pathway as </w:t>
      </w:r>
      <w:r w:rsidR="002345A2" w:rsidRPr="00CB1C44">
        <w:rPr>
          <w:rFonts w:ascii="Arial" w:hAnsi="Arial" w:cs="Arial"/>
          <w:b/>
          <w:lang w:val="en-US"/>
        </w:rPr>
        <w:t xml:space="preserve">a </w:t>
      </w:r>
      <w:r w:rsidR="00456C4A" w:rsidRPr="00CB1C44">
        <w:rPr>
          <w:rFonts w:ascii="Arial" w:hAnsi="Arial" w:cs="Arial"/>
          <w:b/>
          <w:lang w:val="en-US"/>
        </w:rPr>
        <w:t xml:space="preserve">potential therapeutic </w:t>
      </w:r>
      <w:r w:rsidR="00BA1DFB" w:rsidRPr="00CB1C44">
        <w:rPr>
          <w:rFonts w:ascii="Arial" w:hAnsi="Arial" w:cs="Arial"/>
          <w:b/>
          <w:lang w:val="en-US"/>
        </w:rPr>
        <w:t xml:space="preserve">target </w:t>
      </w:r>
      <w:r w:rsidR="00456C4A" w:rsidRPr="00CB1C44">
        <w:rPr>
          <w:rFonts w:ascii="Arial" w:hAnsi="Arial" w:cs="Arial"/>
          <w:b/>
          <w:lang w:val="en-US"/>
        </w:rPr>
        <w:t>in Alzheimer’s disease</w:t>
      </w:r>
    </w:p>
    <w:p w14:paraId="36440928" w14:textId="71A91005" w:rsidR="003051EB" w:rsidRPr="00CB1C44" w:rsidRDefault="00EE4BE5" w:rsidP="004038B5">
      <w:pPr>
        <w:spacing w:after="0" w:line="360" w:lineRule="auto"/>
        <w:jc w:val="both"/>
        <w:rPr>
          <w:rFonts w:ascii="Arial" w:hAnsi="Arial" w:cs="Arial"/>
          <w:lang w:val="en-US"/>
        </w:rPr>
      </w:pPr>
      <w:r w:rsidRPr="00CB1C44">
        <w:rPr>
          <w:rFonts w:ascii="Arial" w:hAnsi="Arial" w:cs="Arial"/>
          <w:lang w:val="en-US"/>
        </w:rPr>
        <w:t xml:space="preserve">Considering the role of Nrf2 in moderate oxidative injuries and </w:t>
      </w:r>
      <w:r w:rsidR="00EE3BB4" w:rsidRPr="00CB1C44">
        <w:rPr>
          <w:rFonts w:ascii="Arial" w:hAnsi="Arial" w:cs="Arial"/>
          <w:lang w:val="en-US"/>
        </w:rPr>
        <w:t>its altered</w:t>
      </w:r>
      <w:r w:rsidRPr="00CB1C44">
        <w:rPr>
          <w:rFonts w:ascii="Arial" w:hAnsi="Arial" w:cs="Arial"/>
          <w:lang w:val="en-US"/>
        </w:rPr>
        <w:t xml:space="preserve"> regulation during AD progression, Nrf2 pathway </w:t>
      </w:r>
      <w:r w:rsidR="00D9698C" w:rsidRPr="00CB1C44">
        <w:rPr>
          <w:rFonts w:ascii="Arial" w:hAnsi="Arial" w:cs="Arial"/>
          <w:lang w:val="en-US"/>
        </w:rPr>
        <w:t>has been suggested as</w:t>
      </w:r>
      <w:r w:rsidRPr="00CB1C44">
        <w:rPr>
          <w:rFonts w:ascii="Arial" w:hAnsi="Arial" w:cs="Arial"/>
          <w:lang w:val="en-US"/>
        </w:rPr>
        <w:t xml:space="preserve"> a relevant therapeutic target for AD treatment. </w:t>
      </w:r>
      <w:r w:rsidR="00F73B04" w:rsidRPr="00CB1C44">
        <w:rPr>
          <w:rFonts w:ascii="Arial" w:hAnsi="Arial" w:cs="Arial"/>
          <w:lang w:val="en-US"/>
        </w:rPr>
        <w:t>Indeed, s</w:t>
      </w:r>
      <w:r w:rsidR="00CD6ACF" w:rsidRPr="00CB1C44">
        <w:rPr>
          <w:rFonts w:ascii="Arial" w:hAnsi="Arial" w:cs="Arial"/>
          <w:lang w:val="en-US"/>
        </w:rPr>
        <w:t xml:space="preserve">ome studies </w:t>
      </w:r>
      <w:r w:rsidR="00D9698C" w:rsidRPr="00CB1C44">
        <w:rPr>
          <w:rFonts w:ascii="Arial" w:hAnsi="Arial" w:cs="Arial"/>
          <w:lang w:val="en-US"/>
        </w:rPr>
        <w:t xml:space="preserve">have </w:t>
      </w:r>
      <w:r w:rsidR="00CD6ACF" w:rsidRPr="00CB1C44">
        <w:rPr>
          <w:rFonts w:ascii="Arial" w:hAnsi="Arial" w:cs="Arial"/>
          <w:lang w:val="en-US"/>
        </w:rPr>
        <w:t xml:space="preserve">evidenced Nrf2 targeting as </w:t>
      </w:r>
      <w:r w:rsidR="00D9698C" w:rsidRPr="00CB1C44">
        <w:rPr>
          <w:rFonts w:ascii="Arial" w:hAnsi="Arial" w:cs="Arial"/>
          <w:lang w:val="en-US"/>
        </w:rPr>
        <w:t xml:space="preserve">being </w:t>
      </w:r>
      <w:r w:rsidR="00CD6ACF" w:rsidRPr="00CB1C44">
        <w:rPr>
          <w:rFonts w:ascii="Arial" w:hAnsi="Arial" w:cs="Arial"/>
          <w:lang w:val="en-US"/>
        </w:rPr>
        <w:t xml:space="preserve">effective </w:t>
      </w:r>
      <w:r w:rsidR="00D9698C" w:rsidRPr="00CB1C44">
        <w:rPr>
          <w:rFonts w:ascii="Arial" w:hAnsi="Arial" w:cs="Arial"/>
          <w:lang w:val="en-US"/>
        </w:rPr>
        <w:t xml:space="preserve">in </w:t>
      </w:r>
      <w:r w:rsidR="00CD6ACF" w:rsidRPr="00CB1C44">
        <w:rPr>
          <w:rFonts w:ascii="Arial" w:hAnsi="Arial" w:cs="Arial"/>
          <w:lang w:val="en-US"/>
        </w:rPr>
        <w:t>AD treatment</w:t>
      </w:r>
      <w:r w:rsidR="00D9698C" w:rsidRPr="00CB1C44">
        <w:rPr>
          <w:rFonts w:ascii="Arial" w:hAnsi="Arial" w:cs="Arial"/>
          <w:lang w:val="en-US"/>
        </w:rPr>
        <w:t>, as described next</w:t>
      </w:r>
      <w:r w:rsidR="00CD6ACF" w:rsidRPr="00CB1C44">
        <w:rPr>
          <w:rFonts w:ascii="Arial" w:hAnsi="Arial" w:cs="Arial"/>
          <w:lang w:val="en-US"/>
        </w:rPr>
        <w:t xml:space="preserve">. </w:t>
      </w:r>
      <w:r w:rsidR="00F73B04" w:rsidRPr="00CB1C44">
        <w:rPr>
          <w:rFonts w:ascii="Arial" w:hAnsi="Arial" w:cs="Arial"/>
          <w:lang w:val="en-US"/>
        </w:rPr>
        <w:t>L</w:t>
      </w:r>
      <w:r w:rsidR="00C57BFA" w:rsidRPr="00CB1C44">
        <w:rPr>
          <w:rFonts w:ascii="Arial" w:hAnsi="Arial" w:cs="Arial"/>
          <w:lang w:val="en-US"/>
        </w:rPr>
        <w:t>entivir</w:t>
      </w:r>
      <w:r w:rsidR="00F73B04" w:rsidRPr="00CB1C44">
        <w:rPr>
          <w:rFonts w:ascii="Arial" w:hAnsi="Arial" w:cs="Arial"/>
          <w:lang w:val="en-US"/>
        </w:rPr>
        <w:t xml:space="preserve">al vector </w:t>
      </w:r>
      <w:r w:rsidR="00C57BFA" w:rsidRPr="00CB1C44">
        <w:rPr>
          <w:rFonts w:ascii="Arial" w:hAnsi="Arial" w:cs="Arial"/>
          <w:lang w:val="en-US"/>
        </w:rPr>
        <w:t>deliver</w:t>
      </w:r>
      <w:r w:rsidR="00F73B04" w:rsidRPr="00CB1C44">
        <w:rPr>
          <w:rFonts w:ascii="Arial" w:hAnsi="Arial" w:cs="Arial"/>
          <w:lang w:val="en-US"/>
        </w:rPr>
        <w:t>ing of</w:t>
      </w:r>
      <w:r w:rsidR="00C57BFA" w:rsidRPr="00CB1C44">
        <w:rPr>
          <w:rFonts w:ascii="Arial" w:hAnsi="Arial" w:cs="Arial"/>
          <w:lang w:val="en-US"/>
        </w:rPr>
        <w:t xml:space="preserve"> human Nrf2 into 9 month-old APP/PS1 m</w:t>
      </w:r>
      <w:r w:rsidR="00F73B04" w:rsidRPr="00CB1C44">
        <w:rPr>
          <w:rFonts w:ascii="Arial" w:hAnsi="Arial" w:cs="Arial"/>
          <w:lang w:val="en-US"/>
        </w:rPr>
        <w:t>ouse</w:t>
      </w:r>
      <w:r w:rsidR="00C57BFA" w:rsidRPr="00CB1C44">
        <w:rPr>
          <w:rFonts w:ascii="Arial" w:hAnsi="Arial" w:cs="Arial"/>
          <w:lang w:val="en-US"/>
        </w:rPr>
        <w:t xml:space="preserve"> hippocampus improved spatial learning deficits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{"citationItems":[{"id":"ITEM-1","itemData":{"DOI":"10.1073/pnas.0908397106","ISBN":"1091-6490 (Electronic)","ISSN":"0027-8424","PMID":"19805328","abstract":"The amyloid hypothesis of Alzheimer's disease (AD) postulates that amyloid-beta (Abeta) deposition and neurotoxicity play a causative role in AD; oxidative injury is thought to be central in the pathogenesis. An endogenous defense system against oxidative stress is induced by binding of the transcription factor nuclear factor E2-related factor 2 (Nrf2) to the antioxidant response element (ARE) enhancer sequence. The Nrf2-ARE pathway is activated in response to reactive oxygen species to trigger the simultaneous expression of numerous protective enzymes and scavengers. To exploit the Nrf2-ARE pathway therapeutically, we delivered Nrf2 bilaterally into the hippocampus of 9-month-old transgenic AD mice (APP/PS1 mice) using a lentiviral vector encoding human Nrf2. The data indicate that significant reductions in spatial learning deficits of aged APP/PS1 mice in a Morris Water Maze can be achieved by modulating levels of Nrf2 in the brain. Memory improvement in APP/PS1 mice after Nrf2 transduction shifts the balance between soluble and insoluble Abeta toward an insoluble Abeta pool without concomitant change in total brain Abeta burden. Nrf2 gene transfer is associated with a robust reduction in astrocytic but not microglial activation and induction of Nrf2 target gene heme oxygenase 1, indicating overall activation of the Nrf2-ARE pathway in hippocampal neurons 6 months after injection. Results warrant further exploration of the Nrf2-ARE pathway for treatment of AD and suggest that the Nrf2-ARE pathway may represent a potential therapeutic strategy to pursue in AD in humans, particularly in view of the multiple mechanisms by which Nrf2 can exert its protective effects.","author":[{"dropping-particle":"","family":"Kanninen","given":"Katja","non-dropping-particle":"","parse-names":false,"suffix":""},{"dropping-particle":"","family":"Heikkinen","given":"Riikka","non-dropping-particle":"","parse-names":false,"suffix":""},{"dropping-particle":"","family":"Malm","given":"Tarja","non-dropping-particle":"","parse-names":false,"suffix":""},{"dropping-particle":"","family":"Rolova","given":"Taisia","non-dropping-particle":"","parse-names":false,"suffix":""},{"dropping-particle":"","family":"Kuhmonen","given":"Susanna","non-dropping-particle":"","parse-names":false,"suffix":""},{"dropping-particle":"","family":"Leinonen","given":"Hanna","non-dropping-particle":"","parse-names":false,"suffix":""},{"dropping-particle":"","family":"Yla-Herttuala","given":"S.","non-dropping-particle":"","parse-names":false,"suffix":""},{"dropping-particle":"","family":"Tanila","given":"Heikki","non-dropping-particle":"","parse-names":false,"suffix":""},{"dropping-particle":"","family":"Levonen","given":"A.-L.","non-dropping-particle":"","parse-names":false,"suffix":""},{"dropping-particle":"","family":"Koistinaho","given":"M.","non-dropping-particle":"","parse-names":false,"suffix":""},{"dropping-particle":"","family":"Koistinaho","given":"Jari","non-dropping-particle":"","parse-names":false,"suffix":""}],"container-title":"Proceedings of the National Academy of Sciences","id":"ITEM-1","issue":"38","issued":{"date-parts":[["2009","9","22"]]},"page":"16505-16510","title":"Intrahippocampal injection of a lentiviral vector expressing Nrf2 improves spatial learning in a mouse model of Alzheimer's disease","type":"article-journal","volume":"106"},"uris":["http://www.mendeley.com/documents/?uuid=4aaa3d24-fb8d-4d77-8aa8-ad7592d77740"]}],"mendeley":{"formattedCitation":"(Kanninen et al., 2009)","plainTextFormattedCitation":"(Kanninen et al., 2009)","previouslyFormattedCitation":"(Kanninen et al., 2009)"},"properties":{"noteIndex":0},"schema":"https://github.com/citation-style-language/schema/raw/master/csl-citation.json"}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(Kanninen et al., 2009)</w:t>
      </w:r>
      <w:r w:rsidR="00844011" w:rsidRPr="00CB1C44">
        <w:rPr>
          <w:rFonts w:ascii="Arial" w:hAnsi="Arial" w:cs="Arial"/>
          <w:lang w:val="en-US"/>
        </w:rPr>
        <w:fldChar w:fldCharType="end"/>
      </w:r>
      <w:r w:rsidR="00C57BFA" w:rsidRPr="00CB1C44">
        <w:rPr>
          <w:rFonts w:ascii="Arial" w:hAnsi="Arial" w:cs="Arial"/>
          <w:lang w:val="en-US"/>
        </w:rPr>
        <w:t xml:space="preserve">. </w:t>
      </w:r>
      <w:r w:rsidR="00532B9F" w:rsidRPr="00CB1C44">
        <w:rPr>
          <w:rFonts w:ascii="Arial" w:hAnsi="Arial" w:cs="Arial"/>
          <w:lang w:val="en-US"/>
        </w:rPr>
        <w:t>Moreover</w:t>
      </w:r>
      <w:r w:rsidR="00C57BFA" w:rsidRPr="00CB1C44">
        <w:rPr>
          <w:rFonts w:ascii="Arial" w:hAnsi="Arial" w:cs="Arial"/>
          <w:lang w:val="en-US"/>
        </w:rPr>
        <w:t xml:space="preserve">, some studies have shown that Nrf2 activator compounds, such as </w:t>
      </w:r>
      <w:r w:rsidR="00F11786" w:rsidRPr="00CB1C44">
        <w:rPr>
          <w:rFonts w:ascii="Arial" w:hAnsi="Arial" w:cs="Arial"/>
          <w:lang w:val="en-US"/>
        </w:rPr>
        <w:t>curcumin</w:t>
      </w:r>
      <w:r w:rsidR="000B36C2"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{"citationItems":[{"id":"ITEM-1","itemData":{"DOI":"10.1371/journal.pone.0031424","ISBN":"1932-6203 (Electronic)\\r1932-6203 (Linking)","ISSN":"19326203","PMID":"22348084","abstract":"The pathology of Alzheimer's disease (AD) is characterized by the presence of extracellular deposits of misfolded and aggregated amyloid-β (Aβ) peptide and intraneuronal accumulation of tangles comprised of hyperphosphorylated Tau protein. For several years, the natural compound curcumin has been proposed to be a candidate for enhanced clearance of toxic Aβ amyloid. In this study we have studied the potency of feeding curcumin as a drug candidate to alleviate Aβ toxicity in transgenic Drosophila. The longevity as well as the locomotor activity of five different AD model genotypes, measured relative to a control line, showed up to 75% improved lifespan and activity for curcumin fed flies. In contrast to the majority of studies of curcumin effects on amyloid we did not observe any decrease in the amount of Aβ deposition following curcumin treatment. Conformation-dependent spectra from p-FTAA, a luminescent conjugated oligothiophene bound to Aβ deposits in different Drosophila genotypes over time, indicated accelerated pre-fibrillar to fibril conversion of Aβ(1-42) in curcumin treated flies. This finding was supported by in vitro fibrillation assays of recombinant Aβ(1-42). Our study shows that curcumin promotes amyloid fibril conversion by reducing the pre-fibrillar/oligomeric species of Aβ, resulting in a reduced neurotoxicity in Drosophila.","author":[{"dropping-particle":"","family":"Caesar","given":"Ina","non-dropping-particle":"","parse-names":false,"suffix":""},{"dropping-particle":"","family":"Jonson","given":"Maria","non-dropping-particle":"","parse-names":false,"suffix":""},{"dropping-particle":"","family":"Nilsson","given":"K. Peter R","non-dropping-particle":"","parse-names":false,"suffix":""},{"dropping-particle":"","family":"Thor","given":"Stefan","non-dropping-particle":"","parse-names":false,"suffix":""},{"dropping-particle":"","family":"Hammarstr??m","given":"Per","non-dropping-particle":"","parse-names":false,"suffix":""}],"container-title":"PLoS ONE","id":"ITEM-1","issue":"2","issued":{"date-parts":[["2012"]]},"title":"Curcumin promotes a-beta fibrillation and reduces neurotoxicity in transgenic Drosophila","type":"article-journal","volume":"7"},"uris":["http://www.mendeley.com/documents/?uuid=91bf5198-f4e6-452c-a883-8adcdfa1e588"]},{"id":"ITEM-2","itemData":{"DOI":"10.1007/s10522-007-9100-z","ISBN":"1389-5729 (Print)","ISSN":"13895729","PMID":"17516143","abstract":"The effect of feeding of two different antioxidants, tetrahydrocurcumin (TC) and green tea polyphenols (PPs) on the survival of male C57BL/6 mice was examined. Mice that started to receive diets containing TC (0.2%) at the age of 13 months had significantly longer average life spans (days, mean +/- SD) than control mice (797.6 +/- 151.2 vs.882 +/- 154.6, both n = 50, controls vs. TC treated, plus 11.7%, P &lt; 0.01). The 10% longest survival was also significantly greater in TC-treated mice (plus 6.5%, P &lt; 0.01). In contrast, in mice that started to receive TC in their 19th month of life, no significant difference from the control mice was found for either the average life span or the 10% longest survival. In mice that received water containing PPs (80 mg/l), the average life span was also significantly longer than in the control mice (801 +/- 121.5 vs. 852.7 +/- 88.2, plus 6.4%, P &lt; 0.05), although the 10% longest survival was not significantly different from that in the control mice (P &gt; 0.05). The body weights of the TC (but not PP) fed mice, were slightly (2-4%) but significantly (P &lt; 0.05) lower than the values for the corresponding ages in the control mice in the first six months of treatment. Thereafter, the difference in average body weight between the control and the TC-fed animals was totally lost. Although an additional contribution of an unintended slight decrease in food intake due to TC feeding (suspected due to the difference in body weight) is not excluded, we suggest that the feeding of nutritional antioxidants such as TC and PPs may have the potential to beneficially modify the life spans of animals.","author":[{"dropping-particle":"","family":"Kitani","given":"Kenichi","non-dropping-particle":"","parse-names":false,"suffix":""},{"dropping-particle":"","family":"Osawa","given":"Toshihiko","non-dropping-particle":"","parse-names":false,"suffix":""},{"dropping-particle":"","family":"Yokozawa","given":"Takako","non-dropping-particle":"","parse-names":false,"suffix":""}],"container-title":"Biogerontology","id":"ITEM-2","issue":"5","issued":{"date-parts":[["2007"]]},"page":"567-573","title":"The effects of tetrahydrocurcumin and green tea polyphenol on the survival of male C57BL/6 mice","type":"article-journal","volume":"8"},"uris":["http://www.mendeley.com/documents/?uuid=c8b9eeb0-1737-4118-999f-c67d24dab944"]}],"mendeley":{"formattedCitation":"(Caesar et al., 2012; Kitani et al., 2007)","plainTextFormattedCitation":"(Caesar et al., 2012; Kitani et al., 2007)","previouslyFormattedCitation":"(Caesar et al., 2012; Kitani et al., 2007)"},"properties":{"noteIndex":0},"schema":"https://github.com/citation-style-language/schema/raw/master/csl-citation.json"}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(Caesar et al., 2012; Kitani et al., 2007)</w:t>
      </w:r>
      <w:r w:rsidR="00844011" w:rsidRPr="00CB1C44">
        <w:rPr>
          <w:rFonts w:ascii="Arial" w:hAnsi="Arial" w:cs="Arial"/>
          <w:lang w:val="en-US"/>
        </w:rPr>
        <w:fldChar w:fldCharType="end"/>
      </w:r>
      <w:r w:rsidR="00F11786" w:rsidRPr="00CB1C44">
        <w:rPr>
          <w:rFonts w:ascii="Arial" w:hAnsi="Arial" w:cs="Arial"/>
          <w:lang w:val="en-US"/>
        </w:rPr>
        <w:t>, resverat</w:t>
      </w:r>
      <w:r w:rsidR="00562B00" w:rsidRPr="00CB1C44">
        <w:rPr>
          <w:rFonts w:ascii="Arial" w:hAnsi="Arial" w:cs="Arial"/>
          <w:lang w:val="en-US"/>
        </w:rPr>
        <w:t>r</w:t>
      </w:r>
      <w:r w:rsidR="00F11786" w:rsidRPr="00CB1C44">
        <w:rPr>
          <w:rFonts w:ascii="Arial" w:hAnsi="Arial" w:cs="Arial"/>
          <w:lang w:val="en-US"/>
        </w:rPr>
        <w:t>ol</w:t>
      </w:r>
      <w:r w:rsidR="000B36C2"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{"citationItems":[{"id":"ITEM-1","itemData":{"DOI":"10.1007/s11357-013-9592-1","ISBN":"1574-4647 (Electronic)","ISSN":"15744647","PMID":"24142524","abstract":"Patients with diabetes in the aging population are at high risk of Alzheimer's disease (AD), and reduction of sirtuin 1 (SIRT1) activity occurs simultaneously with the accumulation of hyperphosphorylated tau in the AD-affected brain. It is not clear, however, whether SIRT1 is a suitable molecular target for the treatment of AD. Here, we employed a rat model of brain insulin resistance with intracerebroventricular injection of streptozotocin (ICV-STZ; 3 mg/kg, twice with an interval of 48 h). The ICV-STZ-treated rats were administrated with resveratrol (RSV; SIRT1-specific activator) or a vehicle via intraperitoneal injection for 8 weeks (30 mg/kg, once per day). In ICV-STZ-treated rats, the levels of phosphorylated tau and phosphorylated extracellular signal-regulated kinases 1 and 2 (ERK1/2) at the hippocampi were increased significantly, whereas SIRT1 activity was decreased without change of its expression level. The capacity of spatial memory was also significantly lower in ICV-STZ-treated rats compared with age-matched control. RSV, a specific activator of SIRT1, which reversed the ICV-STZ-induced decrease in SIRT1 activity, increases in ERK1/2 phosphorylation, tau phosphorylation, and impairment of cognitive capability in rats. In conclusion, SIRT1 protects hippocampus neurons from tau hyperphosphorylation and prevents cognitive impairment induced by ICV-STZ brain insulin resistance with decreased hippocampus ERK1/2 activity.","author":[{"dropping-particle":"","family":"Du","given":"Lai Ling","non-dropping-particle":"","parse-names":false,"suffix":""},{"dropping-particle":"","family":"Xie","given":"Jia Zhao","non-dropping-particle":"","parse-names":false,"suffix":""},{"dropping-particle":"","family":"Cheng","given":"Xiang Shu","non-dropping-particle":"","parse-names":false,"suffix":""},{"dropping-particle":"","family":"Li","given":"Xiao Hong","non-dropping-particle":"","parse-names":false,"suffix":""},{"dropping-particle":"","family":"Kong","given":"Fan Li","non-dropping-particle":"","parse-names":false,"suffix":""},{"dropping-particle":"","family":"Jiang","given":"Xia","non-dropping-particle":"","parse-names":false,"suffix":""},{"dropping-particle":"","family":"Ma","given":"Zhi Wei","non-dropping-particle":"","parse-names":false,"suffix":""},{"dropping-particle":"","family":"Wang","given":"Jian Zhi","non-dropping-particle":"","parse-names":false,"suffix":""},{"dropping-particle":"","family":"Chen","given":"Chen","non-dropping-particle":"","parse-names":false,"suffix":""},{"dropping-particle":"","family":"Zhou","given":"Xin Wen","non-dropping-particle":"","parse-names":false,"suffix":""}],"container-title":"Age","id":"ITEM-1","issue":"2","issued":{"date-parts":[["2014"]]},"page":"613-623","title":"Activation of sirtuin 1 attenuates cerebral ventricular streptozotocin-induced tau hyperphosphorylation and cognitive injuries in rat hippocampi","type":"article-journal","volume":"36"},"uris":["http://www.mendeley.com/documents/?uuid=c650ad28-bf23-4dde-9245-fd70ff1a3d29"]},{"id":"ITEM-2","itemData":{"DOI":"10.1007/s11357-012-9489-4","ISBN":"1574-4647 (Electronic)","ISSN":"01619152","PMID":"23129026","abstract":"Resveratrol is a polyphenol that is mainly found in grapes and red wine and has been reported to be a caloric restriction (CR) mimetic driven by Sirtuin 1 (SIRT1) activation. Resveratrol increases metabolic rate, insulin sensitivity, mitochondrial biogenesis and physical endurance, and reduces fat accumulation in mice. In addition, resveratrol may be a powerful agent to prevent age-associated neurodegeneration and to improve cognitive deficits in Alzheimer's disease (AD). Moreover, different findings support the view that longevity in mice could be promoted by CR. In this study, we examined the role of dietary resveratrol in SAMP8 mice, a model of age-related AD. We found that resveratrol supplements increased mean life expectancy and maximal life span in SAMP8 and in their control, the related strain SAMR1. In addition, we examined the resveratrol-mediated neuroprotective effects on several specific hallmarks of AD. We found that long-term dietary resveratrol activates AMPK pathways and pro-survival routes such as SIRT1 in vivo. It also reduces cognitive impairment and has a neuroprotective role, decreasing the amyloid burden and reducing tau hyperphosphorylation.","author":[{"dropping-particle":"","family":"Porquet","given":"David","non-dropping-particle":"","parse-names":false,"suffix":""},{"dropping-particle":"","family":"Casadesús","given":"Gemma","non-dropping-particle":"","parse-names":false,"suffix":""},{"dropping-particle":"","family":"Bayod","given":"Sergi","non-dropping-particle":"","parse-names":false,"suffix":""},{"dropping-particle":"","family":"Vicente","given":"Alberto","non-dropping-particle":"","parse-names":false,"suffix":""},{"dropping-particle":"","family":"Canudas","given":"Anna M.","non-dropping-particle":"","parse-names":false,"suffix":""},{"dropping-particle":"","family":"Vilaplana","given":"Jordi","non-dropping-particle":"","parse-names":false,"suffix":""},{"dropping-particle":"","family":"Pelegrí","given":"Carme","non-dropping-particle":"","parse-names":false,"suffix":""},{"dropping-particle":"","family":"Sanfeliu","given":"Coral","non-dropping-particle":"","parse-names":false,"suffix":""},{"dropping-particle":"","family":"Camins","given":"Antoni","non-dropping-particle":"","parse-names":false,"suffix":""},{"dropping-particle":"","family":"Pallàs","given":"Mercè","non-dropping-particle":"","parse-names":false,"suffix":""},{"dropping-particle":"","family":"Valle","given":"Jaume","non-dropping-particle":"Del","parse-names":false,"suffix":""}],"container-title":"Age","id":"ITEM-2","issue":"5","issued":{"date-parts":[["2013"]]},"page":"1851-1865","title":"Dietary resveratrol prevents Alzheimer's markers and increases life span in SAMP8","type":"article-journal","volume":"35"},"uris":["http://www.mendeley.com/documents/?uuid=aaff1483-bce2-42e6-9613-37535ae5aaa9"]}],"mendeley":{"formattedCitation":"(Du et al., 2014; Porquet et al., 2013)","plainTextFormattedCitation":"(Du et al., 2014; Porquet et al., 2013)","previouslyFormattedCitation":"(Du et al., 2014; Porquet et al., 2013)"},"properties":{"noteIndex":0},"schema":"https://github.com/citation-style-language/schema/raw/master/csl-citation.json"}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(Du et al., 2014; Porquet et al., 2013)</w:t>
      </w:r>
      <w:r w:rsidR="00844011" w:rsidRPr="00CB1C44">
        <w:rPr>
          <w:rFonts w:ascii="Arial" w:hAnsi="Arial" w:cs="Arial"/>
          <w:lang w:val="en-US"/>
        </w:rPr>
        <w:fldChar w:fldCharType="end"/>
      </w:r>
      <w:r w:rsidR="00F5396D" w:rsidRPr="00CB1C44">
        <w:rPr>
          <w:rFonts w:ascii="Arial" w:hAnsi="Arial" w:cs="Arial"/>
          <w:lang w:val="en-US"/>
        </w:rPr>
        <w:t>,</w:t>
      </w:r>
      <w:r w:rsidR="00F11786" w:rsidRPr="00CB1C44">
        <w:rPr>
          <w:rFonts w:ascii="Arial" w:hAnsi="Arial" w:cs="Arial"/>
          <w:lang w:val="en-US"/>
        </w:rPr>
        <w:t xml:space="preserve"> </w:t>
      </w:r>
      <w:r w:rsidR="002345A2" w:rsidRPr="00CB1C44">
        <w:rPr>
          <w:rFonts w:ascii="Arial" w:hAnsi="Arial" w:cs="Arial"/>
          <w:lang w:val="en-US"/>
        </w:rPr>
        <w:t>s</w:t>
      </w:r>
      <w:r w:rsidR="006A19F9" w:rsidRPr="00CB1C44">
        <w:rPr>
          <w:rFonts w:ascii="Arial" w:hAnsi="Arial" w:cs="Arial"/>
          <w:lang w:val="en-US"/>
        </w:rPr>
        <w:t>ulforaphane</w:t>
      </w:r>
      <w:r w:rsidR="00687FB6" w:rsidRPr="00CB1C44">
        <w:rPr>
          <w:rFonts w:ascii="Arial" w:hAnsi="Arial" w:cs="Arial"/>
          <w:lang w:val="en-US"/>
        </w:rPr>
        <w:t xml:space="preserve"> </w:t>
      </w:r>
      <w:r w:rsidR="00844011" w:rsidRPr="00CB1C44">
        <w:rPr>
          <w:rFonts w:ascii="Arial" w:hAnsi="Arial" w:cs="Arial"/>
          <w:lang w:val="en-US"/>
        </w:rPr>
        <w:fldChar w:fldCharType="begin" w:fldLock="1"/>
      </w:r>
      <w:r w:rsidR="00600748" w:rsidRPr="00CB1C44">
        <w:rPr>
          <w:rFonts w:ascii="Arial" w:hAnsi="Arial" w:cs="Arial"/>
          <w:lang w:val="en-US"/>
        </w:rPr>
        <w:instrText>ADDIN CSL_CITATION {"citationItems":[{"id":"ITEM-1","itemData":{"DOI":"10.1155/2013/313510","ISBN":"1942-0994 (Electronic)","ISSN":"1942-0994","PMID":"23864927","abstract":"β-amyloid peptide (Aβ), a major component of senile plaques, plays important roles in neuropathology of Alzheimer's disease (AD). An array of in vitro and in vivo data indicates that Aβ-induced neuronal death is mediated by oxidative stress. In this study, we aimed to investigate effects of sulforaphane (SUL), an isothiocyanate in cruciferous vegetables, on Aβ-induced oxidative cell death in SH-SY5Y cells. Cells treated with Aβ(25-35) exhibited decreased cell viability and underwent apoptosis as determined by MTT assay and TUNEL, respectively. Aβ(25-35)-induced cytotoxicity and apoptotic characteristics such as activation of c-JNK, dissipation of mitochondrial membrane potential, altered expression of Bcl-2 family proteins, and DNA fragmentation were effectively attenuated by SUL pretreatment. The antiapoptotic activity of SUL seemed to be mediated by inhibition of intracellular accumulation of reactive oxygen species and oxidative damages. SUL exerted antioxidant potential by upregulating expression of antioxidant enzymes including γ-glutamylcysteine ligase, NAD(P)H:quinone oxidoreductase-1, and heme oxygenase-1 via activation of NF-E2-related factor 2(Nrf2). The protective effect of SUL against Aβ(25-35)-induced apoptotic cell death was abolished by siRNA of Nrf2. Taken together, the results suggest that pharmacologic activation of Nrf2 signaling pathway by SUL might be a practical prevention and/or protective treatment for the management of AD.","author":[{"dropping-particle":"","family":"Lee","given":"Chan","non-dropping-particle":"","parse-names":false,"suffix":""},{"dropping-particle":"","family":"Park","given":"Gyu Hwan","non-dropping-particle":"","parse-names":false,"suffix":""},{"dropping-particle":"","family":"Lee","given":"Seong-Ryong","non-dropping-particle":"","parse-names":false,"suffix":""},{"dropping-particle":"","family":"Jang","given":"Jung-Hee","non-dropping-particle":"","parse-names":false,"suffix":""}],"container-title":"Oxidative medicine and cellular longevity","id":"ITEM-1","issued":{"date-parts":[["2013"]]},"page":"313510","title":"Attenuation of β-amyloid-induced oxidative cell death by sulforaphane via activation of NF-E2-related factor 2.","type":"article-journal","volume":"2013"},"uris":["http://www.mendeley.com/documents/?uuid=4fd9aeb8-4dee-4389-ad20-5b3a193921e7"]},{"id":"ITEM-2","itemData":{"DOI":"10.1111/bph.13025","ISBN":"1476-5381 (Electronic)\\r0007-1188 (Linking)","ISSN":"14765381","PMID":"25425158","abstract":"BACKGROUND AND PURPOSE: Neurodegenerative diseases are a major problem afflicting ageing populations; however, there are no effective treatments to stop their progression. Oxidative stress and neuroinflammation are common factors in their pathogenesis. Nuclear factor (erythroid-derived 2)-like 2 (Nrf2) is the master regulator of oxidative stress, and melatonin is an endogenous hormone with antioxidative properties that reduces its levels with ageing. We have designed a new compound that combines the effects of melatonin with Nrf2 induction properties, with the idea of achieving improved neuroprotective properties. EXPERIMENTAL APPROACH: Compound ITH12674 is a hybrid of melatonin and sulforaphane designed to exert a dual drug-prodrug mechanism of action. We obtained the proposed hybrid in a single step. To test its neuroprotective properties, we used different in vitro models of oxidative stress related to neurodegenerative diseases and brain ischaemia. KEY RESULTS: ITH12674 showed an improved neuroprotective profile compared to that of melatonin and sulforaphane. ITH12674 (i) mediated a concentration-dependent protective effect in cortical neurons subjected to oxidative stress; (ii) decreased reactive oxygen species production; (iii) augmented GSH concentrations in cortical neurons; (iv) enhanced the Nrf2-antioxidant response element transcriptional response in transfected HEK293T cells; and (v) protected organotypic cultures of hippocampal slices subjected to oxygen and glucose deprivation and re-oxygenation from stress by increasing the expression of haem oxygenase-1 and reducing free radical production. CONCLUSION AND IMPLICATIONS: ITH12674 combines the signalling pathways of the parent compounds to improve its neuroprotective properties. This opens a new line of research for such hybrid compounds to treat neurodegenerative diseases.","author":[{"dropping-particle":"","family":"Egea","given":"Javier","non-dropping-particle":"","parse-names":false,"suffix":""},{"dropping-particle":"","family":"Buendia","given":"Izaskun","non-dropping-particle":"","parse-names":false,"suffix":""},{"dropping-particle":"","family":"Parada","given":"Esther","non-dropping-particle":"","parse-names":false,"suffix":""},{"dropping-particle":"","family":"Navarro","given":"Elisa","non-dropping-particle":"","parse-names":false,"suffix":""},{"dropping-particle":"","family":"Rada","given":"Patricia","non-dropping-particle":"","parse-names":false,"suffix":""},{"dropping-particle":"","family":"Cuadrado","given":"Antonio","non-dropping-particle":"","parse-names":false,"suffix":""},{"dropping-particle":"","family":"López","given":"Manuela G.","non-dropping-particle":"","parse-names":false,"suffix":""},{"dropping-particle":"","family":"García","given":"Antonio G.","non-dropping-particle":"","parse-names":false,"suffix":""},{"dropping-particle":"","family":"León","given":"Rafael","non-dropping-particle":"","parse-names":false,"suffix":""}],"container-title":"British Journal of Pharmacology","id":"ITEM-2","issue":"7","issued":{"date-parts":[["2015"]]},"page":"1807-1821","title":"Melatonin-sulforaphane hybrid ITH12674 induces neuroprotection in oxidative stress conditions by a 'drug-prodrug' mechanism of action","type":"article-journal","volume":"172"},"uris":["http://www.mendeley.com/documents/?uuid=17c9334c-841a-4d55-a87f-dabbe0883d2c"]}],"mendeley":{"formattedCitation":"(Egea et al., 2015; Lee et al., 2013)","manualFormatting":"(Lee et al., 2013)","plainTextFormattedCitation":"(Egea et al., 2015; Lee et al., 2013)","previouslyFormattedCitation":"(Egea et al., 2015; Lee et al., 2013)"},"properties":{"noteIndex":0},"schema":"https://github.com/citation-style-language/schema/raw/master/csl-citation.json"}</w:instrText>
      </w:r>
      <w:r w:rsidR="00844011" w:rsidRPr="00CB1C44">
        <w:rPr>
          <w:rFonts w:ascii="Arial" w:hAnsi="Arial" w:cs="Arial"/>
          <w:lang w:val="en-US"/>
        </w:rPr>
        <w:fldChar w:fldCharType="separate"/>
      </w:r>
      <w:r w:rsidR="00F5396D" w:rsidRPr="00CB1C44">
        <w:rPr>
          <w:rFonts w:ascii="Arial" w:hAnsi="Arial" w:cs="Arial"/>
          <w:noProof/>
          <w:lang w:val="en-US"/>
        </w:rPr>
        <w:t>(</w:t>
      </w:r>
      <w:r w:rsidR="00DD645C" w:rsidRPr="00CB1C44">
        <w:rPr>
          <w:rFonts w:ascii="Arial" w:hAnsi="Arial" w:cs="Arial"/>
          <w:noProof/>
          <w:lang w:val="en-US"/>
        </w:rPr>
        <w:t>Lee et al., 2013)</w:t>
      </w:r>
      <w:r w:rsidR="00844011" w:rsidRPr="00CB1C44">
        <w:rPr>
          <w:rFonts w:ascii="Arial" w:hAnsi="Arial" w:cs="Arial"/>
          <w:lang w:val="en-US"/>
        </w:rPr>
        <w:fldChar w:fldCharType="end"/>
      </w:r>
      <w:r w:rsidR="007342D1" w:rsidRPr="00CB1C44">
        <w:rPr>
          <w:rFonts w:ascii="Arial" w:hAnsi="Arial" w:cs="Arial"/>
          <w:lang w:val="en-US"/>
        </w:rPr>
        <w:t>,</w:t>
      </w:r>
      <w:r w:rsidR="00687FB6" w:rsidRPr="00CB1C44">
        <w:rPr>
          <w:rFonts w:ascii="Arial" w:hAnsi="Arial" w:cs="Arial"/>
          <w:lang w:val="en-US"/>
        </w:rPr>
        <w:t xml:space="preserve"> a sulforaphane derivate, the ITH12674</w:t>
      </w:r>
      <w:r w:rsidR="00C57BFA" w:rsidRPr="00CB1C44">
        <w:rPr>
          <w:rFonts w:ascii="Arial" w:hAnsi="Arial" w:cs="Arial"/>
          <w:lang w:val="en-US"/>
        </w:rPr>
        <w:t xml:space="preserve"> </w:t>
      </w:r>
      <w:r w:rsidR="00CB7B69" w:rsidRPr="00CB1C44">
        <w:rPr>
          <w:rFonts w:ascii="Arial" w:hAnsi="Arial" w:cs="Arial"/>
          <w:lang w:val="en-US"/>
        </w:rPr>
        <w:t xml:space="preserve">compound </w:t>
      </w:r>
      <w:r w:rsidR="00F5396D" w:rsidRPr="00CB1C44">
        <w:rPr>
          <w:rFonts w:ascii="Arial" w:hAnsi="Arial" w:cs="Arial"/>
          <w:lang w:val="en-US"/>
        </w:rPr>
        <w:fldChar w:fldCharType="begin" w:fldLock="1"/>
      </w:r>
      <w:r w:rsidR="00600748" w:rsidRPr="00CB1C44">
        <w:rPr>
          <w:rFonts w:ascii="Arial" w:hAnsi="Arial" w:cs="Arial"/>
          <w:lang w:val="en-US"/>
        </w:rPr>
        <w:instrText>ADDIN CSL_CITATION {"citationItems":[{"id":"ITEM-1","itemData":{"DOI":"10.1155/2013/313510","ISBN":"1942-0994 (Electronic)","ISSN":"1942-0994","PMID":"23864927","abstract":"β-amyloid peptide (Aβ), a major component of senile plaques, plays important roles in neuropathology of Alzheimer's disease (AD). An array of in vitro and in vivo data indicates that Aβ-induced neuronal death is mediated by oxidative stress. In this study, we aimed to investigate effects of sulforaphane (SUL), an isothiocyanate in cruciferous vegetables, on Aβ-induced oxidative cell death in SH-SY5Y cells. Cells treated with Aβ(25-35) exhibited decreased cell viability and underwent apoptosis as determined by MTT assay and TUNEL, respectively. Aβ(25-35)-induced cytotoxicity and apoptotic characteristics such as activation of c-JNK, dissipation of mitochondrial membrane potential, altered expression of Bcl-2 family proteins, and DNA fragmentation were effectively attenuated by SUL pretreatment. The antiapoptotic activity of SUL seemed to be mediated by inhibition of intracellular accumulation of reactive oxygen species and oxidative damages. SUL exerted antioxidant potential by upregulating expression of antioxidant enzymes including γ-glutamylcysteine ligase, NAD(P)H:quinone oxidoreductase-1, and heme oxygenase-1 via activation of NF-E2-related factor 2(Nrf2). The protective effect of SUL against Aβ(25-35)-induced apoptotic cell death was abolished by siRNA of Nrf2. Taken together, the results suggest that pharmacologic activation of Nrf2 signaling pathway by SUL might be a practical prevention and/or protective treatment for the management of AD.","author":[{"dropping-particle":"","family":"Lee","given":"Chan","non-dropping-particle":"","parse-names":false,"suffix":""},{"dropping-particle":"","family":"Park","given":"Gyu Hwan","non-dropping-particle":"","parse-names":false,"suffix":""},{"dropping-particle":"","family":"Lee","given":"Seong-Ryong","non-dropping-particle":"","parse-names":false,"suffix":""},{"dropping-particle":"","family":"Jang","given":"Jung-Hee","non-dropping-particle":"","parse-names":false,"suffix":""}],"container-title":"Oxidative medicine and cellular longevity","id":"ITEM-1","issued":{"date-parts":[["2013"]]},"page":"313510","title":"Attenuation of β-amyloid-induced oxidative cell death by sulforaphane via activation of NF-E2-related factor 2.","type":"article-journal","volume":"2013"},"uris":["http://www.mendeley.com/documents/?uuid=4fd9aeb8-4dee-4389-ad20-5b3a193921e7"]},{"id":"ITEM-2","itemData":{"DOI":"10.1111/bph.13025","ISBN":"1476-5381 (Electronic)\\r0007-1188 (Linking)","ISSN":"14765381","PMID":"25425158","abstract":"BACKGROUND AND PURPOSE: Neurodegenerative diseases are a major problem afflicting ageing populations; however, there are no effective treatments to stop their progression. Oxidative stress and neuroinflammation are common factors in their pathogenesis. Nuclear factor (erythroid-derived 2)-like 2 (Nrf2) is the master regulator of oxidative stress, and melatonin is an endogenous hormone with antioxidative properties that reduces its levels with ageing. We have designed a new compound that combines the effects of melatonin with Nrf2 induction properties, with the idea of achieving improved neuroprotective properties. EXPERIMENTAL APPROACH: Compound ITH12674 is a hybrid of melatonin and sulforaphane designed to exert a dual drug-prodrug mechanism of action. We obtained the proposed hybrid in a single step. To test its neuroprotective properties, we used different in vitro models of oxidative stress related to neurodegenerative diseases and brain ischaemia. KEY RESULTS: ITH12674 showed an improved neuroprotective profile compared to that of melatonin and sulforaphane. ITH12674 (i) mediated a concentration-dependent protective effect in cortical neurons subjected to oxidative stress; (ii) decreased reactive oxygen species production; (iii) augmented GSH concentrations in cortical neurons; (iv) enhanced the Nrf2-antioxidant response element transcriptional response in transfected HEK293T cells; and (v) protected organotypic cultures of hippocampal slices subjected to oxygen and glucose deprivation and re-oxygenation from stress by increasing the expression of haem oxygenase-1 and reducing free radical production. CONCLUSION AND IMPLICATIONS: ITH12674 combines the signalling pathways of the parent compounds to improve its neuroprotective properties. This opens a new line of research for such hybrid compounds to treat neurodegenerative diseases.","author":[{"dropping-particle":"","family":"Egea","given":"Javier","non-dropping-particle":"","parse-names":false,"suffix":""},{"dropping-particle":"","family":"Buendia","given":"Izaskun","non-dropping-particle":"","parse-names":false,"suffix":""},{"dropping-particle":"","family":"Parada","given":"Esther","non-dropping-particle":"","parse-names":false,"suffix":""},{"dropping-particle":"","family":"Navarro","given":"Elisa","non-dropping-particle":"","parse-names":false,"suffix":""},{"dropping-particle":"","family":"Rada","given":"Patricia","non-dropping-particle":"","parse-names":false,"suffix":""},{"dropping-particle":"","family":"Cuadrado","given":"Antonio","non-dropping-particle":"","parse-names":false,"suffix":""},{"dropping-particle":"","family":"López","given":"Manuela G.","non-dropping-particle":"","parse-names":false,"suffix":""},{"dropping-particle":"","family":"García","given":"Antonio G.","non-dropping-particle":"","parse-names":false,"suffix":""},{"dropping-particle":"","family":"León","given":"Rafael","non-dropping-particle":"","parse-names":false,"suffix":""}],"container-title":"British Journal of Pharmacology","id":"ITEM-2","issue":"7","issued":{"date-parts":[["2015"]]},"page":"1807-1821","title":"Melatonin-sulforaphane hybrid ITH12674 induces neuroprotection in oxidative stress conditions by a 'drug-prodrug' mechanism of action","type":"article-journal","volume":"172"},"uris":["http://www.mendeley.com/documents/?uuid=17c9334c-841a-4d55-a87f-dabbe0883d2c"]}],"mendeley":{"formattedCitation":"(Egea et al., 2015; Lee et al., 2013)","manualFormatting":"(Egea et al., 2015)","plainTextFormattedCitation":"(Egea et al., 2015; Lee et al., 2013)","previouslyFormattedCitation":"(Egea et al., 2015; Lee et al., 2013)"},"properties":{"noteIndex":0},"schema":"https://github.com/citation-style-language/schema/raw/master/csl-citation.json"}</w:instrText>
      </w:r>
      <w:r w:rsidR="00F5396D" w:rsidRPr="00CB1C44">
        <w:rPr>
          <w:rFonts w:ascii="Arial" w:hAnsi="Arial" w:cs="Arial"/>
          <w:lang w:val="en-US"/>
        </w:rPr>
        <w:fldChar w:fldCharType="separate"/>
      </w:r>
      <w:r w:rsidR="00F5396D" w:rsidRPr="00CB1C44">
        <w:rPr>
          <w:rFonts w:ascii="Arial" w:hAnsi="Arial" w:cs="Arial"/>
          <w:noProof/>
          <w:lang w:val="en-US"/>
        </w:rPr>
        <w:t>(</w:t>
      </w:r>
      <w:r w:rsidR="00687FB6" w:rsidRPr="00CB1C44">
        <w:rPr>
          <w:rFonts w:ascii="Arial" w:hAnsi="Arial" w:cs="Arial"/>
          <w:noProof/>
          <w:lang w:val="en-US"/>
        </w:rPr>
        <w:t>Egea et al., 2015</w:t>
      </w:r>
      <w:r w:rsidR="00F5396D" w:rsidRPr="00CB1C44">
        <w:rPr>
          <w:rFonts w:ascii="Arial" w:hAnsi="Arial" w:cs="Arial"/>
          <w:noProof/>
          <w:lang w:val="en-US"/>
        </w:rPr>
        <w:t>)</w:t>
      </w:r>
      <w:r w:rsidR="00F5396D" w:rsidRPr="00CB1C44">
        <w:rPr>
          <w:rFonts w:ascii="Arial" w:hAnsi="Arial" w:cs="Arial"/>
          <w:lang w:val="en-US"/>
        </w:rPr>
        <w:fldChar w:fldCharType="end"/>
      </w:r>
      <w:r w:rsidR="007342D1" w:rsidRPr="00CB1C44">
        <w:rPr>
          <w:rFonts w:ascii="Arial" w:hAnsi="Arial" w:cs="Arial"/>
          <w:lang w:val="en-US"/>
        </w:rPr>
        <w:t xml:space="preserve">, β-hydroxybutyrate </w:t>
      </w:r>
      <w:r w:rsidR="00F53891" w:rsidRPr="00CB1C44">
        <w:rPr>
          <w:rFonts w:ascii="Arial" w:hAnsi="Arial" w:cs="Arial"/>
          <w:lang w:val="en-US"/>
        </w:rPr>
        <w:fldChar w:fldCharType="begin" w:fldLock="1"/>
      </w:r>
      <w:r w:rsidR="00CC352C" w:rsidRPr="00CB1C44">
        <w:rPr>
          <w:rFonts w:ascii="Arial" w:hAnsi="Arial" w:cs="Arial"/>
          <w:lang w:val="en-US"/>
        </w:rPr>
        <w:instrText>ADDIN CSL_CITATION {"citationItems":[{"id":"ITEM-1","itemData":{"DOI":"10.3109/10715762.2014.987274","ISSN":"10292470","abstract":"Alzheimer's disease is a neurodegenerative disorder associated with the deposition of the peptide amyloid-beta (Aβ) in senile plaques and cerebral vasculature. The neurotoxic mechanisms of this condition have been linked to oxidative-stress-induced apoptosis leading to widespread neuronal loss. Herein, we demonstrate the neuroprotective effects of a ketone body D-β-hydroxybutyrate (β-HB) in neural cell lines and an animal model induced by injecting Aβ into the hippocampus. Using histological examination and the TUNEL assay, we show that administration of exogenous β-HB effectively prevents Aβ deposition and neuron apoptosis in this rat model. β-HB pretreatment also relieves the oxidative stress in Aβ-induced PC-12 cells, as shown by decreased intracellular reactive oxygen species and Ca(2+) levels, activated Nrf2 and recovered superoxide dismutase and catalase activities. Consequently, the apoptotic pathway is also inhibited in these cells, with decreased levels of p53, caspase-12, caspase-9, caspase-3; a decreased Bax/Bcl-2 ratio; and decreased cytochrome c release. Taken together, our study provides a molecular basis for the neuroprotective effects of β-HB in line with the suppression of oxidative stress and the inhibition of apoptotic protein activation.","author":[{"dropping-particle":"","family":"Xie","given":"G.","non-dropping-particle":"","parse-names":false,"suffix":""},{"dropping-particle":"","family":"Tian","given":"W.","non-dropping-particle":"","parse-names":false,"suffix":""},{"dropping-particle":"","family":"Wei","given":"T.","non-dropping-particle":"","parse-names":false,"suffix":""},{"dropping-particle":"","family":"Liu","given":"F.","non-dropping-particle":"","parse-names":false,"suffix":""}],"container-title":"Free Radical Research","id":"ITEM-1","issued":{"date-parts":[["2015"]]},"title":"The neuroprotective effects of β-hydroxybutyrate on Aβ-injected rat hippocampus in vivo and in Aβ-treated PC-12 cells in vitro","type":"article-journal"},"uris":["http://www.mendeley.com/documents/?uuid=ad712685-64ee-4645-a492-658b516bd44b"]}],"mendeley":{"formattedCitation":"(Xie et al., 2015)","plainTextFormattedCitation":"(Xie et al., 2015)","previouslyFormattedCitation":"(Xie et al., 2015)"},"properties":{"noteIndex":0},"schema":"https://github.com/citation-style-language/schema/raw/master/csl-citation.json"}</w:instrText>
      </w:r>
      <w:r w:rsidR="00F53891" w:rsidRPr="00CB1C44">
        <w:rPr>
          <w:rFonts w:ascii="Arial" w:hAnsi="Arial" w:cs="Arial"/>
          <w:lang w:val="en-US"/>
        </w:rPr>
        <w:fldChar w:fldCharType="separate"/>
      </w:r>
      <w:r w:rsidR="00F53891" w:rsidRPr="00CB1C44">
        <w:rPr>
          <w:rFonts w:ascii="Arial" w:hAnsi="Arial" w:cs="Arial"/>
          <w:noProof/>
          <w:lang w:val="en-US"/>
        </w:rPr>
        <w:t>(Xie et al., 2015)</w:t>
      </w:r>
      <w:r w:rsidR="00F53891" w:rsidRPr="00CB1C44">
        <w:rPr>
          <w:rFonts w:ascii="Arial" w:hAnsi="Arial" w:cs="Arial"/>
          <w:lang w:val="en-US"/>
        </w:rPr>
        <w:fldChar w:fldCharType="end"/>
      </w:r>
      <w:r w:rsidR="004E1939" w:rsidRPr="00CB1C44">
        <w:rPr>
          <w:rFonts w:ascii="Arial" w:hAnsi="Arial" w:cs="Arial"/>
          <w:lang w:val="en-US"/>
        </w:rPr>
        <w:t xml:space="preserve">, </w:t>
      </w:r>
      <w:r w:rsidR="00F779BF" w:rsidRPr="00CB1C44">
        <w:rPr>
          <w:rFonts w:ascii="Arial" w:hAnsi="Arial" w:cs="Arial"/>
          <w:lang w:val="en-US"/>
        </w:rPr>
        <w:t>o</w:t>
      </w:r>
      <w:r w:rsidR="004E1939" w:rsidRPr="00CB1C44">
        <w:rPr>
          <w:rFonts w:ascii="Arial" w:hAnsi="Arial" w:cs="Arial"/>
          <w:lang w:val="en-US"/>
        </w:rPr>
        <w:t xml:space="preserve">rientin </w:t>
      </w:r>
      <w:r w:rsidR="00CC352C" w:rsidRPr="00CB1C44">
        <w:rPr>
          <w:rFonts w:ascii="Arial" w:hAnsi="Arial" w:cs="Arial"/>
          <w:lang w:val="en-US"/>
        </w:rPr>
        <w:fldChar w:fldCharType="begin" w:fldLock="1"/>
      </w:r>
      <w:r w:rsidR="008A6A1B" w:rsidRPr="00CB1C44">
        <w:rPr>
          <w:rFonts w:ascii="Arial" w:hAnsi="Arial" w:cs="Arial"/>
          <w:lang w:val="en-US"/>
        </w:rPr>
        <w:instrText>ADDIN CSL_CITATION {"citationItems":[{"id":"ITEM-1","itemData":{"DOI":"10.1016/j.lfs.2014.11.021","ISSN":"18790631","abstract":"Aims β-Amyloid (Aβ)-mediated neurotoxicity plays a critical role in the pathogenesis of Alzheimer's disease (AD), possibly including Aβ-induced mitochondrial dysfunction and oxidative stress. Previous studies have demonstrated that orientin (Ori) possesses antioxidation capabilities in vitro. Therefore, current study is to demonstrate that Ori can activate Nrf2/HO-1 signaling and alleviate apoptosis induced by Aβ 1-42 , and ameliorate cognitive deficits in AD mice.\nMain methods AD models were made by injecting Aβ 1-42 into the bilateral hippocampus of mice. The mice were randomly assigned to three groups: the normal mice and Aβ 1-42 -induced AD mice with saline, and Aβ 1-42 -induced AD mice with Ori (5 mg/kg), and were injected intraperitoneally once a day for 15 days. After the Morris Water Maze (MWM) test, mice were sacrificed and brains were harvested for biochemical analysis.\nKey findings Results indicated that Ori could ameliorate cognitive deficits in AD mice. Levels of oxidative stress, indicated by production of reactive oxygen species (ROS), 3-nitrotyrosine (3-NT), 4-hydroxy-nonenal (4-HNE) and 8-hydroxy-2′-deoxyguanosine (8-OHdG), were significantly decreased after Ori treatment. In addition, the current study showed that Ori could attenuate mitochondrial dysfunction induced by Aβ 1-42 , and subsequently inhibited the mitochondrial apoptotic pathway. Ori induced the nuclear translocation of Nrf2, which enhanced the expression of HO-1 and activation of the redox signaling pathway.\nSignificance Ori might alleviate cognitive deficits and oxidative stress in AD mice, which might be a potential therapeutic drug for AD.","author":[{"dropping-particle":"","family":"Yu","given":"Linjie","non-dropping-particle":"","parse-names":false,"suffix":""},{"dropping-particle":"","family":"Wang","given":"Sulei","non-dropping-particle":"","parse-names":false,"suffix":""},{"dropping-particle":"","family":"Chen","given":"Xiang","non-dropping-particle":"","parse-names":false,"suffix":""},{"dropping-particle":"","family":"Yang","given":"Hui","non-dropping-particle":"","parse-names":false,"suffix":""},{"dropping-particle":"","family":"Li","given":"Xiaoxi","non-dropping-particle":"","parse-names":false,"suffix":""},{"dropping-particle":"","family":"Xu","given":"Yun","non-dropping-particle":"","parse-names":false,"suffix":""},{"dropping-particle":"","family":"Zhu","given":"Xiaolei","non-dropping-particle":"","parse-names":false,"suffix":""}],"container-title":"Life Sciences","id":"ITEM-1","issued":{"date-parts":[["2015"]]},"title":"Orientin alleviates cognitive deficits and oxidative stress in Aβ 1-42 -induced mouse model of Alzheimer's disease","type":"article-journal"},"uris":["http://www.mendeley.com/documents/?uuid=7eda994a-7c0c-4093-be02-77f7ce130ab4"]}],"mendeley":{"formattedCitation":"(Yu et al., 2015)","plainTextFormattedCitation":"(Yu et al., 2015)","previouslyFormattedCitation":"(Yu et al., 2015)"},"properties":{"noteIndex":0},"schema":"https://github.com/citation-style-language/schema/raw/master/csl-citation.json"}</w:instrText>
      </w:r>
      <w:r w:rsidR="00CC352C" w:rsidRPr="00CB1C44">
        <w:rPr>
          <w:rFonts w:ascii="Arial" w:hAnsi="Arial" w:cs="Arial"/>
          <w:lang w:val="en-US"/>
        </w:rPr>
        <w:fldChar w:fldCharType="separate"/>
      </w:r>
      <w:r w:rsidR="00CC352C" w:rsidRPr="00CB1C44">
        <w:rPr>
          <w:rFonts w:ascii="Arial" w:hAnsi="Arial" w:cs="Arial"/>
          <w:noProof/>
          <w:lang w:val="en-US"/>
        </w:rPr>
        <w:t>(Yu et al., 2015)</w:t>
      </w:r>
      <w:r w:rsidR="00CC352C" w:rsidRPr="00CB1C44">
        <w:rPr>
          <w:rFonts w:ascii="Arial" w:hAnsi="Arial" w:cs="Arial"/>
          <w:lang w:val="en-US"/>
        </w:rPr>
        <w:fldChar w:fldCharType="end"/>
      </w:r>
      <w:r w:rsidR="00CC352C" w:rsidRPr="00CB1C44">
        <w:rPr>
          <w:rFonts w:ascii="Arial" w:hAnsi="Arial" w:cs="Arial"/>
          <w:lang w:val="en-US"/>
        </w:rPr>
        <w:t xml:space="preserve">, </w:t>
      </w:r>
      <w:proofErr w:type="spellStart"/>
      <w:r w:rsidR="00F779BF" w:rsidRPr="00CB1C44">
        <w:rPr>
          <w:rFonts w:ascii="Arial" w:hAnsi="Arial" w:cs="Arial"/>
          <w:lang w:val="en-US"/>
        </w:rPr>
        <w:t>a</w:t>
      </w:r>
      <w:r w:rsidR="007D04AC" w:rsidRPr="00CB1C44">
        <w:rPr>
          <w:rFonts w:ascii="Arial" w:hAnsi="Arial" w:cs="Arial"/>
          <w:lang w:val="en-US"/>
        </w:rPr>
        <w:t>ntroquinonol</w:t>
      </w:r>
      <w:proofErr w:type="spellEnd"/>
      <w:r w:rsidR="007D04AC" w:rsidRPr="00CB1C44">
        <w:rPr>
          <w:rFonts w:ascii="Arial" w:hAnsi="Arial" w:cs="Arial"/>
          <w:lang w:val="en-US"/>
        </w:rPr>
        <w:t xml:space="preserve"> </w:t>
      </w:r>
      <w:r w:rsidR="008A6A1B" w:rsidRPr="00CB1C44">
        <w:rPr>
          <w:rFonts w:ascii="Arial" w:hAnsi="Arial" w:cs="Arial"/>
          <w:lang w:val="en-US"/>
        </w:rPr>
        <w:fldChar w:fldCharType="begin" w:fldLock="1"/>
      </w:r>
      <w:r w:rsidR="00CB7B69" w:rsidRPr="00CB1C44">
        <w:rPr>
          <w:rFonts w:ascii="Arial" w:hAnsi="Arial" w:cs="Arial"/>
          <w:lang w:val="en-US"/>
        </w:rPr>
        <w:instrText>ADDIN CSL_CITATION {"citationItems":[{"id":"ITEM-1","itemData":{"DOI":"10.1038/srep15067","ISSN":"20452322","abstract":"Alzheimer's disease (AD) is the most common form of dementia. The deposition of brain amyloid-β peptides (Aβ), which are cleaved from amyloid precursor protein (APP), is one of the pathological hallmarks of AD. Aβ-induced oxidative stress and neuroinflammation play important roles in the pathogenesis of AD. Antroquinonol, a ubiquinone derivative isolated from Antrodia camphorata, has been shown to reduce oxidative stress and inflammatory cytokines via activating the nuclear transcription factor erythroid-2-related factor 2 (Nrf2) pathway, which is downregulated in AD. Therefore, we examined whether antroquinonol could improve AD-like pathological and behavioral deficits in the APP transgenic mouse model. We found that antroquinonol was able to cross the blood-brain barrier and had no adverse effects via oral intake. Two months of antroquinonol consumption improved learning and memory in the Morris water maze test, reduced hippocampal Aβ levels, and reduced the degree of astrogliosis. These effects may be mediated through the increase of Nrf2 and the decrease of histone deacetylase 2 (HDAC2) levels. These findings suggest that antroquinonol could have beneficial effects on AD-like deficits in APP transgenic mouse.","author":[{"dropping-particle":"","family":"Chang","given":"Wen Han","non-dropping-particle":"","parse-names":false,"suffix":""},{"dropping-particle":"","family":"Chen","given":"Miles C.","non-dropping-particle":"","parse-names":false,"suffix":""},{"dropping-particle":"","family":"Cheng","given":"Irene H.","non-dropping-particle":"","parse-names":false,"suffix":""}],"container-title":"Scientific Reports","id":"ITEM-1","issued":{"date-parts":[["2015"]]},"title":"Antroquinonol lowers brain amyloid-β levels and improves spatial learning and memory in a transgenic mouse model of alzheimers disease","type":"article-journal"},"uris":["http://www.mendeley.com/documents/?uuid=2383488b-e8f6-42f3-b327-4f745f31896d"]}],"mendeley":{"formattedCitation":"(Chang et al., 2015)","plainTextFormattedCitation":"(Chang et al., 2015)","previouslyFormattedCitation":"(Chang et al., 2015)"},"properties":{"noteIndex":0},"schema":"https://github.com/citation-style-language/schema/raw/master/csl-citation.json"}</w:instrText>
      </w:r>
      <w:r w:rsidR="008A6A1B" w:rsidRPr="00CB1C44">
        <w:rPr>
          <w:rFonts w:ascii="Arial" w:hAnsi="Arial" w:cs="Arial"/>
          <w:lang w:val="en-US"/>
        </w:rPr>
        <w:fldChar w:fldCharType="separate"/>
      </w:r>
      <w:r w:rsidR="008A6A1B" w:rsidRPr="00CB1C44">
        <w:rPr>
          <w:rFonts w:ascii="Arial" w:hAnsi="Arial" w:cs="Arial"/>
          <w:noProof/>
          <w:lang w:val="en-US"/>
        </w:rPr>
        <w:t>(Chang et al., 2015)</w:t>
      </w:r>
      <w:r w:rsidR="008A6A1B" w:rsidRPr="00CB1C44">
        <w:rPr>
          <w:rFonts w:ascii="Arial" w:hAnsi="Arial" w:cs="Arial"/>
          <w:lang w:val="en-US"/>
        </w:rPr>
        <w:fldChar w:fldCharType="end"/>
      </w:r>
      <w:r w:rsidR="00F779BF" w:rsidRPr="00CB1C44">
        <w:rPr>
          <w:rFonts w:ascii="Arial" w:hAnsi="Arial" w:cs="Arial"/>
          <w:lang w:val="en-US"/>
        </w:rPr>
        <w:t xml:space="preserve">, </w:t>
      </w:r>
      <w:proofErr w:type="spellStart"/>
      <w:r w:rsidR="00F779BF" w:rsidRPr="00CB1C44">
        <w:rPr>
          <w:rFonts w:ascii="Arial" w:hAnsi="Arial" w:cs="Arial"/>
          <w:lang w:val="en-US"/>
        </w:rPr>
        <w:t>methysticin</w:t>
      </w:r>
      <w:proofErr w:type="spellEnd"/>
      <w:r w:rsidR="00F779BF" w:rsidRPr="00CB1C44">
        <w:rPr>
          <w:rFonts w:ascii="Arial" w:hAnsi="Arial" w:cs="Arial"/>
          <w:lang w:val="en-US"/>
        </w:rPr>
        <w:t xml:space="preserve"> </w:t>
      </w:r>
      <w:r w:rsidR="00CB7B69" w:rsidRPr="00CB1C44">
        <w:rPr>
          <w:rFonts w:ascii="Arial" w:hAnsi="Arial" w:cs="Arial"/>
          <w:lang w:val="en-US"/>
        </w:rPr>
        <w:fldChar w:fldCharType="begin" w:fldLock="1"/>
      </w:r>
      <w:r w:rsidR="000015CD" w:rsidRPr="00CB1C44">
        <w:rPr>
          <w:rFonts w:ascii="Arial" w:hAnsi="Arial" w:cs="Arial"/>
          <w:lang w:val="en-US"/>
        </w:rPr>
        <w:instrText>ADDIN CSL_CITATION {"citationItems":[{"id":"ITEM-1","itemData":{"DOI":"10.1016/j.redox.2017.04.024","ISSN":"22132317","abstract":"Introduction There is increasing evidence for the involvement of chronic inflammation and oxidative stress in the pathogenesis of Alzheimer's disease (AD). Nuclear factor erythroid 2-related factor 2 (Nrf2) is an anti-inflammatory transcription factor that regulates the oxidative stress defense. Our previous experiments demonstrated that kavalactones protect neuronal cells against Amyloid β (Aβ)-induced oxidative stress in vitro by Nrf2 pathway activation. Here, we tested an in vivo kavalactone treatment in a mouse model of AD. Methods The kavalactone methysticin was administered once a week for a period of 6 months to 6 month old transgenic APP/Psen1 mice by oral gavage. Nrf2 pathway activation was measured by methysticin treatment of ARE-luciferase mice, by qPCR of Nrf2-target genes and immunohistochemical detection of Nrf2. Aβ burden was analyzed by CongoRed staining, immunofluorescent detection and ELISA. Neuroinflammation was assessed by immunohistochemical stainings for microglia and astrocytes. Pro-inflammatory cytokines in the hippocampus was determined by Luminex multi-plex assays. The hippocampal oxidative damage was detected by oxyblot technique and immunohistochemical staining against DT3 and 4-HNE. The cognitive ability of mice was evaluated using Morris water maze. Results Methysticin treatment activated the Nrf2 pathway in the hippocampus and cortex of mice. The Aβ deposition in brains of methysticin-treated APP/Psen1 mice was not altered compared to untreated mice. However, methysticin treatment significantly reduced microgliosis, astrogliosis and secretion of the pro-inflammatory cytokines TNF-α and IL-17A. In addition, the oxidative damage of hippocampi from APP/Psen1 mice was reduced by methysticin treatment. Most importantly, methysticin treatment significantly attenuated the long-term memory decline of APP/Psen1 mice. Conclusion In summary, these findings show that methysticin administration activates the Nrf2 pathway and reduces neuroinflammation, hippocampal oxidative damage and memory loss in a mouse model of AD. Therefore, kavalactones might be suitable candidates to serve as lead compounds for the development of a new class of neuroprotective drugs.","author":[{"dropping-particle":"","family":"Fragoulis","given":"Athanassios","non-dropping-particle":"","parse-names":false,"suffix":""},{"dropping-particle":"","family":"Siegl","given":"Stephanie","non-dropping-particle":"","parse-names":false,"suffix":""},{"dropping-particle":"","family":"Fendt","given":"Markus","non-dropping-particle":"","parse-names":false,"suffix":""},{"dropping-particle":"","family":"Jansen","given":"Sandra","non-dropping-particle":"","parse-names":false,"suffix":""},{"dropping-particle":"","family":"Soppa","given":"Ulf","non-dropping-particle":"","parse-names":false,"suffix":""},{"dropping-particle":"","family":"Brandenburg","given":"Lars Ove","non-dropping-particle":"","parse-names":false,"suffix":""},{"dropping-particle":"","family":"Pufe","given":"Thomas","non-dropping-particle":"","parse-names":false,"suffix":""},{"dropping-particle":"","family":"Weis","given":"Joachim","non-dropping-particle":"","parse-names":false,"suffix":""},{"dropping-particle":"","family":"Wruck","given":"Christoph Jan","non-dropping-particle":"","parse-names":false,"suffix":""}],"container-title":"Redox Biology","id":"ITEM-1","issued":{"date-parts":[["2017"]]},"title":"Oral administration of methysticin improves cognitive deficits in a mouse model of Alzheimer's disease","type":"article-journal"},"uris":["http://www.mendeley.com/documents/?uuid=ba1b50bf-bd09-4d70-8b03-72d38f87ce39"]}],"mendeley":{"formattedCitation":"(Fragoulis et al., 2017)","plainTextFormattedCitation":"(Fragoulis et al., 2017)","previouslyFormattedCitation":"(Fragoulis et al., 2017)"},"properties":{"noteIndex":0},"schema":"https://github.com/citation-style-language/schema/raw/master/csl-citation.json"}</w:instrText>
      </w:r>
      <w:r w:rsidR="00CB7B69" w:rsidRPr="00CB1C44">
        <w:rPr>
          <w:rFonts w:ascii="Arial" w:hAnsi="Arial" w:cs="Arial"/>
          <w:lang w:val="en-US"/>
        </w:rPr>
        <w:fldChar w:fldCharType="separate"/>
      </w:r>
      <w:r w:rsidR="00CB7B69" w:rsidRPr="00CB1C44">
        <w:rPr>
          <w:rFonts w:ascii="Arial" w:hAnsi="Arial" w:cs="Arial"/>
          <w:noProof/>
          <w:lang w:val="en-US"/>
        </w:rPr>
        <w:t>(Fragoulis et al., 2017)</w:t>
      </w:r>
      <w:r w:rsidR="00CB7B69" w:rsidRPr="00CB1C44">
        <w:rPr>
          <w:rFonts w:ascii="Arial" w:hAnsi="Arial" w:cs="Arial"/>
          <w:lang w:val="en-US"/>
        </w:rPr>
        <w:fldChar w:fldCharType="end"/>
      </w:r>
      <w:r w:rsidR="00161C89" w:rsidRPr="00CB1C44">
        <w:rPr>
          <w:rFonts w:ascii="Arial" w:hAnsi="Arial" w:cs="Arial"/>
          <w:lang w:val="en-US"/>
        </w:rPr>
        <w:t xml:space="preserve"> and methylene blue (</w:t>
      </w:r>
      <w:proofErr w:type="spellStart"/>
      <w:r w:rsidR="00161C89" w:rsidRPr="00CB1C44">
        <w:rPr>
          <w:rFonts w:ascii="Arial" w:hAnsi="Arial" w:cs="Arial"/>
          <w:lang w:val="en-US"/>
        </w:rPr>
        <w:t>methylthioninium</w:t>
      </w:r>
      <w:proofErr w:type="spellEnd"/>
      <w:r w:rsidR="00161C89" w:rsidRPr="00CB1C44">
        <w:rPr>
          <w:rFonts w:ascii="Arial" w:hAnsi="Arial" w:cs="Arial"/>
          <w:lang w:val="en-US"/>
        </w:rPr>
        <w:t xml:space="preserve"> chloride) </w:t>
      </w:r>
      <w:r w:rsidR="000015CD" w:rsidRPr="00CB1C44">
        <w:rPr>
          <w:rFonts w:ascii="Arial" w:hAnsi="Arial" w:cs="Arial"/>
          <w:lang w:val="en-US"/>
        </w:rPr>
        <w:fldChar w:fldCharType="begin" w:fldLock="1"/>
      </w:r>
      <w:r w:rsidR="000015CD" w:rsidRPr="00CB1C44">
        <w:rPr>
          <w:rFonts w:ascii="Arial" w:hAnsi="Arial" w:cs="Arial"/>
          <w:lang w:val="en-US"/>
        </w:rPr>
        <w:instrText>ADDIN CSL_CITATION {"citationItems":[{"id":"ITEM-1","itemData":{"DOI":"10.1093/hmg/ddu080","ISSN":"14602083","abstract":"Methylene blue (MB, methylthioninium chloride) is a phenothiazine that crosses the blood brain barrier and acts as a redox cycler. Among its beneficial properties are its abilities to act as an antioxidant, to reduce tau protein aggregation and to improve energy metabolism. These actions are of particular interest for the treatment of neurodegenerative diseases with tau protein aggregates known as tauopathies. The present study examined the effects of MB in the P301S mouse model of tauopathy. Both 4 mg/kg MB (low dose) and 40 mg/kg MB (high dose) were administered in the diet ad libitum from 1 to 10months of age.Weassessed behavior, tau pathology, oxidative damage, inflammation and numbers of mitochondria. MB improved the behavioral abnormalities and reduced tau pathology, inflammation and oxidative damage in the P301S mice. These beneficial effects were associated with increased expression of genes regulated by NF-E2-related factor 2 (Nrf2)/antioxidant response element (ARE), which play an important role in antioxidant defenses, preventing protein aggregation, and reducing inflammation. The activation of Nrf2/ARE genes is neuroprotective in other transgenic mouse models of neurodegenerative diseases and it appears to be an important mediator of the neuroprotective effects of MB in P301S mice. Moreover, we used Nrf2 knock out fibroblasts to show that the upregulation of Nrf2/ARE genes by MB is Nrf2 dependent and not due to secondary effects of the compound. These findings provide further evidence that MB has important neuroprotective effects that may be beneficial in the treatment of human neurodegenerative diseases with tau pathology. © The Author 2014.Published by Oxford University Press. All rights reserved.","author":[{"dropping-particle":"","family":"Stack","given":"Cliona","non-dropping-particle":"","parse-names":false,"suffix":""},{"dropping-particle":"","family":"Jainuddin","given":"Shari","non-dropping-particle":"","parse-names":false,"suffix":""},{"dropping-particle":"","family":"Elipenahli","given":"Ceyhan","non-dropping-particle":"","parse-names":false,"suffix":""},{"dropping-particle":"","family":"Gerges","given":"Meri","non-dropping-particle":"","parse-names":false,"suffix":""},{"dropping-particle":"","family":"Starkova","given":"Natalia","non-dropping-particle":"","parse-names":false,"suffix":""},{"dropping-particle":"","family":"Starkov","given":"Anatoly A.","non-dropping-particle":"","parse-names":false,"suffix":""},{"dropping-particle":"","family":"Jové","given":"Mariona","non-dropping-particle":"","parse-names":false,"suffix":""},{"dropping-particle":"","family":"Portero-Otin","given":"Manuel","non-dropping-particle":"","parse-names":false,"suffix":""},{"dropping-particle":"","family":"Launay","given":"Nathalie","non-dropping-particle":"","parse-names":false,"suffix":""},{"dropping-particle":"","family":"Pujol","given":"Aurora","non-dropping-particle":"","parse-names":false,"suffix":""},{"dropping-particle":"","family":"Kaidery","given":"Navneet Ammal","non-dropping-particle":"","parse-names":false,"suffix":""},{"dropping-particle":"","family":"Thomas","given":"Bobby","non-dropping-particle":"","parse-names":false,"suffix":""},{"dropping-particle":"","family":"Tampellini","given":"Davide","non-dropping-particle":"","parse-names":false,"suffix":""},{"dropping-particle":"","family":"Flint Beal","given":"M.","non-dropping-particle":"","parse-names":false,"suffix":""},{"dropping-particle":"","family":"Dumont","given":"Magali","non-dropping-particle":"","parse-names":false,"suffix":""}],"container-title":"Human Molecular Genetics","id":"ITEM-1","issued":{"date-parts":[["2014"]]},"title":"Methylene blue upregulates Nrf2/ARE genes and prevents tau-related neurotoxicity","type":"article-journal"},"uris":["http://www.mendeley.com/documents/?uuid=a8cc6fbd-eaa1-44e3-bd1b-536b71068bac"]}],"mendeley":{"formattedCitation":"(Stack et al., 2014)","plainTextFormattedCitation":"(Stack et al., 2014)","previouslyFormattedCitation":"(Stack et al., 2014)"},"properties":{"noteIndex":0},"schema":"https://github.com/citation-style-language/schema/raw/master/csl-citation.json"}</w:instrText>
      </w:r>
      <w:r w:rsidR="000015CD" w:rsidRPr="00CB1C44">
        <w:rPr>
          <w:rFonts w:ascii="Arial" w:hAnsi="Arial" w:cs="Arial"/>
          <w:lang w:val="en-US"/>
        </w:rPr>
        <w:fldChar w:fldCharType="separate"/>
      </w:r>
      <w:r w:rsidR="000015CD" w:rsidRPr="00CB1C44">
        <w:rPr>
          <w:rFonts w:ascii="Arial" w:hAnsi="Arial" w:cs="Arial"/>
          <w:noProof/>
          <w:lang w:val="en-US"/>
        </w:rPr>
        <w:t>(Stack et al., 2014)</w:t>
      </w:r>
      <w:r w:rsidR="000015CD" w:rsidRPr="00CB1C44">
        <w:rPr>
          <w:rFonts w:ascii="Arial" w:hAnsi="Arial" w:cs="Arial"/>
          <w:lang w:val="en-US"/>
        </w:rPr>
        <w:fldChar w:fldCharType="end"/>
      </w:r>
      <w:r w:rsidR="00687FB6" w:rsidRPr="00CB1C44">
        <w:rPr>
          <w:rFonts w:ascii="Arial" w:hAnsi="Arial" w:cs="Arial"/>
          <w:lang w:val="en-US"/>
        </w:rPr>
        <w:t xml:space="preserve"> </w:t>
      </w:r>
      <w:r w:rsidR="00C16A82" w:rsidRPr="00CB1C44">
        <w:rPr>
          <w:rFonts w:ascii="Arial" w:hAnsi="Arial" w:cs="Arial"/>
          <w:lang w:val="en-US"/>
        </w:rPr>
        <w:t xml:space="preserve">have positive effects in AD </w:t>
      </w:r>
      <w:r w:rsidR="0001081B" w:rsidRPr="00CB1C44">
        <w:rPr>
          <w:rFonts w:ascii="Arial" w:hAnsi="Arial" w:cs="Arial"/>
          <w:lang w:val="en-US"/>
        </w:rPr>
        <w:t>models</w:t>
      </w:r>
      <w:r w:rsidR="00C16A82" w:rsidRPr="00CB1C44">
        <w:rPr>
          <w:rFonts w:ascii="Arial" w:hAnsi="Arial" w:cs="Arial"/>
          <w:lang w:val="en-US"/>
        </w:rPr>
        <w:t xml:space="preserve">, </w:t>
      </w:r>
      <w:r w:rsidR="0001081B" w:rsidRPr="00CB1C44">
        <w:rPr>
          <w:rFonts w:ascii="Arial" w:hAnsi="Arial" w:cs="Arial"/>
          <w:lang w:val="en-US"/>
        </w:rPr>
        <w:t xml:space="preserve">by </w:t>
      </w:r>
      <w:r w:rsidR="002345A2" w:rsidRPr="00CB1C44">
        <w:rPr>
          <w:rFonts w:ascii="Arial" w:hAnsi="Arial" w:cs="Arial"/>
          <w:lang w:val="en-US"/>
        </w:rPr>
        <w:t>reduc</w:t>
      </w:r>
      <w:r w:rsidR="00C16A82" w:rsidRPr="00CB1C44">
        <w:rPr>
          <w:rFonts w:ascii="Arial" w:hAnsi="Arial" w:cs="Arial"/>
          <w:lang w:val="en-US"/>
        </w:rPr>
        <w:t>ing</w:t>
      </w:r>
      <w:r w:rsidR="00F11786" w:rsidRPr="00CB1C44">
        <w:rPr>
          <w:rFonts w:ascii="Arial" w:hAnsi="Arial" w:cs="Arial"/>
          <w:lang w:val="en-US"/>
        </w:rPr>
        <w:t xml:space="preserve"> cognitive deficits</w:t>
      </w:r>
      <w:r w:rsidR="00C16A82" w:rsidRPr="00CB1C44">
        <w:rPr>
          <w:rFonts w:ascii="Arial" w:hAnsi="Arial" w:cs="Arial"/>
          <w:lang w:val="en-US"/>
        </w:rPr>
        <w:t xml:space="preserve">, inflammation and oxidative stress or </w:t>
      </w:r>
      <w:r w:rsidR="00F11786" w:rsidRPr="00CB1C44">
        <w:rPr>
          <w:rFonts w:ascii="Arial" w:hAnsi="Arial" w:cs="Arial"/>
          <w:lang w:val="en-US"/>
        </w:rPr>
        <w:t>protect against Aβ-mediated toxicity</w:t>
      </w:r>
      <w:r w:rsidR="0001081B" w:rsidRPr="00CB1C44">
        <w:rPr>
          <w:rFonts w:ascii="Arial" w:hAnsi="Arial" w:cs="Arial"/>
          <w:lang w:val="en-US"/>
        </w:rPr>
        <w:t xml:space="preserve">. </w:t>
      </w:r>
      <w:r w:rsidR="00FB5ABE" w:rsidRPr="00CB1C44">
        <w:rPr>
          <w:rFonts w:ascii="Arial" w:hAnsi="Arial" w:cs="Arial"/>
          <w:lang w:val="en-US"/>
        </w:rPr>
        <w:t>As referred</w:t>
      </w:r>
      <w:r w:rsidR="00AC029A" w:rsidRPr="00CB1C44">
        <w:rPr>
          <w:rFonts w:ascii="Arial" w:hAnsi="Arial" w:cs="Arial"/>
          <w:lang w:val="en-US"/>
        </w:rPr>
        <w:t xml:space="preserve"> above</w:t>
      </w:r>
      <w:r w:rsidR="003051EB" w:rsidRPr="00CB1C44">
        <w:rPr>
          <w:rFonts w:ascii="Arial" w:hAnsi="Arial" w:cs="Arial"/>
          <w:lang w:val="en-US"/>
        </w:rPr>
        <w:t>,</w:t>
      </w:r>
      <w:r w:rsidR="00FB5ABE" w:rsidRPr="00CB1C44">
        <w:rPr>
          <w:rFonts w:ascii="Arial" w:hAnsi="Arial" w:cs="Arial"/>
          <w:lang w:val="en-US"/>
        </w:rPr>
        <w:t xml:space="preserve"> </w:t>
      </w:r>
      <w:r w:rsidR="003051EB" w:rsidRPr="00CB1C44">
        <w:rPr>
          <w:rFonts w:ascii="Arial" w:hAnsi="Arial" w:cs="Arial"/>
          <w:lang w:val="en-US"/>
        </w:rPr>
        <w:t>s</w:t>
      </w:r>
      <w:r w:rsidR="00FB5B81" w:rsidRPr="00CB1C44">
        <w:rPr>
          <w:rFonts w:ascii="Arial" w:hAnsi="Arial" w:cs="Arial"/>
          <w:lang w:val="en-US"/>
        </w:rPr>
        <w:t xml:space="preserve">everal pathways involved in Nrf2 regulation </w:t>
      </w:r>
      <w:r w:rsidR="003A57CA" w:rsidRPr="00CB1C44">
        <w:rPr>
          <w:rFonts w:ascii="Arial" w:hAnsi="Arial" w:cs="Arial"/>
          <w:lang w:val="en-US"/>
        </w:rPr>
        <w:t>ha</w:t>
      </w:r>
      <w:r w:rsidR="00F73B04" w:rsidRPr="00CB1C44">
        <w:rPr>
          <w:rFonts w:ascii="Arial" w:hAnsi="Arial" w:cs="Arial"/>
          <w:lang w:val="en-US"/>
        </w:rPr>
        <w:t>ve</w:t>
      </w:r>
      <w:r w:rsidR="00040F5C" w:rsidRPr="00CB1C44">
        <w:rPr>
          <w:rFonts w:ascii="Arial" w:hAnsi="Arial" w:cs="Arial"/>
          <w:lang w:val="en-US"/>
        </w:rPr>
        <w:t xml:space="preserve"> been described to be</w:t>
      </w:r>
      <w:r w:rsidR="00FB5B81" w:rsidRPr="00CB1C44">
        <w:rPr>
          <w:rFonts w:ascii="Arial" w:hAnsi="Arial" w:cs="Arial"/>
          <w:lang w:val="en-US"/>
        </w:rPr>
        <w:t xml:space="preserve"> altered in AD. </w:t>
      </w:r>
      <w:r w:rsidR="00514661" w:rsidRPr="00CB1C44">
        <w:rPr>
          <w:rFonts w:ascii="Arial" w:hAnsi="Arial" w:cs="Arial"/>
          <w:lang w:val="en-US"/>
        </w:rPr>
        <w:t>In this section, we evidence the potential of targeting Nrf2</w:t>
      </w:r>
      <w:r w:rsidR="009959FE" w:rsidRPr="00CB1C44">
        <w:rPr>
          <w:rFonts w:ascii="Arial" w:hAnsi="Arial" w:cs="Arial"/>
          <w:lang w:val="en-US"/>
        </w:rPr>
        <w:t>-</w:t>
      </w:r>
      <w:r w:rsidR="00514661" w:rsidRPr="00CB1C44">
        <w:rPr>
          <w:rFonts w:ascii="Arial" w:hAnsi="Arial" w:cs="Arial"/>
          <w:lang w:val="en-US"/>
        </w:rPr>
        <w:t>regulator</w:t>
      </w:r>
      <w:r w:rsidR="002345A2" w:rsidRPr="00CB1C44">
        <w:rPr>
          <w:rFonts w:ascii="Arial" w:hAnsi="Arial" w:cs="Arial"/>
          <w:lang w:val="en-US"/>
        </w:rPr>
        <w:t>y</w:t>
      </w:r>
      <w:r w:rsidR="00514661" w:rsidRPr="00CB1C44">
        <w:rPr>
          <w:rFonts w:ascii="Arial" w:hAnsi="Arial" w:cs="Arial"/>
          <w:lang w:val="en-US"/>
        </w:rPr>
        <w:t xml:space="preserve"> proteins </w:t>
      </w:r>
      <w:r w:rsidR="009959FE" w:rsidRPr="00CB1C44">
        <w:rPr>
          <w:rFonts w:ascii="Arial" w:hAnsi="Arial" w:cs="Arial"/>
          <w:lang w:val="en-US"/>
        </w:rPr>
        <w:t>in</w:t>
      </w:r>
      <w:r w:rsidR="00514661" w:rsidRPr="00CB1C44">
        <w:rPr>
          <w:rFonts w:ascii="Arial" w:hAnsi="Arial" w:cs="Arial"/>
          <w:lang w:val="en-US"/>
        </w:rPr>
        <w:t xml:space="preserve"> AD treatment. </w:t>
      </w:r>
    </w:p>
    <w:p w14:paraId="6B8D6DA2" w14:textId="0FF3EA25" w:rsidR="009C7605" w:rsidRPr="00CB1C44" w:rsidRDefault="00DD39D1" w:rsidP="004038B5">
      <w:pPr>
        <w:spacing w:after="0" w:line="360" w:lineRule="auto"/>
        <w:jc w:val="both"/>
        <w:rPr>
          <w:rFonts w:ascii="Arial" w:hAnsi="Arial" w:cs="Arial"/>
          <w:lang w:val="en-US"/>
        </w:rPr>
      </w:pPr>
      <w:r w:rsidRPr="00CB1C44">
        <w:rPr>
          <w:rFonts w:ascii="Arial" w:hAnsi="Arial" w:cs="Arial"/>
          <w:lang w:val="en-US"/>
        </w:rPr>
        <w:t xml:space="preserve">The polyubiquitination binding protein, p62, can favor Nrf2 activity through Keap1 target for degradation by autophagy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{"citationItems":[{"id":"ITEM-1","itemData":{"DOI":"10.1038/ncb2021","ISBN":"1476-4679 (Electronic)\\r1465-7392 (Linking)","ISSN":"1465-7392","PMID":"20173742","abstract":"Impaired selective turnover of p62 by autophagy causes severe liver injury accompanied by the formation of p62-positive inclusions and upregulation of detoxifying enzymes. These phenotypes correspond closely to the pathological conditions seen in human liver diseases, including alcoholic hepatitis and hepatocellular carcinoma. However, the molecular mechanisms and pathophysiological processes in these events are still unknown. Here we report the identification of a novel regulatory mechanism by p62 of the transcription factor Nrf2, whose target genes include antioxidant proteins and detoxification enzymes. p62 interacts with the Nrf2-binding site on Keap1, a component of Cullin-3-type ubiquitin ligase for Nrf2. Thus, an overproduction of p62 or a deficiency in autophagy competes with the interaction between Nrf2 and Keap1, resulting in stabilization of Nrf2 and transcriptional activation of Nrf2 target genes. Our findings indicate that the pathological process associated with p62 accumulation results in hyperactivation of Nrf2 and delineates unexpected roles of selective autophagy in controlling the transcription of cellular defence enzyme genes.","author":[{"dropping-particle":"","family":"Komatsu","given":"Masaaki","non-dropping-particle":"","parse-names":false,"suffix":""},{"dropping-particle":"","family":"Kurokawa","given":"Hirofumi","non-dropping-particle":"","parse-names":false,"suffix":""},{"dropping-particle":"","family":"Waguri","given":"Satoshi","non-dropping-particle":"","parse-names":false,"suffix":""},{"dropping-particle":"","family":"Taguchi","given":"Keiko","non-dropping-particle":"","parse-names":false,"suffix":""},{"dropping-particle":"","family":"Kobayashi","given":"Akira","non-dropping-particle":"","parse-names":false,"suffix":""},{"dropping-particle":"","family":"Ichimura","given":"Yoshinobu","non-dropping-particle":"","parse-names":false,"suffix":""},{"dropping-particle":"","family":"Sou","given":"Yu-Shin","non-dropping-particle":"","parse-names":false,"suffix":""},{"dropping-particle":"","family":"Ueno","given":"Izumi","non-dropping-particle":"","parse-names":false,"suffix":""},{"dropping-particle":"","family":"Sakamoto","given":"Ayako","non-dropping-particle":"","parse-names":false,"suffix":""},{"dropping-particle":"","family":"Tong","given":"Kit I","non-dropping-particle":"","parse-names":false,"suffix":""},{"dropping-particle":"","family":"Kim","given":"Mihee","non-dropping-particle":"","parse-names":false,"suffix":""},{"dropping-particle":"","family":"Nishito","given":"Yasumasa","non-dropping-particle":"","parse-names":false,"suffix":""},{"dropping-particle":"","family":"Iemura","given":"Shun-ichiro","non-dropping-particle":"","parse-names":false,"suffix":""},{"dropping-particle":"","family":"Natsume","given":"Tohru","non-dropping-particle":"","parse-names":false,"suffix":""},{"dropping-particle":"","family":"Ueno","given":"Takashi","non-dropping-particle":"","parse-names":false,"suffix":""},{"dropping-particle":"","family":"Kominami","given":"Eiki","non-dropping-particle":"","parse-names":false,"suffix":""},{"dropping-particle":"","family":"Motohashi","given":"Hozumi","non-dropping-particle":"","parse-names":false,"suffix":""},{"dropping-particle":"","family":"Tanaka","given":"Keiji","non-dropping-particle":"","parse-names":false,"suffix":""},{"dropping-particle":"","family":"Yamamoto","given":"Masayuki","non-dropping-particle":"","parse-names":false,"suffix":""}],"container-title":"Nature cell biology","id":"ITEM-1","issue":"3","issued":{"date-parts":[["2010"]]},"page":"213-223","title":"The selective autophagy substrate p62 activates the stress responsive transcription factor Nrf2 through inactivation of Keap1.","type":"article-journal","volume":"12"},"uris":["http://www.mendeley.com/documents/?uuid=52e79e8d-cb95-42a4-a63a-87d5f9a1e7c5"]}],"mendeley":{"formattedCitation":"(Komatsu et al., 2010)","plainTextFormattedCitation":"(Komatsu et al., 2010)","previouslyFormattedCitation":"(Komatsu et al., 2010)"},"properties":{"noteIndex":0},"schema":"https://github.com/citation-style-language/schema/raw/master/csl-citation.json"}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(Komatsu et al., 2010)</w:t>
      </w:r>
      <w:r w:rsidRPr="00CB1C44">
        <w:rPr>
          <w:rFonts w:ascii="Arial" w:hAnsi="Arial" w:cs="Arial"/>
          <w:lang w:val="en-US"/>
        </w:rPr>
        <w:fldChar w:fldCharType="end"/>
      </w:r>
      <w:r w:rsidRPr="00CB1C44">
        <w:rPr>
          <w:rFonts w:ascii="Arial" w:hAnsi="Arial" w:cs="Arial"/>
          <w:lang w:val="en-US"/>
        </w:rPr>
        <w:t xml:space="preserve">. </w:t>
      </w:r>
      <w:r w:rsidR="00AF4F4F" w:rsidRPr="00CB1C44">
        <w:rPr>
          <w:rFonts w:ascii="Arial" w:hAnsi="Arial" w:cs="Arial"/>
          <w:lang w:val="en-US"/>
        </w:rPr>
        <w:t>The relation</w:t>
      </w:r>
      <w:r w:rsidR="009959FE" w:rsidRPr="00CB1C44">
        <w:rPr>
          <w:rFonts w:ascii="Arial" w:hAnsi="Arial" w:cs="Arial"/>
          <w:lang w:val="en-US"/>
        </w:rPr>
        <w:t>ship</w:t>
      </w:r>
      <w:r w:rsidR="00AF4F4F" w:rsidRPr="00CB1C44">
        <w:rPr>
          <w:rFonts w:ascii="Arial" w:hAnsi="Arial" w:cs="Arial"/>
          <w:lang w:val="en-US"/>
        </w:rPr>
        <w:t xml:space="preserve"> between Keap1, p62 and Nrf2 in AD ha</w:t>
      </w:r>
      <w:r w:rsidR="009959FE" w:rsidRPr="00CB1C44">
        <w:rPr>
          <w:rFonts w:ascii="Arial" w:hAnsi="Arial" w:cs="Arial"/>
          <w:lang w:val="en-US"/>
        </w:rPr>
        <w:t>s</w:t>
      </w:r>
      <w:r w:rsidR="00AF4F4F" w:rsidRPr="00CB1C44">
        <w:rPr>
          <w:rFonts w:ascii="Arial" w:hAnsi="Arial" w:cs="Arial"/>
          <w:lang w:val="en-US"/>
        </w:rPr>
        <w:t xml:space="preserve"> been evidenced in </w:t>
      </w:r>
      <w:r w:rsidR="006A31B4" w:rsidRPr="00CB1C44">
        <w:rPr>
          <w:rFonts w:ascii="Arial" w:hAnsi="Arial" w:cs="Arial"/>
          <w:lang w:val="en-US"/>
        </w:rPr>
        <w:t xml:space="preserve">different </w:t>
      </w:r>
      <w:r w:rsidR="00AF4F4F" w:rsidRPr="00CB1C44">
        <w:rPr>
          <w:rFonts w:ascii="Arial" w:hAnsi="Arial" w:cs="Arial"/>
          <w:lang w:val="en-US"/>
        </w:rPr>
        <w:t>studies</w:t>
      </w:r>
      <w:r w:rsidR="00E1115C" w:rsidRPr="00CB1C44">
        <w:rPr>
          <w:rFonts w:ascii="Arial" w:hAnsi="Arial" w:cs="Arial"/>
          <w:lang w:val="en-US"/>
        </w:rPr>
        <w:t xml:space="preserve"> and suggest that lower levels of p62 protein in AD may be associated with decreased Keap1 degradation and consequent lower Nrf2 activity. </w:t>
      </w:r>
      <w:r w:rsidR="00CB2238" w:rsidRPr="00CB1C44">
        <w:rPr>
          <w:rFonts w:ascii="Arial" w:hAnsi="Arial" w:cs="Arial"/>
          <w:lang w:val="en-US"/>
        </w:rPr>
        <w:t>Thus,</w:t>
      </w:r>
      <w:r w:rsidR="00AF4F4F" w:rsidRPr="00CB1C44">
        <w:rPr>
          <w:rFonts w:ascii="Arial" w:hAnsi="Arial" w:cs="Arial"/>
          <w:lang w:val="en-US"/>
        </w:rPr>
        <w:t xml:space="preserve"> </w:t>
      </w:r>
      <w:proofErr w:type="spellStart"/>
      <w:r w:rsidR="00164C18" w:rsidRPr="00CB1C44">
        <w:rPr>
          <w:rFonts w:ascii="Arial" w:hAnsi="Arial" w:cs="Arial"/>
          <w:lang w:val="en-US"/>
        </w:rPr>
        <w:t>A</w:t>
      </w:r>
      <w:proofErr w:type="spellEnd"/>
      <w:r w:rsidR="00164C18" w:rsidRPr="00CB1C44">
        <w:rPr>
          <w:rFonts w:ascii="Arial" w:hAnsi="Arial" w:cs="Arial"/>
          <w:lang w:val="en-US"/>
        </w:rPr>
        <w:sym w:font="Symbol" w:char="F062"/>
      </w:r>
      <w:r w:rsidR="00164C18" w:rsidRPr="00CB1C44">
        <w:rPr>
          <w:rFonts w:ascii="Arial" w:hAnsi="Arial" w:cs="Arial"/>
          <w:lang w:val="en-US"/>
        </w:rPr>
        <w:t xml:space="preserve"> </w:t>
      </w:r>
      <w:r w:rsidR="00CB2238" w:rsidRPr="00CB1C44">
        <w:rPr>
          <w:rFonts w:ascii="Arial" w:hAnsi="Arial" w:cs="Arial"/>
          <w:lang w:val="en-US"/>
        </w:rPr>
        <w:t>inje</w:t>
      </w:r>
      <w:r w:rsidR="001D2083" w:rsidRPr="00CB1C44">
        <w:rPr>
          <w:rFonts w:ascii="Arial" w:hAnsi="Arial" w:cs="Arial"/>
          <w:lang w:val="en-US"/>
        </w:rPr>
        <w:t>ction into rat hippocampus induced</w:t>
      </w:r>
      <w:r w:rsidR="00CB2238" w:rsidRPr="00CB1C44">
        <w:rPr>
          <w:rFonts w:ascii="Arial" w:hAnsi="Arial" w:cs="Arial"/>
          <w:lang w:val="en-US"/>
        </w:rPr>
        <w:t xml:space="preserve"> increased autophagy proteins</w:t>
      </w:r>
      <w:r w:rsidR="001D2083" w:rsidRPr="00CB1C44">
        <w:rPr>
          <w:rFonts w:ascii="Arial" w:hAnsi="Arial" w:cs="Arial"/>
          <w:lang w:val="en-US"/>
        </w:rPr>
        <w:t>,</w:t>
      </w:r>
      <w:r w:rsidR="00CB2238" w:rsidRPr="00CB1C44">
        <w:rPr>
          <w:rFonts w:ascii="Arial" w:hAnsi="Arial" w:cs="Arial"/>
          <w:lang w:val="en-US"/>
        </w:rPr>
        <w:t xml:space="preserve"> such as LC3-II and beclin1, and</w:t>
      </w:r>
      <w:r w:rsidR="001D2083" w:rsidRPr="00CB1C44">
        <w:rPr>
          <w:rFonts w:ascii="Arial" w:hAnsi="Arial" w:cs="Arial"/>
          <w:lang w:val="en-US"/>
        </w:rPr>
        <w:t xml:space="preserve"> further Keap1,</w:t>
      </w:r>
      <w:r w:rsidR="00FC7A37" w:rsidRPr="00CB1C44">
        <w:rPr>
          <w:rFonts w:ascii="Arial" w:hAnsi="Arial" w:cs="Arial"/>
          <w:lang w:val="en-US"/>
        </w:rPr>
        <w:t xml:space="preserve"> while</w:t>
      </w:r>
      <w:r w:rsidR="00CB2238" w:rsidRPr="00CB1C44">
        <w:rPr>
          <w:rFonts w:ascii="Arial" w:hAnsi="Arial" w:cs="Arial"/>
          <w:lang w:val="en-US"/>
        </w:rPr>
        <w:t xml:space="preserve"> </w:t>
      </w:r>
      <w:r w:rsidR="001D2083" w:rsidRPr="00CB1C44">
        <w:rPr>
          <w:rFonts w:ascii="Arial" w:hAnsi="Arial" w:cs="Arial"/>
          <w:lang w:val="en-US"/>
        </w:rPr>
        <w:t>p62 and Nrf2</w:t>
      </w:r>
      <w:r w:rsidR="00CB2238" w:rsidRPr="00CB1C44">
        <w:rPr>
          <w:rFonts w:ascii="Arial" w:hAnsi="Arial" w:cs="Arial"/>
          <w:lang w:val="en-US"/>
        </w:rPr>
        <w:t xml:space="preserve"> </w:t>
      </w:r>
      <w:r w:rsidR="00FC7A37" w:rsidRPr="00CB1C44">
        <w:rPr>
          <w:rFonts w:ascii="Arial" w:hAnsi="Arial" w:cs="Arial"/>
          <w:lang w:val="en-US"/>
        </w:rPr>
        <w:t>levels were decreased</w:t>
      </w:r>
      <w:r w:rsidR="00CB2238" w:rsidRPr="00CB1C44">
        <w:rPr>
          <w:rFonts w:ascii="Arial" w:hAnsi="Arial" w:cs="Arial"/>
          <w:lang w:val="en-US"/>
        </w:rPr>
        <w:t xml:space="preserve"> in the hippocampus and cortex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{"citationItems":[{"id":"ITEM-1","itemData":{"DOI":"10.3969/j.issn.1673-5374.2012.17.004","ISSN":"1673-5374","PMID":"25657660","abstract":"Tau hyperphosphorylation is a main cause of neuronal loss in Alzheimer's disease, which can be caused by many factors, including oxidative stress. The multifunctional protein p62, which exists in neurofibrillary tangles and causes aggregation of hyperphosphorylated tau, not only serves as a receptor in selective autophagy, but also regulates oxidative stress. However, whether p62 participates in oxidative stress-induced tau hyperphosphorylation remains unclear. In this study, we produced an Alzheimer's disease rat model by injecting β-amyloid protein into the hippocampus and β-galactose intraperitoneally. Hematoxylin-eosin staining was used for morphological analysis of brain tissue, and western blotting, immunohistochemistry and reverse transcription-PCR were employed to study p62 and autophagy related proteins, antioxidant defense system kelch-like ECH-associated protein 1-NF-E2-related factor 2 related proteins and hyperphosphorylated tau, respectively. The number of neurons in the brain decreased in Alzheimer's disease rats, and the autophagy related proteins Atg12-Atg5, microtubule-associated protein 1 light chain 3-phosphatidylethanolamine and Beclin1 increased significantly, while p62 expression reduced. Expression of kelch-like ECH-associated protein 1 increased, NF-E2-related factor 2 protein and the downstream gene products of glutamate cysteine ligase catalytic subunit and glutamate cysteine ligase modulatory subunit decreased, and hyperphosphorylated tau increased. These findings demonstrate that autophagy levels increased and p62 levels decreased in the brains of Alzheimer's disease rats. Moreover, the anti-oxidative capability of the NF-E2-related factor 2-antioxidant response element pathway was decreased, which may be the cause of tau hyperphosphorylation in Alzheimer's disease brain tissue and the subsequent structural and functional damage to neurons.","author":[{"dropping-particle":"","family":"Zheng","given":"Xianhong","non-dropping-particle":"","parse-names":false,"suffix":""},{"dropping-particle":"","family":"Wang","given":"Weiwei","non-dropping-particle":"","parse-names":false,"suffix":""},{"dropping-particle":"","family":"Liu","given":"Ruizhi","non-dropping-particle":"","parse-names":false,"suffix":""},{"dropping-particle":"","family":"Huang","given":"Honglan","non-dropping-particle":"","parse-names":false,"suffix":""},{"dropping-particle":"","family":"Zhang","given":"Rihui","non-dropping-particle":"","parse-names":false,"suffix":""},{"dropping-particle":"","family":"Sun","given":"Liankun","non-dropping-particle":"","parse-names":false,"suffix":""}],"container-title":"Neural regeneration research","id":"ITEM-1","issue":"17","issued":{"date-parts":[["2012","6","15"]]},"page":"1304-11","title":"Effect of p62 on tau hyperphosphorylation in a rat model of Alzheimer's disease.","type":"article-journal","volume":"7"},"uris":["http://www.mendeley.com/documents/?uuid=7b9bc81d-ffd6-461b-a663-1b51059bcd8b"]}],"mendeley":{"formattedCitation":"(Zheng et al., 2012)","plainTextFormattedCitation":"(Zheng et al., 2012)","previouslyFormattedCitation":"(Zheng et al., 2012)"},"properties":{"noteIndex":0},"schema":"https://github.com/citation-style-language/schema/raw/master/csl-citation.json"}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(Zheng et al., 2012)</w:t>
      </w:r>
      <w:r w:rsidR="00844011" w:rsidRPr="00CB1C44">
        <w:rPr>
          <w:rFonts w:ascii="Arial" w:hAnsi="Arial" w:cs="Arial"/>
          <w:lang w:val="en-US"/>
        </w:rPr>
        <w:fldChar w:fldCharType="end"/>
      </w:r>
      <w:r w:rsidR="00CB2238" w:rsidRPr="00CB1C44">
        <w:rPr>
          <w:rFonts w:ascii="Arial" w:hAnsi="Arial" w:cs="Arial"/>
          <w:lang w:val="en-US"/>
        </w:rPr>
        <w:t xml:space="preserve">. </w:t>
      </w:r>
      <w:r w:rsidR="00D36E33" w:rsidRPr="00CB1C44">
        <w:rPr>
          <w:rFonts w:ascii="Arial" w:hAnsi="Arial" w:cs="Arial"/>
          <w:lang w:val="en-US"/>
        </w:rPr>
        <w:t xml:space="preserve">Moreover, </w:t>
      </w:r>
      <w:r w:rsidR="008271F5" w:rsidRPr="00CB1C44">
        <w:rPr>
          <w:rFonts w:ascii="Arial" w:hAnsi="Arial" w:cs="Arial"/>
          <w:lang w:val="en-US"/>
        </w:rPr>
        <w:t>in the frontal cortex of AD patients</w:t>
      </w:r>
      <w:r w:rsidR="0031551D" w:rsidRPr="00CB1C44">
        <w:rPr>
          <w:rFonts w:ascii="Arial" w:hAnsi="Arial" w:cs="Arial"/>
          <w:lang w:val="en-US"/>
        </w:rPr>
        <w:t>,</w:t>
      </w:r>
      <w:r w:rsidR="008271F5" w:rsidRPr="00CB1C44">
        <w:rPr>
          <w:rFonts w:ascii="Arial" w:hAnsi="Arial" w:cs="Arial"/>
          <w:lang w:val="en-US"/>
        </w:rPr>
        <w:t xml:space="preserve"> </w:t>
      </w:r>
      <w:r w:rsidR="00CB2238" w:rsidRPr="00CB1C44">
        <w:rPr>
          <w:rFonts w:ascii="Arial" w:hAnsi="Arial" w:cs="Arial"/>
          <w:lang w:val="en-US"/>
        </w:rPr>
        <w:t xml:space="preserve">p62 </w:t>
      </w:r>
      <w:r w:rsidR="009959FE" w:rsidRPr="00CB1C44">
        <w:rPr>
          <w:rFonts w:ascii="Arial" w:hAnsi="Arial" w:cs="Arial"/>
          <w:lang w:val="en-US"/>
        </w:rPr>
        <w:t xml:space="preserve">levels </w:t>
      </w:r>
      <w:r w:rsidR="008271F5" w:rsidRPr="00CB1C44">
        <w:rPr>
          <w:rFonts w:ascii="Arial" w:hAnsi="Arial" w:cs="Arial"/>
          <w:lang w:val="en-US"/>
        </w:rPr>
        <w:t>were also decrease</w:t>
      </w:r>
      <w:r w:rsidR="0074773F" w:rsidRPr="00CB1C44">
        <w:rPr>
          <w:rFonts w:ascii="Arial" w:hAnsi="Arial" w:cs="Arial"/>
          <w:lang w:val="en-US"/>
        </w:rPr>
        <w:t xml:space="preserve">d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{"citationItems":[{"id":"ITEM-1","itemData":{"DOI":"10.1016/j.freeradbiomed.2008.11.003","ISBN":"1873-4596 (Electronic)\\n0891-5849 (Linking)","ISSN":"08915849","PMID":"19071211","abstract":"The absence of the p62 gene in mouse brain leads to biochemical and cognitive deficits that resemble Alzheimer disease (AD). In this context, the objective of this study was to examine the relationship between age-induced oxidative damage to the p62 promoter and AD. Increased 8-OHdG staining, a marker of oxidative stress, was observed in brain sections from mice deficient in the p62 gene compared to control. Treatment of MEF cells deficient in p62 with H2O2 resulted in decreased cell survival and an absence of Nrf2 nuclear translocation. The mouse p62 promoter exhibited elevated oxidative damage with increasing age, and the degree of p62 promoter damage was also age-correlated in human brain samples. In human subjects, the expression of p62 was decreased in AD brain relative to age-matched controls, and likewise decreased p62 expression correlated with oxidative damage to the promoter. Treatment of HEK cells with H2O2 resulted in decreased p62 expression concomitant with increased promoter damage. Consistent with these findings, a transgenic AD mouse model also exhibited increased p62 promoter damage and reduced p62 levels in brain. Altogether, our results reveal that oxidative damage to the p62 promoter correlates with decreased expression of p62 and may contribute to age-associated neurodegenerative disease such as AD and others. ?? 2008 Elsevier Inc. All rights reserved.","author":[{"dropping-particle":"","family":"Du","given":"Yifeng","non-dropping-particle":"","parse-names":false,"suffix":""},{"dropping-particle":"","family":"Wooten","given":"Michael C.","non-dropping-particle":"","parse-names":false,"suffix":""},{"dropping-particle":"","family":"Gearing","given":"Marla","non-dropping-particle":"","parse-names":false,"suffix":""},{"dropping-particle":"","family":"Wooten","given":"Marie W.","non-dropping-particle":"","parse-names":false,"suffix":""}],"container-title":"Free Radical Biology and Medicine","id":"ITEM-1","issue":"4","issued":{"date-parts":[["2009"]]},"page":"492-501","title":"Age-associated oxidative damage to the p62 promoter: implications for Alzheimer disease","type":"article-journal","volume":"46"},"uris":["http://www.mendeley.com/documents/?uuid=31e67213-32cb-4b78-9d5a-23f333b3e0b1"]}],"mendeley":{"formattedCitation":"(Du et al., 2009a)","plainTextFormattedCitation":"(Du et al., 2009a)","previouslyFormattedCitation":"(Du et al., 2009a)"},"properties":{"noteIndex":0},"schema":"https://github.com/citation-style-language/schema/raw/master/csl-citation.json"}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(Du et al., 2009a)</w:t>
      </w:r>
      <w:r w:rsidR="00844011" w:rsidRPr="00CB1C44">
        <w:rPr>
          <w:rFonts w:ascii="Arial" w:hAnsi="Arial" w:cs="Arial"/>
          <w:lang w:val="en-US"/>
        </w:rPr>
        <w:fldChar w:fldCharType="end"/>
      </w:r>
      <w:r w:rsidR="00CB2238" w:rsidRPr="00CB1C44">
        <w:rPr>
          <w:rFonts w:ascii="Arial" w:hAnsi="Arial" w:cs="Arial"/>
          <w:lang w:val="en-US"/>
        </w:rPr>
        <w:t>.</w:t>
      </w:r>
      <w:r w:rsidR="00F53ED5" w:rsidRPr="00CB1C44">
        <w:rPr>
          <w:rFonts w:ascii="Arial" w:hAnsi="Arial" w:cs="Arial"/>
          <w:lang w:val="en-US"/>
        </w:rPr>
        <w:t xml:space="preserve"> </w:t>
      </w:r>
      <w:r w:rsidR="00CD4CFE" w:rsidRPr="00CB1C44">
        <w:rPr>
          <w:rFonts w:ascii="Arial" w:hAnsi="Arial" w:cs="Arial"/>
          <w:lang w:val="en-US"/>
        </w:rPr>
        <w:t xml:space="preserve">In contrast, </w:t>
      </w:r>
      <w:r w:rsidR="00CB2238" w:rsidRPr="00CB1C44">
        <w:rPr>
          <w:rFonts w:ascii="Arial" w:hAnsi="Arial" w:cs="Arial"/>
          <w:lang w:val="en-US"/>
        </w:rPr>
        <w:t xml:space="preserve">mRNA and protein levels of p62 </w:t>
      </w:r>
      <w:r w:rsidR="009959FE" w:rsidRPr="00CB1C44">
        <w:rPr>
          <w:rFonts w:ascii="Arial" w:hAnsi="Arial" w:cs="Arial"/>
          <w:lang w:val="en-US"/>
        </w:rPr>
        <w:t xml:space="preserve">as well as Nrf2 target genes </w:t>
      </w:r>
      <w:r w:rsidR="00CB2238" w:rsidRPr="00CB1C44">
        <w:rPr>
          <w:rFonts w:ascii="Arial" w:hAnsi="Arial" w:cs="Arial"/>
          <w:lang w:val="en-US"/>
        </w:rPr>
        <w:t xml:space="preserve">were shown to be </w:t>
      </w:r>
      <w:r w:rsidR="001C40BF" w:rsidRPr="00CB1C44">
        <w:rPr>
          <w:rFonts w:ascii="Arial" w:hAnsi="Arial" w:cs="Arial"/>
          <w:lang w:val="en-US"/>
        </w:rPr>
        <w:t>increased</w:t>
      </w:r>
      <w:r w:rsidR="00CB2238" w:rsidRPr="00CB1C44">
        <w:rPr>
          <w:rFonts w:ascii="Arial" w:hAnsi="Arial" w:cs="Arial"/>
          <w:lang w:val="en-US"/>
        </w:rPr>
        <w:t xml:space="preserve"> in </w:t>
      </w:r>
      <w:r w:rsidR="004A3D19" w:rsidRPr="00CB1C44">
        <w:rPr>
          <w:rFonts w:ascii="Arial" w:hAnsi="Arial" w:cs="Arial"/>
          <w:lang w:val="en-US"/>
        </w:rPr>
        <w:t xml:space="preserve">the cortex of </w:t>
      </w:r>
      <w:r w:rsidR="00CB2238" w:rsidRPr="00CB1C44">
        <w:rPr>
          <w:rFonts w:ascii="Arial" w:hAnsi="Arial" w:cs="Arial"/>
          <w:lang w:val="en-US"/>
        </w:rPr>
        <w:t xml:space="preserve">AD brains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{"citationItems":[{"id":"ITEM-1","itemData":{"DOI":"10.1097/NEN.0b013e31827b5713","ISBN":"0022-3069","ISSN":"0022-3069","PMID":"23242280","abstract":"Oxidative stress has been proposed as a potential mechanism for neurodegenerative diseases, such as Alzheimer disease (AD), Parkinson disease (PD), and amyotrophic lateral sclerosis (ALS). In response to oxidative stress, the levels of numerous cytoprotective products are increased via alteration of the Kelch-like ECH-associated protein 1 (Keap1) and NF-E2-related factor 2 (Nrf2) system. One of the Nrf2 targets, p62, has been known to be incorporated into a wide spectrum of cytoplasmic inclusions in neurodegenerative diseases and interact with Keap1. However, it remains unclear whether Keap1 is associated with the pathogenesis of neurodegenerative diseases. In this study, we investigated the relationship between p62 and Keap1 in the brains of patients with AD, PD, dementia with Lewy bodies (DLB), and ALS. Biochemical analyses showed that p62 and Keap1 interacted with each other in AD and DLB brains and were extracted into similar detergent-soluble and -insoluble fractions. Pathologic examination demonstrated that anti-Keap1 antibodies immunostained Lewy bodies in PD and DLB, neurofibrillary tangles in AD, and skeinlike inclusions in ALS. Further analysis showed that the levels of common Nrf2 target genes were increased in AD compared with those in controls. However, there were no statistical significances in the levels of Nrf2 target genes in DLB relative to controls. Our pathologic and biochemical results suggest a molecular basis for stress response to be involved in the formation of cytoplasmic inclusions observed in several neurodegenerative diseases.","author":[{"dropping-particle":"","family":"Tanji","given":"Kunikazu","non-dropping-particle":"","parse-names":false,"suffix":""},{"dropping-particle":"","family":"Maruyama","given":"Atsushi","non-dropping-particle":"","parse-names":false,"suffix":""},{"dropping-particle":"","family":"Odagiri","given":"Saori","non-dropping-particle":"","parse-names":false,"suffix":""},{"dropping-particle":"","family":"Mori","given":"Fumiaki","non-dropping-particle":"","parse-names":false,"suffix":""},{"dropping-particle":"","family":"Itoh","given":"Ken","non-dropping-particle":"","parse-names":false,"suffix":""},{"dropping-particle":"","family":"Kakita","given":"Akiyoshi","non-dropping-particle":"","parse-names":false,"suffix":""},{"dropping-particle":"","family":"Takahashi","given":"Hitoshi","non-dropping-particle":"","parse-names":false,"suffix":""},{"dropping-particle":"","family":"Wakabayashi","given":"Koichi","non-dropping-particle":"","parse-names":false,"suffix":""}],"container-title":"Journal of Neuropathology &amp; Experimental Neurology","id":"ITEM-1","issue":"1","issued":{"date-parts":[["2013","1","1"]]},"page":"18-28","title":"Keap1 Is Localized in Neuronal and Glial Cytoplasmic Inclusions in Various Neurodegenerative Diseases","type":"article-journal","volume":"72"},"uris":["http://www.mendeley.com/documents/?uuid=c1a4663d-34f8-4d52-837d-44b81d34639b"]}],"mendeley":{"formattedCitation":"(Tanji et al., 2013)","plainTextFormattedCitation":"(Tanji et al., 2013)","previouslyFormattedCitation":"(Tanji et al., 2013)"},"properties":{"noteIndex":0},"schema":"https://github.com/citation-style-language/schema/raw/master/csl-citation.json"}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(Tanji et al., 2013)</w:t>
      </w:r>
      <w:r w:rsidR="00844011" w:rsidRPr="00CB1C44">
        <w:rPr>
          <w:rFonts w:ascii="Arial" w:hAnsi="Arial" w:cs="Arial"/>
          <w:lang w:val="en-US"/>
        </w:rPr>
        <w:fldChar w:fldCharType="end"/>
      </w:r>
      <w:r w:rsidR="00CB2238" w:rsidRPr="00CB1C44">
        <w:rPr>
          <w:rFonts w:ascii="Arial" w:hAnsi="Arial" w:cs="Arial"/>
          <w:lang w:val="en-US"/>
        </w:rPr>
        <w:t>.</w:t>
      </w:r>
      <w:r w:rsidR="0074773F" w:rsidRPr="00CB1C44">
        <w:rPr>
          <w:rFonts w:ascii="Arial" w:hAnsi="Arial" w:cs="Arial"/>
          <w:lang w:val="en-US"/>
        </w:rPr>
        <w:t xml:space="preserve"> Contradictory results may be explain</w:t>
      </w:r>
      <w:r w:rsidR="00D36E33" w:rsidRPr="00CB1C44">
        <w:rPr>
          <w:rFonts w:ascii="Arial" w:hAnsi="Arial" w:cs="Arial"/>
          <w:lang w:val="en-US"/>
        </w:rPr>
        <w:t>ed</w:t>
      </w:r>
      <w:r w:rsidR="0074773F" w:rsidRPr="00CB1C44">
        <w:rPr>
          <w:rFonts w:ascii="Arial" w:hAnsi="Arial" w:cs="Arial"/>
          <w:lang w:val="en-US"/>
        </w:rPr>
        <w:t xml:space="preserve"> by the different </w:t>
      </w:r>
      <w:r w:rsidR="001C40BF" w:rsidRPr="00CB1C44">
        <w:rPr>
          <w:rFonts w:ascii="Arial" w:hAnsi="Arial" w:cs="Arial"/>
          <w:lang w:val="en-US"/>
        </w:rPr>
        <w:t>AD stages</w:t>
      </w:r>
      <w:r w:rsidR="0074773F" w:rsidRPr="00CB1C44">
        <w:rPr>
          <w:rFonts w:ascii="Arial" w:hAnsi="Arial" w:cs="Arial"/>
          <w:lang w:val="en-US"/>
        </w:rPr>
        <w:t xml:space="preserve"> </w:t>
      </w:r>
      <w:r w:rsidR="00AF0313" w:rsidRPr="00CB1C44">
        <w:rPr>
          <w:rFonts w:ascii="Arial" w:hAnsi="Arial" w:cs="Arial"/>
          <w:lang w:val="en-US"/>
        </w:rPr>
        <w:t>at which the</w:t>
      </w:r>
      <w:r w:rsidR="0074773F" w:rsidRPr="00CB1C44">
        <w:rPr>
          <w:rFonts w:ascii="Arial" w:hAnsi="Arial" w:cs="Arial"/>
          <w:lang w:val="en-US"/>
        </w:rPr>
        <w:t xml:space="preserve"> analysis </w:t>
      </w:r>
      <w:r w:rsidR="00AF0313" w:rsidRPr="00CB1C44">
        <w:rPr>
          <w:rFonts w:ascii="Arial" w:hAnsi="Arial" w:cs="Arial"/>
          <w:lang w:val="en-US"/>
        </w:rPr>
        <w:t>was</w:t>
      </w:r>
      <w:r w:rsidR="0074773F" w:rsidRPr="00CB1C44">
        <w:rPr>
          <w:rFonts w:ascii="Arial" w:hAnsi="Arial" w:cs="Arial"/>
          <w:lang w:val="en-US"/>
        </w:rPr>
        <w:t xml:space="preserve"> done. </w:t>
      </w:r>
    </w:p>
    <w:p w14:paraId="41807ECC" w14:textId="5BEEDC2F" w:rsidR="0010203E" w:rsidRPr="00CB1C44" w:rsidRDefault="007C4756" w:rsidP="004038B5">
      <w:pPr>
        <w:spacing w:after="0" w:line="360" w:lineRule="auto"/>
        <w:jc w:val="both"/>
        <w:rPr>
          <w:rFonts w:ascii="Arial" w:hAnsi="Arial" w:cs="Arial"/>
          <w:lang w:val="en-US"/>
        </w:rPr>
      </w:pPr>
      <w:r w:rsidRPr="00CB1C44">
        <w:rPr>
          <w:rFonts w:ascii="Arial" w:hAnsi="Arial" w:cs="Arial"/>
          <w:lang w:val="en-US"/>
        </w:rPr>
        <w:t xml:space="preserve">PKC </w:t>
      </w:r>
      <w:r w:rsidR="00730E0E" w:rsidRPr="00CB1C44">
        <w:rPr>
          <w:rFonts w:ascii="Arial" w:hAnsi="Arial" w:cs="Arial"/>
          <w:lang w:val="en-US"/>
        </w:rPr>
        <w:t>can</w:t>
      </w:r>
      <w:r w:rsidRPr="00CB1C44">
        <w:rPr>
          <w:rFonts w:ascii="Arial" w:hAnsi="Arial" w:cs="Arial"/>
          <w:lang w:val="en-US"/>
        </w:rPr>
        <w:t xml:space="preserve"> phosphorylate Nrf2, favoring its dissociation from Keap1 and consequent nuclear migration. </w:t>
      </w:r>
      <w:r w:rsidR="007067EF" w:rsidRPr="00CB1C44">
        <w:rPr>
          <w:rFonts w:ascii="Arial" w:hAnsi="Arial" w:cs="Arial"/>
          <w:lang w:val="en-US"/>
        </w:rPr>
        <w:t xml:space="preserve">In AD context, some </w:t>
      </w:r>
      <w:r w:rsidR="008F3BA7" w:rsidRPr="00CB1C44">
        <w:rPr>
          <w:rFonts w:ascii="Arial" w:hAnsi="Arial" w:cs="Arial"/>
          <w:lang w:val="en-US"/>
        </w:rPr>
        <w:t>s</w:t>
      </w:r>
      <w:r w:rsidR="0064164E" w:rsidRPr="00CB1C44">
        <w:rPr>
          <w:rFonts w:ascii="Arial" w:hAnsi="Arial" w:cs="Arial"/>
          <w:lang w:val="en-US"/>
        </w:rPr>
        <w:t>tudies already evidenced</w:t>
      </w:r>
      <w:r w:rsidR="001A2A8E" w:rsidRPr="00CB1C44">
        <w:rPr>
          <w:rFonts w:ascii="Arial" w:hAnsi="Arial" w:cs="Arial"/>
          <w:lang w:val="en-US"/>
        </w:rPr>
        <w:t xml:space="preserve"> </w:t>
      </w:r>
      <w:r w:rsidR="00227DDD" w:rsidRPr="00CB1C44">
        <w:rPr>
          <w:rFonts w:ascii="Arial" w:hAnsi="Arial" w:cs="Arial"/>
          <w:lang w:val="en-US"/>
        </w:rPr>
        <w:t>a</w:t>
      </w:r>
      <w:r w:rsidR="0064164E" w:rsidRPr="00CB1C44">
        <w:rPr>
          <w:rFonts w:ascii="Arial" w:hAnsi="Arial" w:cs="Arial"/>
          <w:lang w:val="en-US"/>
        </w:rPr>
        <w:t xml:space="preserve"> positive effect </w:t>
      </w:r>
      <w:r w:rsidR="00227DDD" w:rsidRPr="00CB1C44">
        <w:rPr>
          <w:rFonts w:ascii="Arial" w:hAnsi="Arial" w:cs="Arial"/>
          <w:lang w:val="en-US"/>
        </w:rPr>
        <w:t>of</w:t>
      </w:r>
      <w:r w:rsidR="00227DDD" w:rsidRPr="00CB1C44" w:rsidDel="0064164E">
        <w:rPr>
          <w:rFonts w:ascii="Arial" w:hAnsi="Arial" w:cs="Arial"/>
          <w:lang w:val="en-US"/>
        </w:rPr>
        <w:t xml:space="preserve"> </w:t>
      </w:r>
      <w:r w:rsidR="00227DDD" w:rsidRPr="00CB1C44">
        <w:rPr>
          <w:rFonts w:ascii="Arial" w:hAnsi="Arial" w:cs="Arial"/>
          <w:lang w:val="en-US"/>
        </w:rPr>
        <w:t xml:space="preserve">PKC activation </w:t>
      </w:r>
      <w:r w:rsidR="0064164E" w:rsidRPr="00CB1C44">
        <w:rPr>
          <w:rFonts w:ascii="Arial" w:hAnsi="Arial" w:cs="Arial"/>
          <w:lang w:val="en-US"/>
        </w:rPr>
        <w:t>on amyloid pathology</w:t>
      </w:r>
      <w:r w:rsidR="00B25DB6" w:rsidRPr="00CB1C44">
        <w:rPr>
          <w:rFonts w:ascii="Arial" w:hAnsi="Arial" w:cs="Arial"/>
          <w:lang w:val="en-US"/>
        </w:rPr>
        <w:t xml:space="preserve"> </w:t>
      </w:r>
      <w:r w:rsidR="00B25DB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{"citationItems":[{"id":"ITEM-1","itemData":{"DOI":"10.1073/pnas.0403921101","ISBN":"0027-8424; 0027-8424","ISSN":"0027-8424","abstract":"Alzheimer's disease (AD) characteristically presents with early memory loss. Regulation of K(+) channels, calcium homeostasis, and protein kinase C (PKC) activation are molecular events that have been implicated during associative memory which are also altered or defective in AD. PKC is also involved in the processing of the amyloid precursor protein (APP), a central element in AD pathophysiology. In previous studies, we demonstrated that benzolactam (BL), a novel PKC activator, reversed K(+) channels defects and enhanced secretion of APP alpha in AD cells. In this study we present data showing that another PKC activator, bryostatin 1, at subnanomolar concentrations dramatically enhances the secretion of the alpha-secretase product sAPP alpha in fibroblasts from AD patients. We also show that BL significantly increased the amount of sAPP alpha and reduced A beta 40 in the brains of APP[V717I] transgenic mice. In a more recently developed AD double-transgenic mouse, bryostatin was effective in reducing both brain A beta 40 and A beta 42. In addition, bryostatin ameliorated the rate of premature death and improved behavioral outcomes. Collectively, these data corroborate PKC and its activation as a potentially important means of ameliorating AD pathophysiology and perhaps cognitive impairment, thus offering a promising target for drug development. Because bryostatin 1 is devoid of tumor-promoting activity and is undergoing numerous clinical studies for cancer treatment in humans, it might be readily tested in patients as a potential therapeutic agent for Alzheimer's disease.","author":[{"dropping-particle":"","family":"Etcheberrigaray","given":"R","non-dropping-particle":"","parse-names":false,"suffix":""},{"dropping-particle":"","family":"Tan","given":"M","non-dropping-particle":"","parse-names":false,"suffix":""},{"dropping-particle":"","family":"Dewachter","given":"I","non-dropping-particle":"","parse-names":false,"suffix":""},{"dropping-particle":"","family":"Kuiperi","given":"C","non-dropping-particle":"","parse-names":false,"suffix":""},{"dropping-particle":"Van","family":"Auwera","given":"I","non-dropping-particle":"der","parse-names":false,"suffix":""},{"dropping-particle":"","family":"Wera","given":"S","non-dropping-particle":"","parse-names":false,"suffix":""},{"dropping-particle":"","family":"Qiao","given":"L","non-dropping-particle":"","parse-names":false,"suffix":""},{"dropping-particle":"","family":"Bank","given":"B","non-dropping-particle":"","parse-names":false,"suffix":""},{"dropping-particle":"","family":"Nelson","given":"T J","non-dropping-particle":"","parse-names":false,"suffix":""},{"dropping-particle":"","family":"Kozikowski","given":"A P","non-dropping-particle":"","parse-names":false,"suffix":""},{"dropping-particle":"Van","family":"Leuven","given":"F","non-dropping-particle":"","parse-names":false,"suffix":""},{"dropping-particle":"","family":"Alkon","given":"D L","non-dropping-particle":"","parse-names":false,"suffix":""}],"container-title":"Proceedings of the National Academy of Sciences of the United States of America","id":"ITEM-1","issue":"30","issued":{"date-parts":[["2004"]]},"page":"11141-11146","title":"Therapeutic effects of PKC activators in Alzheimer's disease transgenic mice","type":"article-journal","volume":"101"},"uris":["http://www.mendeley.com/documents/?uuid=bc60578a-92ed-4ed8-a393-1a817de3e2cb"]},{"id":"ITEM-2","itemData":{"DOI":"10.1096/fj.02-0327fje","ISBN":"1530-6860 (Electronic)","ISSN":"15306860","PMID":"12397090","abstract":"Current evidence supports the notion that the amyloid beta-peptide (Abeta) plays a major role in the neurotoxicity observed in the brain in Alzheimer's disease. However, the signal transduction mechanisms involved still remain unknown. In the present work, we analyzed the effect of protein kinase C (PKC) on some members of the Wnt signaling pathway and its implications for Abeta neurotoxicity. Activation of PKC by phorbol 12-myristate 13-acetate protected rat hippocampal neurons from Abeta toxicity. This effect was accomplished by inhibition of glycogen synthase kinase-3beta (GSK-3beta) activity, which led to the accumulation of cytoplasmic beta-catenin and transcriptional activation via beta-catenin/T-cell factor/lymphoid enhancer factor-1 (TCF/LEF-1) of Wnt target genes, which in the present study were engrailed-1 (en-1) and cyclin D1 (cycD1,). In contrast, inhibition of Ca2+-dependent PKC isoforms activated GSK-3beta and offered no protection from Ab neurotoxicity. Wnt-3a and lithium salts, classical activators of the Wnt pathway, mimicked PKC activation. Our results suggest that regulation of members of the Wnt signaling pathway by Ca2+-dependent PKC isoforms may be important in controlling the neurotoxic process induced by Ab.","author":[{"dropping-particle":"","family":"Garrido","given":"José L.","non-dropping-particle":"","parse-names":false,"suffix":""},{"dropping-particle":"","family":"Godoy","given":"Juan A.","non-dropping-particle":"","parse-names":false,"suffix":""},{"dropping-particle":"","family":"Alvarez","given":"Alejandra","non-dropping-particle":"","parse-names":false,"suffix":""},{"dropping-particle":"","family":"Bronfman","given":"Miguel","non-dropping-particle":"","parse-names":false,"suffix":""},{"dropping-particle":"","family":"Inestrosa","given":"Nibaldo C.","non-dropping-particle":"","parse-names":false,"suffix":""}],"container-title":"The FASEB journal : official publication of the Federation of American Societies for Experimental Biology","id":"ITEM-2","issue":"14","issued":{"date-parts":[["2002"]]},"page":"1982-1984","title":"Protein kinase C inhibits amyloid beta peptide neurotoxicity by acting on members of the Wnt pathway.","type":"article-journal","volume":"16"},"uris":["http://www.mendeley.com/documents/?uuid=6552d6f2-f01b-4d42-911c-c8858b7ae3e1"]},{"id":"ITEM-3","itemData":{"DOI":"10.1038/sj.bjp.0705688","ISSN":"0007-1188","PMID":"15028639","abstract":"1. Resveratrol, an active ingredient of red wine extracts, has been shown to exhibit neuroprotective effects in several experimental models. 2. The present study evaluated the neuroprotective effects of resveratrol against amyloid beta(Abeta)-induced toxicity in cultured rat hippocampal cells and examined the role of the protein kinase C (PKC) pathway in this effect. 3. Pre-, co- and post-treatment with resveratrol significantly attenuated Abeta-induced cell death in a concentration-dependent manner, with a concentration of 25 microm being maximally effective. 4. Pretreatment (1 h) of hippocampal cells with phorbol-12-myristate-13-acetate, a PKC activator, at increasing concentrations (1-100 ng x ml(-1)), resulted in a dose-dependent reduction in Abeta-induced toxicity, whereas the inactive 4alpha-phorbol had no effect. 5. Pretreatment (30 min) of hippocampal cells with GF 109203X (1 microm), a general PKC inhibitor, significantly attenuated the neuroprotective effect of resveratrol against Abeta-induced cell death. 6. Treatment of hippocampal cells with resveratrol (20 microm) also induced the phosphorylation of various isoforms of PKC leading to activation. 7. Taken together, the present results indicate that PKC is involved in the neuroprotective action of resveratrol against Abeta-induced toxicity.","author":[{"dropping-particle":"","family":"Han","given":"Ying-Shan","non-dropping-particle":"","parse-names":false,"suffix":""},{"dropping-particle":"","family":"Zheng","given":"Wen-Hua","non-dropping-particle":"","parse-names":false,"suffix":""},{"dropping-particle":"","family":"Bastianetto","given":"Stéphane","non-dropping-particle":"","parse-names":false,"suffix":""},{"dropping-particle":"","family":"Chabot","given":"Jean-Guy","non-dropping-particle":"","parse-names":false,"suffix":""},{"dropping-particle":"","family":"Quirion","given":"Rémi","non-dropping-particle":"","parse-names":false,"suffix":""}],"container-title":"British journal of pharmacology","id":"ITEM-3","issue":"6","issued":{"date-parts":[["2004"]]},"page":"997-1005","title":"Neuroprotective effects of resveratrol against beta-amyloid-induced neurotoxicity in rat hippocampal neurons: involvement of protein kinase C.","type":"article-journal","volume":"141"},"uris":["http://www.mendeley.com/documents/?uuid=d051fd3b-6949-484b-9426-f3277b725a66"]}],"mendeley":{"formattedCitation":"(Etcheberrigaray et al., 2004; Garrido et al., 2002; Han et al., 2004)","plainTextFormattedCitation":"(Etcheberrigaray et al., 2004; Garrido et al., 2002; Han et al., 2004)","previouslyFormattedCitation":"(Etcheberrigaray et al., 2004; Garrido et al., 2002; Han et al., 2004)"},"properties":{"noteIndex":0},"schema":"https://github.com/citation-style-language/schema/raw/master/csl-citation.json"}</w:instrText>
      </w:r>
      <w:r w:rsidR="00B25DB6" w:rsidRPr="00CB1C44">
        <w:rPr>
          <w:rFonts w:ascii="Arial" w:hAnsi="Arial" w:cs="Arial"/>
          <w:lang w:val="en-US"/>
        </w:rPr>
        <w:fldChar w:fldCharType="separate"/>
      </w:r>
      <w:r w:rsidR="00DD645C" w:rsidRPr="00CB1C44">
        <w:rPr>
          <w:rFonts w:ascii="Arial" w:hAnsi="Arial" w:cs="Arial"/>
          <w:noProof/>
          <w:lang w:val="es-ES_tradnl"/>
        </w:rPr>
        <w:t>(Etcheberrigaray et al., 2004; Garrido et al., 2002; Han et al., 2004)</w:t>
      </w:r>
      <w:r w:rsidR="00B25DB6" w:rsidRPr="00CB1C44">
        <w:rPr>
          <w:rFonts w:ascii="Arial" w:hAnsi="Arial" w:cs="Arial"/>
          <w:lang w:val="en-US"/>
        </w:rPr>
        <w:fldChar w:fldCharType="end"/>
      </w:r>
      <w:r w:rsidR="0064164E" w:rsidRPr="00CB1C44">
        <w:rPr>
          <w:rFonts w:ascii="Arial" w:hAnsi="Arial" w:cs="Arial"/>
          <w:lang w:val="en-US"/>
        </w:rPr>
        <w:t xml:space="preserve"> </w:t>
      </w:r>
      <w:r w:rsidR="00B25DB6" w:rsidRPr="00CB1C44">
        <w:rPr>
          <w:rFonts w:ascii="Arial" w:hAnsi="Arial" w:cs="Arial"/>
          <w:lang w:val="en-US"/>
        </w:rPr>
        <w:t xml:space="preserve">and tau pathology </w:t>
      </w:r>
      <w:r w:rsidR="00B25DB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{"citationItems":[{"id":"ITEM-1","itemData":{"DOI":"10.1006/bbrc.2000.2926","ISSN":"0006-291X","PMID":"10873588","abstract":"We analyzed the effects of PKNalpha and protein kinase C (PKC) on phosphorylation of tau protein by glycogen synthase kinase (GSK)-3beta using monoclonal antibodies (AT8, AT180, and AT270). These antibodies are highly specific for phosphorylated tau in Alzheimer paired helical filaments, and recognize phosphorylated Ser202/Thr205, Thr231, and Thr181 of tau protein, respectively. Immunoblot analysis demonstrated that PKNalpha and PKC did not directly phosphorylate their sites, whereas GSK-3beta efficiently did so. Incubating GSK-3beta with PKNalpha or PKC subtypes inhibited subsequent GSK-3beta-induced AT8 and AT270 immunoreactivity. However, the constitutive active form of the GSK-3beta(S9A) mutant was almost totally inert to each enzyme. Incubating tau with PKNalpha increased the GSK-3beta-induced AT180 immunoreactivity, which was further enhanced when the S9A mutant was used instead of the wild type GSK-3beta. These results suggest that PKNalpha and PKC directly inhibit GSK-3beta activity at least in part by phosphorylating Ser9 of GSK-3beta, and that they indirectly suppress GSK-3beta-stimulated phosphorylation of tau at amino acids Ser202/Thr205 and Thr181, but enhanced phosphorylation at Thr231 through phosphorylation at other sites of tau.","author":[{"dropping-particle":"","family":"Isagawa","given":"T","non-dropping-particle":"","parse-names":false,"suffix":""},{"dropping-particle":"","family":"Mukai","given":"H","non-dropping-particle":"","parse-names":false,"suffix":""},{"dropping-particle":"","family":"Oishi","given":"K","non-dropping-particle":"","parse-names":false,"suffix":""},{"dropping-particle":"","family":"Taniguchi","given":"T","non-dropping-particle":"","parse-names":false,"suffix":""},{"dropping-particle":"","family":"Hasegawa","given":"H","non-dropping-particle":"","parse-names":false,"suffix":""},{"dropping-particle":"","family":"Kawamata","given":"T","non-dropping-particle":"","parse-names":false,"suffix":""},{"dropping-particle":"","family":"Tanaka","given":"C","non-dropping-particle":"","parse-names":false,"suffix":""},{"dropping-particle":"","family":"Ono","given":"Y","non-dropping-particle":"","parse-names":false,"suffix":""}],"container-title":"Biochemical and biophysical research communications","id":"ITEM-1","issue":"1","issued":{"date-parts":[["2000"]]},"page":"209-12","title":"Dual effects of PKNalpha and protein kinase C on phosphorylation of tau protein by glycogen synthase kinase-3beta.","type":"article-journal","volume":"273"},"uris":["http://www.mendeley.com/documents/?uuid=4d575971-7a01-4615-ac88-9f9215bc0db7"]}],"mendeley":{"formattedCitation":"(Isagawa et al., 2000)","plainTextFormattedCitation":"(Isagawa et al., 2000)","previouslyFormattedCitation":"(Isagawa et al., 2000)"},"properties":{"noteIndex":0},"schema":"https://github.com/citation-style-language/schema/raw/master/csl-citation.json"}</w:instrText>
      </w:r>
      <w:r w:rsidR="00B25DB6" w:rsidRPr="00CB1C44">
        <w:rPr>
          <w:rFonts w:ascii="Arial" w:hAnsi="Arial" w:cs="Arial"/>
          <w:lang w:val="en-US"/>
        </w:rPr>
        <w:fldChar w:fldCharType="separate"/>
      </w:r>
      <w:r w:rsidR="00DD645C" w:rsidRPr="00CB1C44">
        <w:rPr>
          <w:rFonts w:ascii="Arial" w:hAnsi="Arial" w:cs="Arial"/>
          <w:noProof/>
          <w:lang w:val="en-US"/>
        </w:rPr>
        <w:t>(Isagawa et al., 2000)</w:t>
      </w:r>
      <w:r w:rsidR="00B25DB6" w:rsidRPr="00CB1C44">
        <w:rPr>
          <w:rFonts w:ascii="Arial" w:hAnsi="Arial" w:cs="Arial"/>
          <w:lang w:val="en-US"/>
        </w:rPr>
        <w:fldChar w:fldCharType="end"/>
      </w:r>
      <w:r w:rsidR="00227DDD" w:rsidRPr="00CB1C44">
        <w:rPr>
          <w:rFonts w:ascii="Arial" w:hAnsi="Arial" w:cs="Arial"/>
          <w:lang w:val="en-US"/>
        </w:rPr>
        <w:t>, although</w:t>
      </w:r>
      <w:r w:rsidR="001B4C94" w:rsidRPr="00CB1C44">
        <w:rPr>
          <w:rFonts w:ascii="Arial" w:hAnsi="Arial" w:cs="Arial"/>
          <w:lang w:val="en-US"/>
        </w:rPr>
        <w:t xml:space="preserve"> with</w:t>
      </w:r>
      <w:r w:rsidR="00227DDD" w:rsidRPr="00CB1C44">
        <w:rPr>
          <w:rFonts w:ascii="Arial" w:hAnsi="Arial" w:cs="Arial"/>
          <w:lang w:val="en-US"/>
        </w:rPr>
        <w:t xml:space="preserve"> no direct relation with the Nrf2 pathway</w:t>
      </w:r>
      <w:r w:rsidR="001A2A8E" w:rsidRPr="00CB1C44">
        <w:rPr>
          <w:rFonts w:ascii="Arial" w:hAnsi="Arial" w:cs="Arial"/>
          <w:lang w:val="es-ES_tradnl"/>
        </w:rPr>
        <w:t>.</w:t>
      </w:r>
      <w:r w:rsidR="00227DDD" w:rsidRPr="00CB1C44">
        <w:rPr>
          <w:rFonts w:ascii="Arial" w:hAnsi="Arial" w:cs="Arial"/>
          <w:lang w:val="es-ES_tradnl"/>
        </w:rPr>
        <w:t xml:space="preserve"> </w:t>
      </w:r>
      <w:r w:rsidR="00970257" w:rsidRPr="00CB1C44">
        <w:rPr>
          <w:rFonts w:ascii="Arial" w:hAnsi="Arial" w:cs="Arial"/>
          <w:lang w:val="en-US"/>
        </w:rPr>
        <w:t xml:space="preserve">AD brains presented reduced PKC protein levels and activity, as well as attenuated translocation of the enzyme to the cell membrane </w:t>
      </w:r>
      <w:r w:rsidR="009702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{"citationItems":[{"id":"ITEM-1","itemData":{"ISBN":"0197-4580 (Print)\\n0197-4580 (Linking)","ISSN":"0197-4580 (Print)\\r0197-4580 (Linking)","PMID":"7936052","abstract":"Protein kinase C (PKC) activity and its redistribution were determined in postmortem Alzheimer's disease (AD) and age-matched control brains. Cytosolic and membrane-associated PKC activities were lower in frontal and temporal cortices and hippocampi of AD brains. Increased concentrations of phosphatidyl-L-serine, Ca2+ or phorbol 12-myristate, 13-acetate only weakly increased enzyme activity in AD tissues. Redistribution of cytosolic PKC to the membranous fraction was elicited in control brain slices by 162 nM PMA in the presence of K+ (65 mM). This redistribution of the enzyme was markedly reduced in AD brain slices. In contrast, the immunoreactivity of the alpha- and gamma-PKC isozymes were elevated in cortical tissue from AD subjects. No changes were noted in beta-PKC immunoreactivity. These results suggest that the reduced PKC activity and the attenuated translocation of the enzyme in AD brain tissue may be attributed to down regulation of PKC or to alteration in PKC protein. The increase in PKC immunoreactivity may be a reflection of an altered susceptibility to proteolysis or a compensatory response secondary to the loss in enzyme activity.","author":[{"dropping-particle":"","family":"Wang","given":"H Y","non-dropping-particle":"","parse-names":false,"suffix":""},{"dropping-particle":"","family":"Pisano","given":"M R","non-dropping-particle":"","parse-names":false,"suffix":""},{"dropping-particle":"","family":"Friedman","given":"E","non-dropping-particle":"","parse-names":false,"suffix":""}],"container-title":"Neurobiol Aging","id":"ITEM-1","issue":"3","issued":{"date-parts":[["1994"]]},"page":"293-298","title":"Attenuated protein kinase C activity and translocation in Alzheimer's disease brain","type":"article-journal","volume":"15"},"uris":["http://www.mendeley.com/documents/?uuid=770527cb-6f56-4181-88cf-be9d0d6b2173"]}],"mendeley":{"formattedCitation":"(Wang et al., 1994)","plainTextFormattedCitation":"(Wang et al., 1994)","previouslyFormattedCitation":"(Wang et al., 1994)"},"properties":{"noteIndex":0},"schema":"https://github.com/citation-style-language/schema/raw/master/csl-citation.json"}</w:instrText>
      </w:r>
      <w:r w:rsidR="00970257" w:rsidRPr="00CB1C44">
        <w:rPr>
          <w:rFonts w:ascii="Arial" w:hAnsi="Arial" w:cs="Arial"/>
          <w:lang w:val="en-US"/>
        </w:rPr>
        <w:fldChar w:fldCharType="separate"/>
      </w:r>
      <w:r w:rsidR="00DD645C" w:rsidRPr="00CB1C44">
        <w:rPr>
          <w:rFonts w:ascii="Arial" w:hAnsi="Arial" w:cs="Arial"/>
          <w:noProof/>
          <w:lang w:val="en-US"/>
        </w:rPr>
        <w:t>(Wang et al., 1994)</w:t>
      </w:r>
      <w:r w:rsidR="00970257" w:rsidRPr="00CB1C44">
        <w:rPr>
          <w:rFonts w:ascii="Arial" w:hAnsi="Arial" w:cs="Arial"/>
          <w:lang w:val="en-US"/>
        </w:rPr>
        <w:fldChar w:fldCharType="end"/>
      </w:r>
      <w:r w:rsidR="00970257" w:rsidRPr="00CB1C44">
        <w:rPr>
          <w:rFonts w:ascii="Arial" w:hAnsi="Arial" w:cs="Arial"/>
          <w:lang w:val="en-US"/>
        </w:rPr>
        <w:t xml:space="preserve">. </w:t>
      </w:r>
      <w:proofErr w:type="spellStart"/>
      <w:r w:rsidR="00227DDD" w:rsidRPr="00CB1C44">
        <w:rPr>
          <w:rFonts w:ascii="Arial" w:hAnsi="Arial" w:cs="Arial"/>
          <w:lang w:val="es-ES_tradnl"/>
        </w:rPr>
        <w:t>Similarly</w:t>
      </w:r>
      <w:proofErr w:type="spellEnd"/>
      <w:r w:rsidR="00227DDD" w:rsidRPr="00CB1C44">
        <w:rPr>
          <w:rFonts w:ascii="Arial" w:hAnsi="Arial" w:cs="Arial"/>
          <w:lang w:val="es-ES_tradnl"/>
        </w:rPr>
        <w:t>, in</w:t>
      </w:r>
      <w:r w:rsidR="001A2A8E" w:rsidRPr="00CB1C44">
        <w:rPr>
          <w:rFonts w:ascii="Arial" w:hAnsi="Arial" w:cs="Arial"/>
          <w:lang w:val="es-ES_tradnl"/>
        </w:rPr>
        <w:t xml:space="preserve"> </w:t>
      </w:r>
      <w:proofErr w:type="spellStart"/>
      <w:r w:rsidR="00227DDD" w:rsidRPr="00CB1C44">
        <w:rPr>
          <w:rFonts w:ascii="Arial" w:hAnsi="Arial" w:cs="Arial"/>
          <w:i/>
          <w:lang w:val="es-ES_tradnl"/>
        </w:rPr>
        <w:t>i</w:t>
      </w:r>
      <w:r w:rsidR="008D0E7D" w:rsidRPr="00CB1C44">
        <w:rPr>
          <w:rFonts w:ascii="Arial" w:hAnsi="Arial" w:cs="Arial"/>
          <w:i/>
          <w:lang w:val="es-ES_tradnl"/>
        </w:rPr>
        <w:t>n</w:t>
      </w:r>
      <w:proofErr w:type="spellEnd"/>
      <w:r w:rsidR="008D0E7D" w:rsidRPr="00CB1C44">
        <w:rPr>
          <w:rFonts w:ascii="Arial" w:hAnsi="Arial" w:cs="Arial"/>
          <w:i/>
          <w:lang w:val="es-ES_tradnl"/>
        </w:rPr>
        <w:t xml:space="preserve"> vitro</w:t>
      </w:r>
      <w:r w:rsidR="00227DDD" w:rsidRPr="00CB1C44">
        <w:rPr>
          <w:rFonts w:ascii="Arial" w:hAnsi="Arial" w:cs="Arial"/>
          <w:i/>
          <w:lang w:val="es-ES_tradnl"/>
        </w:rPr>
        <w:t xml:space="preserve"> </w:t>
      </w:r>
      <w:proofErr w:type="spellStart"/>
      <w:r w:rsidR="00227DDD" w:rsidRPr="00CB1C44">
        <w:rPr>
          <w:rFonts w:ascii="Arial" w:hAnsi="Arial" w:cs="Arial"/>
          <w:lang w:val="es-ES_tradnl"/>
        </w:rPr>
        <w:t>studies</w:t>
      </w:r>
      <w:proofErr w:type="spellEnd"/>
      <w:r w:rsidR="008D0E7D" w:rsidRPr="00CB1C44">
        <w:rPr>
          <w:rFonts w:ascii="Arial" w:hAnsi="Arial" w:cs="Arial"/>
          <w:lang w:val="es-ES_tradnl"/>
        </w:rPr>
        <w:t xml:space="preserve">, </w:t>
      </w:r>
      <w:r w:rsidR="00C8386A" w:rsidRPr="00CB1C44">
        <w:rPr>
          <w:rFonts w:ascii="Arial" w:hAnsi="Arial" w:cs="Arial"/>
          <w:lang w:val="en-US"/>
        </w:rPr>
        <w:t>Aβ induce</w:t>
      </w:r>
      <w:r w:rsidR="00227DDD" w:rsidRPr="00CB1C44">
        <w:rPr>
          <w:rFonts w:ascii="Arial" w:hAnsi="Arial" w:cs="Arial"/>
          <w:lang w:val="en-US"/>
        </w:rPr>
        <w:t>d</w:t>
      </w:r>
      <w:r w:rsidR="00C8386A" w:rsidRPr="00CB1C44">
        <w:rPr>
          <w:rFonts w:ascii="Arial" w:hAnsi="Arial" w:cs="Arial"/>
          <w:lang w:val="en-US"/>
        </w:rPr>
        <w:t xml:space="preserve"> direct PKC inhibition</w:t>
      </w:r>
      <w:r w:rsidR="008D0E7D" w:rsidRPr="00CB1C44">
        <w:rPr>
          <w:rFonts w:ascii="Arial" w:hAnsi="Arial" w:cs="Arial"/>
          <w:lang w:val="en-US"/>
        </w:rPr>
        <w:t xml:space="preserve"> </w:t>
      </w:r>
      <w:r w:rsidR="00C8386A" w:rsidRPr="00CB1C44">
        <w:rPr>
          <w:rFonts w:ascii="Arial" w:hAnsi="Arial" w:cs="Arial"/>
          <w:lang w:val="en-US"/>
        </w:rPr>
        <w:t>(</w:t>
      </w:r>
      <w:r w:rsidR="00C8386A" w:rsidRPr="00CB1C44">
        <w:rPr>
          <w:rFonts w:ascii="Arial" w:hAnsi="Arial" w:cs="Arial"/>
          <w:noProof/>
          <w:lang w:val="en-US"/>
        </w:rPr>
        <w:t>Lee et al., 2004)</w:t>
      </w:r>
      <w:r w:rsidR="00227DDD" w:rsidRPr="00CB1C44">
        <w:rPr>
          <w:rFonts w:ascii="Arial" w:hAnsi="Arial" w:cs="Arial"/>
          <w:noProof/>
          <w:lang w:val="en-US"/>
        </w:rPr>
        <w:t>, whereas</w:t>
      </w:r>
      <w:r w:rsidR="00C8386A" w:rsidRPr="00CB1C44">
        <w:rPr>
          <w:rFonts w:ascii="Arial" w:hAnsi="Arial" w:cs="Arial"/>
          <w:noProof/>
          <w:lang w:val="en-US"/>
        </w:rPr>
        <w:t xml:space="preserve"> </w:t>
      </w:r>
      <w:r w:rsidR="00C8386A" w:rsidRPr="00CB1C44">
        <w:rPr>
          <w:rFonts w:ascii="Arial" w:hAnsi="Arial" w:cs="Arial"/>
          <w:noProof/>
          <w:lang w:val="en-US"/>
        </w:rPr>
        <w:lastRenderedPageBreak/>
        <w:t xml:space="preserve">PKC activation prevented hippocampal neuronal death induced by </w:t>
      </w:r>
      <w:r w:rsidR="00C8386A" w:rsidRPr="00CB1C44">
        <w:rPr>
          <w:rFonts w:ascii="Arial" w:hAnsi="Arial" w:cs="Arial"/>
          <w:lang w:val="en-US"/>
        </w:rPr>
        <w:t xml:space="preserve">Aβ </w:t>
      </w:r>
      <w:r w:rsidR="00C8386A"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{"citationItems":[{"id":"ITEM-1","itemData":{"DOI":"10.1016/j.mcn.2003.10.020","ISBN":"1044-7431 (Print)\\r1044-7431 (Linking)","ISSN":"10447431","PMID":"15207847","abstract":"A putative protein kinase C (PKC) pseudosubstrate domain in beta amyloid (A??) suggests a potential interaction between A?? and PKC. In this study, we investigated whether and how A?? interacts with PKC. A?? peptides inhibited PKC phosphorylation in a dose-dependent manner in cell-free in vitro condition, suggesting a direct interaction between A?? and PKC. Experiments involving deletion of the A?? sequence indicated that the putative PKC pseudosubstrate domain (A?? 28-30) is critical for A??-PKC interaction. Addition of A?? peptides to cultured B103 cells reduced the activated forms of PKC?? and PKC??. It also inhibited phorbol-12,13-dibutyrate (PDBu)-induced membrane translocation of PKC?? and PKC?? without altering their expression levels, indicating that activation of intracellular PKC is inhibited by treatment of A?? peptides. These results suggest that A?? peptides inhibit PKC activation via direct interactions, which may play a role in pathogenesis of AD. ?? 2003 Elsevier Inc. All rights reserved.","author":[{"dropping-particle":"","family":"Lee","given":"Woojin","non-dropping-particle":"","parse-names":false,"suffix":""},{"dropping-particle":"","family":"Boo","given":"Jung Hyun","non-dropping-particle":"","parse-names":false,"suffix":""},{"dropping-particle":"","family":"Jung","given":"Min Whan","non-dropping-particle":"","parse-names":false,"suffix":""},{"dropping-particle":"","family":"Park","given":"Sang Dai","non-dropping-particle":"","parse-names":false,"suffix":""},{"dropping-particle":"","family":"Kim","given":"Young Ho","non-dropping-particle":"","parse-names":false,"suffix":""},{"dropping-particle":"","family":"Kim","given":"Seung U.","non-dropping-particle":"","parse-names":false,"suffix":""},{"dropping-particle":"","family":"Mook-Jung","given":"Inhee","non-dropping-particle":"","parse-names":false,"suffix":""}],"container-title":"Molecular and Cellular Neuroscience","id":"ITEM-1","issue":"2","issued":{"date-parts":[["2004"]]},"page":"222-231","title":"Amyloid beta peptide directly inhibits PKC activation","type":"article-journal","volume":"26"},"uris":["http://www.mendeley.com/documents/?uuid=6d2a3631-3169-4c32-bbaf-4694cf39daa9"]},{"id":"ITEM-2","itemData":{"DOI":"10.1152/jn.00939.2004","ISBN":"0022-3077 (Print)\\r0022-3077 (Linking)","ISSN":"0022-3077","PMID":"15659527","abstract":"The metabotropic glutamate receptors (mGluRs) have been implicated in cognition, memory, and some neurodegenerative disorders, including the Alzheimer's disease (AD). To understand how the dysfunction of mGluRs contributes to the pathophysiology of AD, we examined the beta-amyloid peptide (Abeta)-induced alterations in the physiological functions of mGluRs in prefrontal cortical pyramidal neurons. Two potential targets of mGluR signaling involved in cognition, the GABAergic system and the N-methyl-d-aspartate (NMDA) receptor, were examined. Activation of group I mGluRs with (S)-3,5-dihydroxyphenylglycine (DHPG) significantly increased the spontaneous inhibitory postsynaptic current (sIPSC) amplitude, and this effect was protein kinase C (PKC) sensitive. Treatment with Abeta abolished the DHPG-induced enhancement of sIPSC amplitude. On the other hand, activation of group II mGluRs with (2R,4R)-4-aminopyrrolidine-2,4-dicarboxylate (APDC) significantly increased the NMDA receptor (NMDAR)-mediated currents via a PKC-dependent mechanism, and Abeta treatment also diminished the APDC-induced potentiation of NMDAR currents. In Abeta-treated slices, both DHPG and APDC failed to activate PKC. These results indicate that the mGluR regulation of GABA transmission and NMDAR currents is impaired by Abeta treatment probably due to the Abeta-mediated interference of mGluR activation of PKC. This study provides a framework within which the role of mGluRs in normal cognitive functions and AD can be better understood.","author":[{"dropping-particle":"","family":"Tyszkiewicz","given":"Joanna P","non-dropping-particle":"","parse-names":false,"suffix":""},{"dropping-particle":"","family":"Yan","given":"Zhen","non-dropping-particle":"","parse-names":false,"suffix":""}],"container-title":"Journal of Neurophysiology","id":"ITEM-2","issued":{"date-parts":[["2005"]]},"page":"3102-3111","title":"β-Amyloid Peptides Impair PKC-Dependent Functions of Metabotropic Glutamate Receptors in Prefrontal Cortical Neurons","type":"article-journal","volume":"93"},"uris":["http://www.mendeley.com/documents/?uuid=41ed0901-67b8-4b02-88eb-77806069ded3"]}],"mendeley":{"formattedCitation":"(Lee et al., 2004; Tyszkiewicz and Yan, 2005)","manualFormatting":"(Tyszkiewicz and Yan, 2005)","plainTextFormattedCitation":"(Lee et al., 2004; Tyszkiewicz and Yan, 2005)","previouslyFormattedCitation":"(Lee et al., 2004; Tyszkiewicz and Yan, 2005)"},"properties":{"noteIndex":0},"schema":"https://github.com/citation-style-language/schema/raw/master/csl-citation.json"}</w:instrText>
      </w:r>
      <w:r w:rsidR="00C8386A" w:rsidRPr="00CB1C44">
        <w:rPr>
          <w:rFonts w:ascii="Arial" w:hAnsi="Arial" w:cs="Arial"/>
          <w:lang w:val="en-US"/>
        </w:rPr>
        <w:fldChar w:fldCharType="separate"/>
      </w:r>
      <w:r w:rsidR="00C8386A" w:rsidRPr="00CB1C44">
        <w:rPr>
          <w:rFonts w:ascii="Arial" w:hAnsi="Arial" w:cs="Arial"/>
          <w:noProof/>
          <w:lang w:val="en-US"/>
        </w:rPr>
        <w:t>(Tyszkiewicz and Yan, 2005)</w:t>
      </w:r>
      <w:r w:rsidR="00C8386A" w:rsidRPr="00CB1C44">
        <w:rPr>
          <w:rFonts w:ascii="Arial" w:hAnsi="Arial" w:cs="Arial"/>
          <w:lang w:val="en-US"/>
        </w:rPr>
        <w:fldChar w:fldCharType="end"/>
      </w:r>
      <w:r w:rsidR="00C8386A" w:rsidRPr="00CB1C44">
        <w:rPr>
          <w:rFonts w:ascii="Arial" w:hAnsi="Arial" w:cs="Arial"/>
          <w:lang w:val="en-US"/>
        </w:rPr>
        <w:t xml:space="preserve">. </w:t>
      </w:r>
      <w:r w:rsidR="00227DDD" w:rsidRPr="00CB1C44">
        <w:rPr>
          <w:rFonts w:ascii="Arial" w:hAnsi="Arial" w:cs="Arial"/>
          <w:lang w:val="en-US"/>
        </w:rPr>
        <w:t>Hypoth</w:t>
      </w:r>
      <w:r w:rsidR="00692A45" w:rsidRPr="00CB1C44">
        <w:rPr>
          <w:rFonts w:ascii="Arial" w:hAnsi="Arial" w:cs="Arial"/>
          <w:lang w:val="en-US"/>
        </w:rPr>
        <w:t xml:space="preserve">etically, </w:t>
      </w:r>
      <w:r w:rsidR="00AB17BC" w:rsidRPr="00CB1C44">
        <w:rPr>
          <w:rFonts w:ascii="Arial" w:hAnsi="Arial" w:cs="Arial"/>
          <w:lang w:val="en-US"/>
        </w:rPr>
        <w:t xml:space="preserve">decreased </w:t>
      </w:r>
      <w:r w:rsidR="00D32107" w:rsidRPr="00CB1C44">
        <w:rPr>
          <w:rFonts w:ascii="Arial" w:hAnsi="Arial" w:cs="Arial"/>
          <w:lang w:val="en-US"/>
        </w:rPr>
        <w:t xml:space="preserve">PKC activity </w:t>
      </w:r>
      <w:r w:rsidR="0012218E" w:rsidRPr="00CB1C44">
        <w:rPr>
          <w:rFonts w:ascii="Arial" w:hAnsi="Arial" w:cs="Arial"/>
          <w:lang w:val="en-US"/>
        </w:rPr>
        <w:t xml:space="preserve">may be </w:t>
      </w:r>
      <w:r w:rsidR="00D32107" w:rsidRPr="00CB1C44">
        <w:rPr>
          <w:rFonts w:ascii="Arial" w:hAnsi="Arial" w:cs="Arial"/>
          <w:lang w:val="en-US"/>
        </w:rPr>
        <w:t>related with decreased Nrf2 phosphorylation and nuclear migration</w:t>
      </w:r>
      <w:r w:rsidR="00166CA2" w:rsidRPr="00CB1C44">
        <w:rPr>
          <w:rFonts w:ascii="Arial" w:hAnsi="Arial" w:cs="Arial"/>
          <w:lang w:val="en-US"/>
        </w:rPr>
        <w:t xml:space="preserve"> (Figure 4)</w:t>
      </w:r>
      <w:r w:rsidR="00D32107" w:rsidRPr="00CB1C44">
        <w:rPr>
          <w:rFonts w:ascii="Arial" w:hAnsi="Arial" w:cs="Arial"/>
          <w:lang w:val="en-US"/>
        </w:rPr>
        <w:t xml:space="preserve">. </w:t>
      </w:r>
      <w:r w:rsidR="0012218E" w:rsidRPr="00CB1C44">
        <w:rPr>
          <w:rFonts w:ascii="Arial" w:hAnsi="Arial" w:cs="Arial"/>
          <w:lang w:val="en-US"/>
        </w:rPr>
        <w:t>Thus,</w:t>
      </w:r>
      <w:r w:rsidR="002E77EB" w:rsidRPr="00CB1C44">
        <w:rPr>
          <w:rFonts w:ascii="Arial" w:hAnsi="Arial" w:cs="Arial"/>
          <w:lang w:val="en-US"/>
        </w:rPr>
        <w:t xml:space="preserve"> and </w:t>
      </w:r>
      <w:r w:rsidR="0012218E" w:rsidRPr="00CB1C44">
        <w:rPr>
          <w:rFonts w:ascii="Arial" w:hAnsi="Arial" w:cs="Arial"/>
          <w:lang w:val="en-US"/>
        </w:rPr>
        <w:t>considering that</w:t>
      </w:r>
      <w:r w:rsidR="002E77EB" w:rsidRPr="00CB1C44">
        <w:rPr>
          <w:rFonts w:ascii="Arial" w:hAnsi="Arial" w:cs="Arial"/>
          <w:lang w:val="en-US"/>
        </w:rPr>
        <w:t xml:space="preserve"> PKC </w:t>
      </w:r>
      <w:r w:rsidR="0012218E" w:rsidRPr="00CB1C44">
        <w:rPr>
          <w:rFonts w:ascii="Arial" w:hAnsi="Arial" w:cs="Arial"/>
          <w:lang w:val="en-US"/>
        </w:rPr>
        <w:t xml:space="preserve">is involved </w:t>
      </w:r>
      <w:r w:rsidR="002E77EB" w:rsidRPr="00CB1C44">
        <w:rPr>
          <w:rFonts w:ascii="Arial" w:hAnsi="Arial" w:cs="Arial"/>
          <w:lang w:val="en-US"/>
        </w:rPr>
        <w:t>in memory processes</w:t>
      </w:r>
      <w:r w:rsidR="00D32107" w:rsidRPr="00CB1C44">
        <w:rPr>
          <w:rFonts w:ascii="Arial" w:hAnsi="Arial" w:cs="Arial"/>
          <w:lang w:val="en-US"/>
        </w:rPr>
        <w:t xml:space="preserve">, activation of PKC </w:t>
      </w:r>
      <w:r w:rsidR="0012218E" w:rsidRPr="00CB1C44">
        <w:rPr>
          <w:rFonts w:ascii="Arial" w:hAnsi="Arial" w:cs="Arial"/>
          <w:lang w:val="en-US"/>
        </w:rPr>
        <w:t xml:space="preserve">should </w:t>
      </w:r>
      <w:r w:rsidR="00D32107" w:rsidRPr="00CB1C44">
        <w:rPr>
          <w:rFonts w:ascii="Arial" w:hAnsi="Arial" w:cs="Arial"/>
          <w:lang w:val="en-US"/>
        </w:rPr>
        <w:t>be a potential therapeutic strategy for treating AD</w:t>
      </w:r>
      <w:r w:rsidR="0012218E" w:rsidRPr="00CB1C44">
        <w:rPr>
          <w:rFonts w:ascii="Arial" w:hAnsi="Arial" w:cs="Arial"/>
          <w:lang w:val="en-US"/>
        </w:rPr>
        <w:t xml:space="preserve"> pathogenesis</w:t>
      </w:r>
      <w:r w:rsidR="002E77EB" w:rsidRPr="00CB1C44">
        <w:rPr>
          <w:rFonts w:ascii="Arial" w:hAnsi="Arial" w:cs="Arial"/>
          <w:lang w:val="en-US"/>
        </w:rPr>
        <w:t>.</w:t>
      </w:r>
      <w:r w:rsidR="00E05CBA" w:rsidRPr="00CB1C44">
        <w:rPr>
          <w:rFonts w:ascii="Arial" w:hAnsi="Arial" w:cs="Arial"/>
          <w:lang w:val="en-US"/>
        </w:rPr>
        <w:t xml:space="preserve"> In fact, Murphy and colleagues, developed a BBB-bypassing Nrf2-activating polysaccharide, Mini-GAGR, a cleavage product of low-acyl </w:t>
      </w:r>
      <w:proofErr w:type="spellStart"/>
      <w:r w:rsidR="00E05CBA" w:rsidRPr="00CB1C44">
        <w:rPr>
          <w:rFonts w:ascii="Arial" w:hAnsi="Arial" w:cs="Arial"/>
          <w:lang w:val="en-US"/>
        </w:rPr>
        <w:t>gellan</w:t>
      </w:r>
      <w:proofErr w:type="spellEnd"/>
      <w:r w:rsidR="00E05CBA" w:rsidRPr="00CB1C44">
        <w:rPr>
          <w:rFonts w:ascii="Arial" w:hAnsi="Arial" w:cs="Arial"/>
          <w:lang w:val="en-US"/>
        </w:rPr>
        <w:t xml:space="preserve"> gum. Mini-GAGR induced increased levels and activit</w:t>
      </w:r>
      <w:r w:rsidR="008E1422" w:rsidRPr="00CB1C44">
        <w:rPr>
          <w:rFonts w:ascii="Arial" w:hAnsi="Arial" w:cs="Arial"/>
          <w:lang w:val="en-US"/>
        </w:rPr>
        <w:t>y</w:t>
      </w:r>
      <w:r w:rsidR="00E05CBA" w:rsidRPr="00CB1C44">
        <w:rPr>
          <w:rFonts w:ascii="Arial" w:hAnsi="Arial" w:cs="Arial"/>
          <w:lang w:val="en-US"/>
        </w:rPr>
        <w:t xml:space="preserve"> of Nrf2-dependent antioxidant enzymes, such as HO-1, SOD1 and</w:t>
      </w:r>
      <w:r w:rsidR="0090473F" w:rsidRPr="00CB1C44">
        <w:rPr>
          <w:rFonts w:ascii="Arial" w:hAnsi="Arial" w:cs="Arial"/>
          <w:lang w:val="en-US"/>
        </w:rPr>
        <w:t xml:space="preserve"> GSH-Px, </w:t>
      </w:r>
      <w:r w:rsidR="00E05CBA" w:rsidRPr="00CB1C44">
        <w:rPr>
          <w:rFonts w:ascii="Arial" w:hAnsi="Arial" w:cs="Arial"/>
          <w:lang w:val="en-US"/>
        </w:rPr>
        <w:t xml:space="preserve">reduced ROS formation and protected mitochondria from oxidative insults, in </w:t>
      </w:r>
      <w:r w:rsidR="000E68DE" w:rsidRPr="00CB1C44">
        <w:rPr>
          <w:rFonts w:ascii="Arial" w:hAnsi="Arial" w:cs="Arial"/>
          <w:lang w:val="en-US"/>
        </w:rPr>
        <w:t xml:space="preserve">cultured </w:t>
      </w:r>
      <w:r w:rsidR="00E05CBA" w:rsidRPr="00CB1C44">
        <w:rPr>
          <w:rFonts w:ascii="Arial" w:hAnsi="Arial" w:cs="Arial"/>
          <w:lang w:val="en-US"/>
        </w:rPr>
        <w:t>mouse cortical neurons</w:t>
      </w:r>
      <w:r w:rsidR="008E1422" w:rsidRPr="00CB1C44">
        <w:rPr>
          <w:rFonts w:ascii="Arial" w:hAnsi="Arial" w:cs="Arial"/>
          <w:lang w:val="en-US"/>
        </w:rPr>
        <w:t>,</w:t>
      </w:r>
      <w:r w:rsidR="00E05CBA" w:rsidRPr="00CB1C44">
        <w:rPr>
          <w:rFonts w:ascii="Arial" w:hAnsi="Arial" w:cs="Arial"/>
          <w:lang w:val="en-US"/>
        </w:rPr>
        <w:t xml:space="preserve"> when compared to vehicle treated neurons </w:t>
      </w:r>
      <w:r w:rsidR="00E05CBA"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{"citationItems":[{"id":"ITEM-1","itemData":{"DOI":"10.1074/jbc.RA117.001245","ISBN":"4193834085","ISSN":"0021-9258","PMID":"30282635","abstract":"Oxidative stress triggers and exacerbates neurodegeneration in Alzheimer's disease (AD). Various antioxidants reduce oxidative stress, but these agents have little efficacy due to poor blood–brain barrier (BBB) permeability. Additionally, single-modal antioxidants are easily overwhelmed by global oxidative stress. Activating nuclear factor erythroid 2 (NF-E2)-related factor 2 (Nrf2) and its downstream antioxidant system are considered very effective for reducing global oxidative stress. Thus far, only a few BBB-permeable agents activate the Nrf2-dependent antioxidant system. Here, we discovered a BBB-bypassing Nrf2-activating polysaccharide that may attenuate AD pathogenesis. Mini-GAGR, a 0.7-kDa cleavage product of low-acyl gellan gum, increased the levels and activities of Nrf2-dependent antioxidant enzymes, decreased reactive oxygen species (ROS) under oxidative stress in mouse cortical neurons, and robustly protected mitochondria from oxidative insults. Moreover, mini-GAGR increased the nuclear localization and transcriptional activity of Nrf2 similarly to known Nrf2 activators. Mechanistically, mini-GAGR increased the dissociation of Nrf2 from its inhibitor, Kelch-like ECH-associated protein 1 (Keap1), and induced phosphorylation and nuclear translocation of Nrf2 in a protein kinase C (PKC)- and fibroblast growth factor receptor (FGFR1)-dependent manner. Finally, 20-day intranasal treatment of 3xTg-AD mice with 100 nmol of mini-GAGR increased nuclear p-Nrf2 and growth-associated protein 43 (GAP43) levels in hippocampal neurons, reduced p-tau and β-amyloid (Aβ) peptide–stained neurons, and improved memory. The BBB-bypassing Nrf2-activating polysaccharide reported here may be effective in reducing oxidative stress and neurodegeneration in AD.","author":[{"dropping-particle":"","family":"Murphy","given":"Kelsey","non-dropping-particle":"","parse-names":false,"suffix":""},{"dropping-particle":"","family":"Llewellyn","given":"Killian","non-dropping-particle":"","parse-names":false,"suffix":""},{"dropping-particle":"","family":"Wakser","given":"Samuel","non-dropping-particle":"","parse-names":false,"suffix":""},{"dropping-particle":"","family":"Pontasch","given":"Josef","non-dropping-particle":"","parse-names":false,"suffix":""},{"dropping-particle":"","family":"Samanich","given":"Natasha","non-dropping-particle":"","parse-names":false,"suffix":""},{"dropping-particle":"","family":"Flemer","given":"Matthew","non-dropping-particle":"","parse-names":false,"suffix":""},{"dropping-particle":"","family":"Hensley","given":"Kenneth","non-dropping-particle":"","parse-names":false,"suffix":""},{"dropping-particle":"","family":"Kim","given":"Dong-Shik","non-dropping-particle":"","parse-names":false,"suffix":""},{"dropping-particle":"","family":"Park","given":"Joshua","non-dropping-particle":"","parse-names":false,"suffix":""}],"container-title":"Journal of Biological Chemistry","id":"ITEM-1","issue":"47","issued":{"date-parts":[["2018","11","23"]]},"page":"18242-18269","title":"Mini-GAGR, an intranasally applied polysaccharide, activates the neuronal Nrf2-mediated antioxidant defense system","type":"article-journal","volume":"293"},"uris":["http://www.mendeley.com/documents/?uuid=c93bf2cb-f42d-4e11-9383-f5621d33f553"]}],"mendeley":{"formattedCitation":"(Murphy et al., 2018)","plainTextFormattedCitation":"(Murphy et al., 2018)","previouslyFormattedCitation":"(Murphy et al., 2018)"},"properties":{"noteIndex":0},"schema":"https://github.com/citation-style-language/schema/raw/master/csl-citation.json"}</w:instrText>
      </w:r>
      <w:r w:rsidR="00E05CBA" w:rsidRPr="00CB1C44">
        <w:rPr>
          <w:rFonts w:ascii="Arial" w:hAnsi="Arial" w:cs="Arial"/>
          <w:lang w:val="en-US"/>
        </w:rPr>
        <w:fldChar w:fldCharType="separate"/>
      </w:r>
      <w:r w:rsidR="00DD645C" w:rsidRPr="00CB1C44">
        <w:rPr>
          <w:rFonts w:ascii="Arial" w:hAnsi="Arial" w:cs="Arial"/>
          <w:noProof/>
          <w:lang w:val="en-US"/>
        </w:rPr>
        <w:t>(Murphy et al., 2018)</w:t>
      </w:r>
      <w:r w:rsidR="00E05CBA" w:rsidRPr="00CB1C44">
        <w:rPr>
          <w:rFonts w:ascii="Arial" w:hAnsi="Arial" w:cs="Arial"/>
          <w:lang w:val="en-US"/>
        </w:rPr>
        <w:fldChar w:fldCharType="end"/>
      </w:r>
      <w:r w:rsidR="00E05CBA" w:rsidRPr="00CB1C44">
        <w:rPr>
          <w:rFonts w:ascii="Arial" w:hAnsi="Arial" w:cs="Arial"/>
          <w:lang w:val="en-US"/>
        </w:rPr>
        <w:t xml:space="preserve">. The effect of Mini-GAGR </w:t>
      </w:r>
      <w:r w:rsidR="008E1422" w:rsidRPr="00CB1C44">
        <w:rPr>
          <w:rFonts w:ascii="Arial" w:hAnsi="Arial" w:cs="Arial"/>
          <w:lang w:val="en-US"/>
        </w:rPr>
        <w:t>wa</w:t>
      </w:r>
      <w:r w:rsidR="00E05CBA" w:rsidRPr="00CB1C44">
        <w:rPr>
          <w:rFonts w:ascii="Arial" w:hAnsi="Arial" w:cs="Arial"/>
          <w:lang w:val="en-US"/>
        </w:rPr>
        <w:t xml:space="preserve">s dependent on PKC activation, consequently Nrf2 dissociation from Keap1 and nuclear migration. </w:t>
      </w:r>
      <w:r w:rsidR="008E1422" w:rsidRPr="00CB1C44">
        <w:rPr>
          <w:rFonts w:ascii="Arial" w:hAnsi="Arial" w:cs="Arial"/>
          <w:lang w:val="en-US"/>
        </w:rPr>
        <w:t>When tested</w:t>
      </w:r>
      <w:r w:rsidR="006C6C1B" w:rsidRPr="00CB1C44">
        <w:rPr>
          <w:rFonts w:ascii="Arial" w:hAnsi="Arial" w:cs="Arial"/>
          <w:lang w:val="en-US"/>
        </w:rPr>
        <w:t xml:space="preserve"> </w:t>
      </w:r>
      <w:r w:rsidR="00E05CBA" w:rsidRPr="00CB1C44">
        <w:rPr>
          <w:rFonts w:ascii="Arial" w:hAnsi="Arial" w:cs="Arial"/>
          <w:lang w:val="en-US"/>
        </w:rPr>
        <w:t>in the 3xTg-AD mice model, th</w:t>
      </w:r>
      <w:r w:rsidR="008E1422" w:rsidRPr="00CB1C44">
        <w:rPr>
          <w:rFonts w:ascii="Arial" w:hAnsi="Arial" w:cs="Arial"/>
          <w:lang w:val="en-US"/>
        </w:rPr>
        <w:t>e Mini-GAGR</w:t>
      </w:r>
      <w:r w:rsidR="00E05CBA" w:rsidRPr="00CB1C44">
        <w:rPr>
          <w:rFonts w:ascii="Arial" w:hAnsi="Arial" w:cs="Arial"/>
          <w:lang w:val="en-US"/>
        </w:rPr>
        <w:t xml:space="preserve"> BBB-bypassing polysaccharide increased nuclear Nrf2 levels, augmented HO-1 and SOD1 expression and reduced p-tau and A</w:t>
      </w:r>
      <w:r w:rsidR="00E05CBA" w:rsidRPr="00CB1C44">
        <w:rPr>
          <w:rFonts w:ascii="Arial" w:hAnsi="Arial" w:cs="Arial"/>
          <w:lang w:val="en-US"/>
        </w:rPr>
        <w:sym w:font="Symbol" w:char="F062"/>
      </w:r>
      <w:r w:rsidR="00E05CBA" w:rsidRPr="00CB1C44">
        <w:rPr>
          <w:rFonts w:ascii="Arial" w:hAnsi="Arial" w:cs="Arial"/>
          <w:lang w:val="en-US"/>
        </w:rPr>
        <w:t xml:space="preserve"> peptide–stained neurons, in hippocampus, which resulted in improved </w:t>
      </w:r>
      <w:r w:rsidR="008E1422" w:rsidRPr="00CB1C44">
        <w:rPr>
          <w:rFonts w:ascii="Arial" w:hAnsi="Arial" w:cs="Arial"/>
          <w:lang w:val="en-US"/>
        </w:rPr>
        <w:t xml:space="preserve">mouse </w:t>
      </w:r>
      <w:r w:rsidR="00E05CBA" w:rsidRPr="00CB1C44">
        <w:rPr>
          <w:rFonts w:ascii="Arial" w:hAnsi="Arial" w:cs="Arial"/>
          <w:lang w:val="en-US"/>
        </w:rPr>
        <w:t xml:space="preserve">memory </w:t>
      </w:r>
      <w:r w:rsidR="00E05CBA"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{"citationItems":[{"id":"ITEM-1","itemData":{"DOI":"10.1074/jbc.RA117.001245","ISBN":"4193834085","ISSN":"0021-9258","PMID":"30282635","abstract":"Oxidative stress triggers and exacerbates neurodegeneration in Alzheimer's disease (AD). Various antioxidants reduce oxidative stress, but these agents have little efficacy due to poor blood–brain barrier (BBB) permeability. Additionally, single-modal antioxidants are easily overwhelmed by global oxidative stress. Activating nuclear factor erythroid 2 (NF-E2)-related factor 2 (Nrf2) and its downstream antioxidant system are considered very effective for reducing global oxidative stress. Thus far, only a few BBB-permeable agents activate the Nrf2-dependent antioxidant system. Here, we discovered a BBB-bypassing Nrf2-activating polysaccharide that may attenuate AD pathogenesis. Mini-GAGR, a 0.7-kDa cleavage product of low-acyl gellan gum, increased the levels and activities of Nrf2-dependent antioxidant enzymes, decreased reactive oxygen species (ROS) under oxidative stress in mouse cortical neurons, and robustly protected mitochondria from oxidative insults. Moreover, mini-GAGR increased the nuclear localization and transcriptional activity of Nrf2 similarly to known Nrf2 activators. Mechanistically, mini-GAGR increased the dissociation of Nrf2 from its inhibitor, Kelch-like ECH-associated protein 1 (Keap1), and induced phosphorylation and nuclear translocation of Nrf2 in a protein kinase C (PKC)- and fibroblast growth factor receptor (FGFR1)-dependent manner. Finally, 20-day intranasal treatment of 3xTg-AD mice with 100 nmol of mini-GAGR increased nuclear p-Nrf2 and growth-associated protein 43 (GAP43) levels in hippocampal neurons, reduced p-tau and β-amyloid (Aβ) peptide–stained neurons, and improved memory. The BBB-bypassing Nrf2-activating polysaccharide reported here may be effective in reducing oxidative stress and neurodegeneration in AD.","author":[{"dropping-particle":"","family":"Murphy","given":"Kelsey","non-dropping-particle":"","parse-names":false,"suffix":""},{"dropping-particle":"","family":"Llewellyn","given":"Killian","non-dropping-particle":"","parse-names":false,"suffix":""},{"dropping-particle":"","family":"Wakser","given":"Samuel","non-dropping-particle":"","parse-names":false,"suffix":""},{"dropping-particle":"","family":"Pontasch","given":"Josef","non-dropping-particle":"","parse-names":false,"suffix":""},{"dropping-particle":"","family":"Samanich","given":"Natasha","non-dropping-particle":"","parse-names":false,"suffix":""},{"dropping-particle":"","family":"Flemer","given":"Matthew","non-dropping-particle":"","parse-names":false,"suffix":""},{"dropping-particle":"","family":"Hensley","given":"Kenneth","non-dropping-particle":"","parse-names":false,"suffix":""},{"dropping-particle":"","family":"Kim","given":"Dong-Shik","non-dropping-particle":"","parse-names":false,"suffix":""},{"dropping-particle":"","family":"Park","given":"Joshua","non-dropping-particle":"","parse-names":false,"suffix":""}],"container-title":"Journal of Biological Chemistry","id":"ITEM-1","issue":"47","issued":{"date-parts":[["2018","11","23"]]},"page":"18242-18269","title":"Mini-GAGR, an intranasally applied polysaccharide, activates the neuronal Nrf2-mediated antioxidant defense system","type":"article-journal","volume":"293"},"uris":["http://www.mendeley.com/documents/?uuid=c93bf2cb-f42d-4e11-9383-f5621d33f553"]}],"mendeley":{"formattedCitation":"(Murphy et al., 2018)","plainTextFormattedCitation":"(Murphy et al., 2018)","previouslyFormattedCitation":"(Murphy et al., 2018)"},"properties":{"noteIndex":0},"schema":"https://github.com/citation-style-language/schema/raw/master/csl-citation.json"}</w:instrText>
      </w:r>
      <w:r w:rsidR="00E05CBA" w:rsidRPr="00CB1C44">
        <w:rPr>
          <w:rFonts w:ascii="Arial" w:hAnsi="Arial" w:cs="Arial"/>
          <w:lang w:val="en-US"/>
        </w:rPr>
        <w:fldChar w:fldCharType="separate"/>
      </w:r>
      <w:r w:rsidR="00DD645C" w:rsidRPr="00CB1C44">
        <w:rPr>
          <w:rFonts w:ascii="Arial" w:hAnsi="Arial" w:cs="Arial"/>
          <w:noProof/>
          <w:lang w:val="en-US"/>
        </w:rPr>
        <w:t>(Murphy et al., 2018)</w:t>
      </w:r>
      <w:r w:rsidR="00E05CBA" w:rsidRPr="00CB1C44">
        <w:rPr>
          <w:rFonts w:ascii="Arial" w:hAnsi="Arial" w:cs="Arial"/>
          <w:lang w:val="en-US"/>
        </w:rPr>
        <w:fldChar w:fldCharType="end"/>
      </w:r>
      <w:r w:rsidR="00E05CBA" w:rsidRPr="00CB1C44">
        <w:rPr>
          <w:rFonts w:ascii="Arial" w:hAnsi="Arial" w:cs="Arial"/>
          <w:lang w:val="en-US"/>
        </w:rPr>
        <w:t xml:space="preserve">. </w:t>
      </w:r>
      <w:r w:rsidR="0042420F" w:rsidRPr="00CB1C44">
        <w:rPr>
          <w:rFonts w:ascii="Arial" w:hAnsi="Arial" w:cs="Arial"/>
          <w:lang w:val="en-US"/>
        </w:rPr>
        <w:t xml:space="preserve">Recently, </w:t>
      </w:r>
      <w:proofErr w:type="spellStart"/>
      <w:r w:rsidR="0042420F" w:rsidRPr="00CB1C44">
        <w:rPr>
          <w:rFonts w:ascii="Arial" w:hAnsi="Arial" w:cs="Arial"/>
          <w:lang w:val="en-US"/>
        </w:rPr>
        <w:t>Talman</w:t>
      </w:r>
      <w:proofErr w:type="spellEnd"/>
      <w:r w:rsidR="0042420F" w:rsidRPr="00CB1C44">
        <w:rPr>
          <w:rFonts w:ascii="Arial" w:hAnsi="Arial" w:cs="Arial"/>
          <w:lang w:val="en-US"/>
        </w:rPr>
        <w:t xml:space="preserve"> and colleagues reviewed a list of several PKC activators as potential drug candidates for AD</w:t>
      </w:r>
      <w:r w:rsidR="00B63C9B" w:rsidRPr="00CB1C44">
        <w:rPr>
          <w:rFonts w:ascii="Arial" w:hAnsi="Arial" w:cs="Arial"/>
          <w:lang w:val="en-US"/>
        </w:rPr>
        <w:t>, describing the compo</w:t>
      </w:r>
      <w:r w:rsidR="00EC16C4" w:rsidRPr="00CB1C44">
        <w:rPr>
          <w:rFonts w:ascii="Arial" w:hAnsi="Arial" w:cs="Arial"/>
          <w:lang w:val="en-US"/>
        </w:rPr>
        <w:t>unds</w:t>
      </w:r>
      <w:r w:rsidR="0042420F" w:rsidRPr="00CB1C44">
        <w:rPr>
          <w:rFonts w:ascii="Arial" w:hAnsi="Arial" w:cs="Arial"/>
          <w:lang w:val="en-US"/>
        </w:rPr>
        <w:t xml:space="preserve"> already tested in different AD models and how they modulate PKC activity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{"citationItems":[{"id":"ITEM-1","itemData":{"DOI":"10.1111/bcpt.12581","ISBN":"1742-7843 (Electronic)\\r1742-7835 (Linking)","ISSN":"1742-7843","PMID":"27001133","abstract":"Alzheimer's disease (AD), the most common cause of dementia, is an irreversible and progressive neurodegenerative disorder. It affects predominantly brain areas that are critical for memory and learning and is characterized by two main pathological hallmarks: extracellular amyloid plaques and intracellular neurofibrillary tangles. Protein kinase C (PKC) has been classified as one of the cognitive kinases controlling memory and learning. By regulating several signalling pathways involved in amyloid and tau pathologies, it also plays an inhibitory role in AD pathophysiology. Among downstream targets of PKC are the embryonic lethal abnormal vision (ELAV)-like RNA-binding proteins that modulate the stability and the translation of specific target mRNAs involved in synaptic remodelling linked to cognitive processes. This MiniReview summarizes the current evidence on the role of PKC and ELAV-like proteins in learning and memory, highlighting how their derangement can contribute to AD pathophysiology. This last aspect emphasizes the potential of pharmacological activation of PKC as a promising therapeutic strategy for the treatment of AD.","author":[{"dropping-particle":"","family":"Talman","given":"Virpi","non-dropping-particle":"","parse-names":false,"suffix":""},{"dropping-particle":"","family":"Pascale","given":"Alessia","non-dropping-particle":"","parse-names":false,"suffix":""},{"dropping-particle":"","family":"Jäntti","given":"Maria","non-dropping-particle":"","parse-names":false,"suffix":""},{"dropping-particle":"","family":"Amadio","given":"Marialaura","non-dropping-particle":"","parse-names":false,"suffix":""},{"dropping-particle":"","family":"Tuominen","given":"Raimo K.","non-dropping-particle":"","parse-names":false,"suffix":""}],"container-title":"Basic &amp; clinical pharmacology &amp; toxicology","id":"ITEM-1","issue":"2","issued":{"date-parts":[["2016","8"]]},"page":"149-60","title":"Protein Kinase C Activation as a Potential Therapeutic Strategy in Alzheimer's Disease: Is there a Role for Embryonic Lethal Abnormal Vision-like Proteins?","type":"article-journal","volume":"119"},"uris":["http://www.mendeley.com/documents/?uuid=befde26d-3d82-4ff6-a244-2f881fb2573e"]}],"mendeley":{"formattedCitation":"(Talman et al., 2016)","plainTextFormattedCitation":"(Talman et al., 2016)","previouslyFormattedCitation":"(Talman et al., 2016)"},"properties":{"noteIndex":0},"schema":"https://github.com/citation-style-language/schema/raw/master/csl-citation.json"}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(Talman et al., 2016)</w:t>
      </w:r>
      <w:r w:rsidR="00844011" w:rsidRPr="00CB1C44">
        <w:rPr>
          <w:rFonts w:ascii="Arial" w:hAnsi="Arial" w:cs="Arial"/>
          <w:lang w:val="en-US"/>
        </w:rPr>
        <w:fldChar w:fldCharType="end"/>
      </w:r>
      <w:r w:rsidR="0042420F" w:rsidRPr="00CB1C44">
        <w:rPr>
          <w:rFonts w:ascii="Arial" w:hAnsi="Arial" w:cs="Arial"/>
          <w:lang w:val="en-US"/>
        </w:rPr>
        <w:t xml:space="preserve">. </w:t>
      </w:r>
      <w:r w:rsidR="00F82E7E" w:rsidRPr="00CB1C44">
        <w:rPr>
          <w:rFonts w:ascii="Arial" w:hAnsi="Arial" w:cs="Arial"/>
          <w:lang w:val="en-US"/>
        </w:rPr>
        <w:t xml:space="preserve">Importantly, PKC activators compounds, as </w:t>
      </w:r>
      <w:proofErr w:type="spellStart"/>
      <w:r w:rsidR="00F82E7E" w:rsidRPr="00CB1C44">
        <w:rPr>
          <w:rFonts w:ascii="Arial" w:hAnsi="Arial" w:cs="Arial"/>
          <w:lang w:val="en-US"/>
        </w:rPr>
        <w:t>benzolactams</w:t>
      </w:r>
      <w:proofErr w:type="spellEnd"/>
      <w:r w:rsidR="00F82E7E" w:rsidRPr="00CB1C44">
        <w:rPr>
          <w:rFonts w:ascii="Arial" w:hAnsi="Arial" w:cs="Arial"/>
          <w:lang w:val="en-US"/>
        </w:rPr>
        <w:t xml:space="preserve"> and bryostatin-1, were tested in AD transgenic mouse models (APP, </w:t>
      </w:r>
      <w:r w:rsidR="00DB2F34" w:rsidRPr="00CB1C44">
        <w:rPr>
          <w:rFonts w:ascii="Arial" w:hAnsi="Arial" w:cs="Arial"/>
          <w:lang w:val="en-US"/>
        </w:rPr>
        <w:t>A</w:t>
      </w:r>
      <w:r w:rsidR="00FC7A37" w:rsidRPr="00CB1C44">
        <w:rPr>
          <w:rFonts w:ascii="Arial" w:hAnsi="Arial" w:cs="Arial"/>
          <w:lang w:val="en-US"/>
        </w:rPr>
        <w:t>PP</w:t>
      </w:r>
      <w:r w:rsidR="00DB2F34" w:rsidRPr="00CB1C44">
        <w:rPr>
          <w:rFonts w:ascii="Arial" w:hAnsi="Arial" w:cs="Arial"/>
          <w:lang w:val="en-US"/>
        </w:rPr>
        <w:t>/PS1</w:t>
      </w:r>
      <w:r w:rsidR="00FC7A37" w:rsidRPr="00CB1C44">
        <w:rPr>
          <w:rFonts w:ascii="Arial" w:hAnsi="Arial" w:cs="Arial"/>
          <w:lang w:val="en-US"/>
        </w:rPr>
        <w:t xml:space="preserve"> </w:t>
      </w:r>
      <w:r w:rsidR="00F82E7E" w:rsidRPr="00CB1C44">
        <w:rPr>
          <w:rFonts w:ascii="Arial" w:hAnsi="Arial" w:cs="Arial"/>
          <w:lang w:val="en-US"/>
        </w:rPr>
        <w:t xml:space="preserve">and Tg2576). </w:t>
      </w:r>
      <w:proofErr w:type="spellStart"/>
      <w:r w:rsidR="00725EA6" w:rsidRPr="00CB1C44">
        <w:rPr>
          <w:rFonts w:ascii="Arial" w:hAnsi="Arial" w:cs="Arial"/>
          <w:lang w:val="en-US"/>
        </w:rPr>
        <w:t>B</w:t>
      </w:r>
      <w:r w:rsidR="00F82E7E" w:rsidRPr="00CB1C44">
        <w:rPr>
          <w:rFonts w:ascii="Arial" w:hAnsi="Arial" w:cs="Arial"/>
          <w:lang w:val="en-US"/>
        </w:rPr>
        <w:t>enzolactam</w:t>
      </w:r>
      <w:proofErr w:type="spellEnd"/>
      <w:r w:rsidR="00F82E7E" w:rsidRPr="00CB1C44">
        <w:rPr>
          <w:rFonts w:ascii="Arial" w:hAnsi="Arial" w:cs="Arial"/>
          <w:lang w:val="en-US"/>
        </w:rPr>
        <w:t xml:space="preserve"> </w:t>
      </w:r>
      <w:r w:rsidR="00DB2F34" w:rsidRPr="00CB1C44">
        <w:rPr>
          <w:rFonts w:ascii="Arial" w:hAnsi="Arial" w:cs="Arial"/>
          <w:lang w:val="en-US"/>
        </w:rPr>
        <w:t xml:space="preserve">significantly increased </w:t>
      </w:r>
      <w:proofErr w:type="spellStart"/>
      <w:r w:rsidR="00DB2F34" w:rsidRPr="00CB1C44">
        <w:rPr>
          <w:rFonts w:ascii="Arial" w:hAnsi="Arial" w:cs="Arial"/>
          <w:lang w:val="en-US"/>
        </w:rPr>
        <w:t>sAPP</w:t>
      </w:r>
      <w:proofErr w:type="spellEnd"/>
      <w:r w:rsidR="00DB2F34" w:rsidRPr="00CB1C44">
        <w:rPr>
          <w:rFonts w:ascii="Arial" w:hAnsi="Arial" w:cs="Arial"/>
          <w:lang w:val="en-US"/>
        </w:rPr>
        <w:t xml:space="preserve">α </w:t>
      </w:r>
      <w:r w:rsidR="00F82E7E" w:rsidRPr="00CB1C44">
        <w:rPr>
          <w:rFonts w:ascii="Arial" w:hAnsi="Arial" w:cs="Arial"/>
          <w:lang w:val="en-US"/>
        </w:rPr>
        <w:t>and reduced A</w:t>
      </w:r>
      <w:r w:rsidR="00DB2F34" w:rsidRPr="00CB1C44">
        <w:rPr>
          <w:rFonts w:ascii="Arial" w:hAnsi="Arial" w:cs="Arial"/>
          <w:lang w:val="en-US"/>
        </w:rPr>
        <w:t>β</w:t>
      </w:r>
      <w:r w:rsidR="008D0E7D" w:rsidRPr="00CB1C44">
        <w:rPr>
          <w:rFonts w:ascii="Arial" w:hAnsi="Arial" w:cs="Arial"/>
          <w:vertAlign w:val="subscript"/>
          <w:lang w:val="en-US"/>
        </w:rPr>
        <w:t>1-</w:t>
      </w:r>
      <w:r w:rsidR="00F82E7E" w:rsidRPr="00CB1C44">
        <w:rPr>
          <w:rFonts w:ascii="Arial" w:hAnsi="Arial" w:cs="Arial"/>
          <w:vertAlign w:val="subscript"/>
          <w:lang w:val="en-US"/>
        </w:rPr>
        <w:t>40</w:t>
      </w:r>
      <w:r w:rsidR="00F82E7E" w:rsidRPr="00CB1C44">
        <w:rPr>
          <w:rFonts w:ascii="Arial" w:hAnsi="Arial" w:cs="Arial"/>
          <w:lang w:val="en-US"/>
        </w:rPr>
        <w:t xml:space="preserve"> in the brain</w:t>
      </w:r>
      <w:r w:rsidR="00FC7A37" w:rsidRPr="00CB1C44">
        <w:rPr>
          <w:rFonts w:ascii="Arial" w:hAnsi="Arial" w:cs="Arial"/>
          <w:lang w:val="en-US"/>
        </w:rPr>
        <w:t>s of APP</w:t>
      </w:r>
      <w:r w:rsidR="00DB2F34" w:rsidRPr="00CB1C44">
        <w:rPr>
          <w:rFonts w:ascii="Arial" w:hAnsi="Arial" w:cs="Arial"/>
          <w:lang w:val="en-US"/>
        </w:rPr>
        <w:t xml:space="preserve"> transgenic mice, whereas similar results wer</w:t>
      </w:r>
      <w:r w:rsidR="00FC7A37" w:rsidRPr="00CB1C44">
        <w:rPr>
          <w:rFonts w:ascii="Arial" w:hAnsi="Arial" w:cs="Arial"/>
          <w:lang w:val="en-US"/>
        </w:rPr>
        <w:t>e found in APP/PS1</w:t>
      </w:r>
      <w:r w:rsidR="00DB2F34" w:rsidRPr="00CB1C44">
        <w:rPr>
          <w:rFonts w:ascii="Arial" w:hAnsi="Arial" w:cs="Arial"/>
          <w:lang w:val="en-US"/>
        </w:rPr>
        <w:t xml:space="preserve"> after bryostatin-1 treatment, with improved behavioral outcomes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{"citationItems":[{"id":"ITEM-1","itemData":{"DOI":"10.1073/pnas.0403921101","ISBN":"0027-8424; 0027-8424","ISSN":"0027-8424","abstract":"Alzheimer's disease (AD) characteristically presents with early memory loss. Regulation of K(+) channels, calcium homeostasis, and protein kinase C (PKC) activation are molecular events that have been implicated during associative memory which are also altered or defective in AD. PKC is also involved in the processing of the amyloid precursor protein (APP), a central element in AD pathophysiology. In previous studies, we demonstrated that benzolactam (BL), a novel PKC activator, reversed K(+) channels defects and enhanced secretion of APP alpha in AD cells. In this study we present data showing that another PKC activator, bryostatin 1, at subnanomolar concentrations dramatically enhances the secretion of the alpha-secretase product sAPP alpha in fibroblasts from AD patients. We also show that BL significantly increased the amount of sAPP alpha and reduced A beta 40 in the brains of APP[V717I] transgenic mice. In a more recently developed AD double-transgenic mouse, bryostatin was effective in reducing both brain A beta 40 and A beta 42. In addition, bryostatin ameliorated the rate of premature death and improved behavioral outcomes. Collectively, these data corroborate PKC and its activation as a potentially important means of ameliorating AD pathophysiology and perhaps cognitive impairment, thus offering a promising target for drug development. Because bryostatin 1 is devoid of tumor-promoting activity and is undergoing numerous clinical studies for cancer treatment in humans, it might be readily tested in patients as a potential therapeutic agent for Alzheimer's disease.","author":[{"dropping-particle":"","family":"Etcheberrigaray","given":"R","non-dropping-particle":"","parse-names":false,"suffix":""},{"dropping-particle":"","family":"Tan","given":"M","non-dropping-particle":"","parse-names":false,"suffix":""},{"dropping-particle":"","family":"Dewachter","given":"I","non-dropping-particle":"","parse-names":false,"suffix":""},{"dropping-particle":"","family":"Kuiperi","given":"C","non-dropping-particle":"","parse-names":false,"suffix":""},{"dropping-particle":"Van","family":"Auwera","given":"I","non-dropping-particle":"der","parse-names":false,"suffix":""},{"dropping-particle":"","family":"Wera","given":"S","non-dropping-particle":"","parse-names":false,"suffix":""},{"dropping-particle":"","family":"Qiao","given":"L","non-dropping-particle":"","parse-names":false,"suffix":""},{"dropping-particle":"","family":"Bank","given":"B","non-dropping-particle":"","parse-names":false,"suffix":""},{"dropping-particle":"","family":"Nelson","given":"T J","non-dropping-particle":"","parse-names":false,"suffix":""},{"dropping-particle":"","family":"Kozikowski","given":"A P","non-dropping-particle":"","parse-names":false,"suffix":""},{"dropping-particle":"Van","family":"Leuven","given":"F","non-dropping-particle":"","parse-names":false,"suffix":""},{"dropping-particle":"","family":"Alkon","given":"D L","non-dropping-particle":"","parse-names":false,"suffix":""}],"container-title":"Proceedings of the National Academy of Sciences of the United States of America","id":"ITEM-1","issue":"30","issued":{"date-parts":[["2004"]]},"page":"11141-11146","title":"Therapeutic effects of PKC activators in Alzheimer's disease transgenic mice","type":"article-journal","volume":"101"},"uris":["http://www.mendeley.com/documents/?uuid=bc60578a-92ed-4ed8-a393-1a817de3e2cb"]}],"mendeley":{"formattedCitation":"(Etcheberrigaray et al., 2004)","plainTextFormattedCitation":"(Etcheberrigaray et al., 2004)","previouslyFormattedCitation":"(Etcheberrigaray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(Etcheberrigaray et al., 2004)</w:t>
      </w:r>
      <w:r w:rsidR="00844011" w:rsidRPr="00CB1C44">
        <w:rPr>
          <w:rFonts w:ascii="Arial" w:hAnsi="Arial" w:cs="Arial"/>
          <w:lang w:val="en-US"/>
        </w:rPr>
        <w:fldChar w:fldCharType="end"/>
      </w:r>
      <w:r w:rsidR="00DB2F34" w:rsidRPr="00CB1C44">
        <w:rPr>
          <w:rFonts w:ascii="Arial" w:hAnsi="Arial" w:cs="Arial"/>
          <w:lang w:val="en-US"/>
        </w:rPr>
        <w:t>.</w:t>
      </w:r>
      <w:r w:rsidR="007D232E" w:rsidRPr="00CB1C44">
        <w:rPr>
          <w:rFonts w:ascii="Arial" w:hAnsi="Arial" w:cs="Arial"/>
          <w:lang w:val="en-US"/>
        </w:rPr>
        <w:t xml:space="preserve"> Tg2576 mice</w:t>
      </w:r>
      <w:r w:rsidR="00F82E64" w:rsidRPr="00CB1C44">
        <w:rPr>
          <w:rFonts w:ascii="Arial" w:hAnsi="Arial" w:cs="Arial"/>
          <w:lang w:val="en-US"/>
        </w:rPr>
        <w:t xml:space="preserve">, which overexpress </w:t>
      </w:r>
      <w:r w:rsidR="00065ABC" w:rsidRPr="00CB1C44">
        <w:rPr>
          <w:rFonts w:ascii="Arial" w:hAnsi="Arial" w:cs="Arial"/>
          <w:lang w:val="en-US"/>
        </w:rPr>
        <w:t xml:space="preserve">a human mutant form of </w:t>
      </w:r>
      <w:r w:rsidR="00F82E64" w:rsidRPr="00CB1C44">
        <w:rPr>
          <w:rFonts w:ascii="Arial" w:hAnsi="Arial" w:cs="Arial"/>
          <w:lang w:val="en-US"/>
        </w:rPr>
        <w:t>APP,</w:t>
      </w:r>
      <w:r w:rsidR="007D232E" w:rsidRPr="00CB1C44">
        <w:rPr>
          <w:rFonts w:ascii="Arial" w:hAnsi="Arial" w:cs="Arial"/>
          <w:lang w:val="en-US"/>
        </w:rPr>
        <w:t xml:space="preserve"> treated with bryostatin-1 showed cognitive  improvement, decreased Aβ accumulation in the brain and </w:t>
      </w:r>
      <w:r w:rsidR="008E1422" w:rsidRPr="00CB1C44">
        <w:rPr>
          <w:rFonts w:ascii="Arial" w:hAnsi="Arial" w:cs="Arial"/>
          <w:lang w:val="en-US"/>
        </w:rPr>
        <w:t xml:space="preserve">reduced </w:t>
      </w:r>
      <w:r w:rsidR="007D232E" w:rsidRPr="00CB1C44">
        <w:rPr>
          <w:rFonts w:ascii="Arial" w:hAnsi="Arial" w:cs="Arial"/>
          <w:lang w:val="en-US"/>
        </w:rPr>
        <w:t xml:space="preserve">hippocampal synapse loss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{"citationItems":[{"id":"ITEM-1","itemData":{"DOI":"10.1523/JNEUROSCI.5209-10.2011","ISSN":"1529-2401","PMID":"21228172","abstract":"Among the pathologic hallmarks of Alzheimer's disease (AD) neurodegeneration, only synaptic loss in the brains of AD patients closely correlates with the degree of dementia in vivo. Here, we describe a molecular basis for this AD loss of synapses: pathological reduction of synaptogenic PKC isozymes and their downstream synaptogenic substrates, such as brain-derived neurotrophic factor. This reduction, particularly of PKC α and ε, occurs in association with elevation of soluble β amyloid protein (Aβ), but before the appearance of the amyloid plaques or neuronal loss in the Tg2576 AD transgenic mouse strain. Conversely, treatment of the Tg2576 mouse brain with the PKC activator, bryostatin-1, restores normal or supranormal levels of PKC α and ε, reduces the level of soluble Aβ, prevents and/or reverses the loss of hippocampal synapses, and prevents the memory impairment observed at 5 months postpartum. Similarly, the PKC ε-specific activator, DCP-LA, effectively prevents synaptic loss, amyloid plaques, and cognitive deficits (also prevented by bryostatin-1) in the much more rapidly progressing 5XFAD transgenic strain. These results suggest that synaptic loss and the resulting cognitive deficits depend on the balance between the lowering effects of Aβ on PKC α and ε versus the lowering effects of PKC on Aβ in AD transgenic mice.","author":[{"dropping-particle":"","family":"Hongpaisan","given":"Jarin","non-dropping-particle":"","parse-names":false,"suffix":""},{"dropping-particle":"","family":"Sun","given":"Miao-Kun","non-dropping-particle":"","parse-names":false,"suffix":""},{"dropping-particle":"","family":"Alkon","given":"Daniel L","non-dropping-particle":"","parse-names":false,"suffix":""}],"container-title":"The Journal of neuroscience : the official journal of the Society for Neuroscience","id":"ITEM-1","issue":"2","issued":{"date-parts":[["2011"]]},"page":"630-43","title":"PKC ε activation prevents synaptic loss, Aβ elevation, and cognitive deficits in Alzheimer's disease transgenic mice.","type":"article-journal","volume":"31"},"uris":["http://www.mendeley.com/documents/?uuid=267164c9-8b1c-4c74-8611-9ac028a0b3e5"]}],"mendeley":{"formattedCitation":"(Hongpaisan et al., 2011)","plainTextFormattedCitation":"(Hongpaisan et al., 2011)","previouslyFormattedCitation":"(Hongpaisan et al., 2011)"},"properties":{"noteIndex":0},"schema":"https://github.com/citation-style-language/schema/raw/master/csl-citation.json"}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(Hongpaisan et al., 2011)</w:t>
      </w:r>
      <w:r w:rsidR="00844011" w:rsidRPr="00CB1C44">
        <w:rPr>
          <w:rFonts w:ascii="Arial" w:hAnsi="Arial" w:cs="Arial"/>
          <w:lang w:val="en-US"/>
        </w:rPr>
        <w:fldChar w:fldCharType="end"/>
      </w:r>
      <w:r w:rsidR="007D232E" w:rsidRPr="00CB1C44">
        <w:rPr>
          <w:rFonts w:ascii="Arial" w:hAnsi="Arial" w:cs="Arial"/>
          <w:lang w:val="en-US"/>
        </w:rPr>
        <w:t xml:space="preserve">. </w:t>
      </w:r>
      <w:r w:rsidR="00227DDD" w:rsidRPr="00CB1C44">
        <w:rPr>
          <w:rFonts w:ascii="Arial" w:hAnsi="Arial" w:cs="Arial"/>
          <w:lang w:val="en-US"/>
        </w:rPr>
        <w:t>Although none</w:t>
      </w:r>
      <w:r w:rsidR="0042420F" w:rsidRPr="00CB1C44">
        <w:rPr>
          <w:rFonts w:ascii="Arial" w:hAnsi="Arial" w:cs="Arial"/>
          <w:lang w:val="en-US"/>
        </w:rPr>
        <w:t xml:space="preserve"> </w:t>
      </w:r>
      <w:r w:rsidR="007B6968" w:rsidRPr="00CB1C44">
        <w:rPr>
          <w:rFonts w:ascii="Arial" w:hAnsi="Arial" w:cs="Arial"/>
          <w:lang w:val="en-US"/>
        </w:rPr>
        <w:t>of the</w:t>
      </w:r>
      <w:r w:rsidR="009B338E" w:rsidRPr="00CB1C44">
        <w:rPr>
          <w:rFonts w:ascii="Arial" w:hAnsi="Arial" w:cs="Arial"/>
          <w:lang w:val="en-US"/>
        </w:rPr>
        <w:t>s</w:t>
      </w:r>
      <w:r w:rsidR="007B6968" w:rsidRPr="00CB1C44">
        <w:rPr>
          <w:rFonts w:ascii="Arial" w:hAnsi="Arial" w:cs="Arial"/>
          <w:lang w:val="en-US"/>
        </w:rPr>
        <w:t>e</w:t>
      </w:r>
      <w:r w:rsidR="009B338E" w:rsidRPr="00CB1C44">
        <w:rPr>
          <w:rFonts w:ascii="Arial" w:hAnsi="Arial" w:cs="Arial"/>
          <w:lang w:val="en-US"/>
        </w:rPr>
        <w:t xml:space="preserve"> </w:t>
      </w:r>
      <w:r w:rsidR="00F82E64" w:rsidRPr="00CB1C44">
        <w:rPr>
          <w:rFonts w:ascii="Arial" w:hAnsi="Arial" w:cs="Arial"/>
          <w:lang w:val="en-US"/>
        </w:rPr>
        <w:t xml:space="preserve">studies </w:t>
      </w:r>
      <w:proofErr w:type="spellStart"/>
      <w:r w:rsidR="00F82E64" w:rsidRPr="00CB1C44">
        <w:rPr>
          <w:rFonts w:ascii="Arial" w:hAnsi="Arial" w:cs="Arial"/>
          <w:lang w:val="en-US"/>
        </w:rPr>
        <w:t>analysed</w:t>
      </w:r>
      <w:proofErr w:type="spellEnd"/>
      <w:r w:rsidR="0042420F" w:rsidRPr="00CB1C44">
        <w:rPr>
          <w:rFonts w:ascii="Arial" w:hAnsi="Arial" w:cs="Arial"/>
          <w:lang w:val="en-US"/>
        </w:rPr>
        <w:t xml:space="preserve"> Nrf2 levels</w:t>
      </w:r>
      <w:r w:rsidR="00725EA6" w:rsidRPr="00CB1C44">
        <w:rPr>
          <w:rFonts w:ascii="Arial" w:hAnsi="Arial" w:cs="Arial"/>
          <w:lang w:val="en-US"/>
        </w:rPr>
        <w:t xml:space="preserve"> after treatment</w:t>
      </w:r>
      <w:r w:rsidR="009B338E" w:rsidRPr="00CB1C44">
        <w:rPr>
          <w:rFonts w:ascii="Arial" w:hAnsi="Arial" w:cs="Arial"/>
          <w:lang w:val="en-US"/>
        </w:rPr>
        <w:t>, results obtained are promising and deserve</w:t>
      </w:r>
      <w:r w:rsidR="00BC2641" w:rsidRPr="00CB1C44">
        <w:rPr>
          <w:rFonts w:ascii="Arial" w:hAnsi="Arial" w:cs="Arial"/>
          <w:lang w:val="en-US"/>
        </w:rPr>
        <w:t>d</w:t>
      </w:r>
      <w:r w:rsidR="009B338E" w:rsidRPr="00CB1C44">
        <w:rPr>
          <w:rFonts w:ascii="Arial" w:hAnsi="Arial" w:cs="Arial"/>
          <w:lang w:val="en-US"/>
        </w:rPr>
        <w:t xml:space="preserve"> to be more thoroughly</w:t>
      </w:r>
      <w:r w:rsidR="00227DDD" w:rsidRPr="00CB1C44">
        <w:rPr>
          <w:rFonts w:ascii="Arial" w:hAnsi="Arial" w:cs="Arial"/>
          <w:lang w:val="en-US"/>
        </w:rPr>
        <w:t xml:space="preserve"> investigated</w:t>
      </w:r>
      <w:r w:rsidR="009B338E" w:rsidRPr="00CB1C44">
        <w:rPr>
          <w:rFonts w:ascii="Arial" w:hAnsi="Arial" w:cs="Arial"/>
          <w:lang w:val="en-US"/>
        </w:rPr>
        <w:t>.</w:t>
      </w:r>
      <w:r w:rsidR="00A31CC5" w:rsidRPr="00CB1C44">
        <w:rPr>
          <w:rFonts w:ascii="Arial" w:hAnsi="Arial" w:cs="Arial"/>
          <w:lang w:val="en-US"/>
        </w:rPr>
        <w:t xml:space="preserve"> </w:t>
      </w:r>
    </w:p>
    <w:p w14:paraId="49EB58FE" w14:textId="6DEC37BC" w:rsidR="00AB1749" w:rsidRPr="00CB1C44" w:rsidRDefault="0010203E" w:rsidP="004038B5">
      <w:pPr>
        <w:spacing w:after="0" w:line="360" w:lineRule="auto"/>
        <w:jc w:val="both"/>
        <w:rPr>
          <w:rFonts w:ascii="Arial" w:hAnsi="Arial" w:cs="Arial"/>
          <w:lang w:val="en-US"/>
        </w:rPr>
      </w:pPr>
      <w:r w:rsidRPr="00CB1C44">
        <w:rPr>
          <w:rFonts w:ascii="Arial" w:hAnsi="Arial" w:cs="Arial"/>
          <w:lang w:val="en-US"/>
        </w:rPr>
        <w:t xml:space="preserve">GSK-3β protein kinase is involved in Nrf2 regulation through phosphorylation of Nrf2 </w:t>
      </w:r>
      <w:r w:rsidR="00D73658" w:rsidRPr="00CB1C44">
        <w:rPr>
          <w:rFonts w:ascii="Arial" w:hAnsi="Arial" w:cs="Arial"/>
          <w:lang w:val="en-US"/>
        </w:rPr>
        <w:t>Ser334-338</w:t>
      </w:r>
      <w:r w:rsidRPr="00CB1C44">
        <w:rPr>
          <w:rFonts w:ascii="Arial" w:hAnsi="Arial" w:cs="Arial"/>
          <w:lang w:val="en-US"/>
        </w:rPr>
        <w:t xml:space="preserve"> residues</w:t>
      </w:r>
      <w:r w:rsidR="008E1422" w:rsidRPr="00CB1C44">
        <w:rPr>
          <w:rFonts w:ascii="Arial" w:hAnsi="Arial" w:cs="Arial"/>
          <w:lang w:val="en-US"/>
        </w:rPr>
        <w:t>,</w:t>
      </w:r>
      <w:r w:rsidRPr="00CB1C44">
        <w:rPr>
          <w:rFonts w:ascii="Arial" w:hAnsi="Arial" w:cs="Arial"/>
          <w:lang w:val="en-US"/>
        </w:rPr>
        <w:t xml:space="preserve"> leading to its degradation in a Keap1-independent manner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{"citationItems":[{"id":"ITEM-1","itemData":{"DOI":"10.1111/j.1471-4159.2007.05124.x","ISBN":"1471-4159 (Electronic)","ISSN":"00223042","PMID":"18005231","abstract":"Oxidant injury activates the neuroprotective pathway represented by phosphatidylinositol 3 kinase (PI3K) and Akt. However, the final outcome of oxidant exposure is often associated with neuronal death. This study was aimed to identify the molecular mechanism responsible for loss of tolerance to an oxidative environment. In N2A neuroblasts, serum and H2O2 exhibited different kinetics of regulation for the Ser/Thr kinases Akt and glycogen synthase kinase 3beta (GSK-3beta) and for the transcription factor Nrf2, which governs redox homeostasis. Thus, H2O2 rapidly activated Akt, inhibited GSK-3beta, and directed the transcription factor Nrf2 to the nucleus, but after 4 h Akt was inactive, GSK-3beta was active and Nrf2 was more cytosolic than nuclear. Inhibition of the PI3K/Akt pathway by LY294002, impeded the short-term effect of H2O2 on nuclear translocation of Nrf2. GSK-3beta activation (inhibiting PI3K/Akt) or direct GSK-3beta inhibition in cerebellar granule neurons resulted in respective nuclear exclusion and nuclear accumulation of Nrf2. Moreover, in these neurons, nuclear accumulation of Nrf2 correlated with increased heme oxygenase-1 expression. Over-expression of the kinase active GSK-3beta (Delta9) mutant, induced Nrf2 cytoplasmic localization and inhibited Nrf2 transcriptional activity towards an antioxidant-response-element luciferase reporter. Moreover, GSK-3beta (Delta9) sensitized N2A neuroblasts to H2O2-induced oxidative stress and cell death. This study identifies GSK-3beta, a kinase known to participate in neurodegeneration, as a fundamental element in the down-regulation of the antioxidant cell defense elicited by Nrf2 after oxidant injury and provides a mechanism to explain the loss of oxidant tolerance that happens under persistent oxidant exposure such as those found in several neuropathologies.","author":[{"dropping-particle":"","family":"Rojo","given":"Ana I.","non-dropping-particle":"","parse-names":false,"suffix":""},{"dropping-particle":"De","family":"Sagarra","given":"María Rosa","non-dropping-particle":"","parse-names":false,"suffix":""},{"dropping-particle":"","family":"Cuadrado","given":"Antonio","non-dropping-particle":"","parse-names":false,"suffix":""}],"container-title":"Journal of Neurochemistry","id":"ITEM-1","issue":"1","issued":{"date-parts":[["2008"]]},"page":"192-202","title":"GSK-3β down-regulates the transcription factor Nrf2 after oxidant damage: Relevance to exposure of neuronal cells to oxidative stress","type":"article-journal","volume":"105"},"uris":["http://www.mendeley.com/documents/?uuid=b7cd7747-3bd3-4ff1-8b16-e7c310136a72"]},{"id":"ITEM-2","itemData":{"DOI":"10.1128/MCB.01204-10","ISBN":"1098-5549 (Electronic)\\r0270-7306 (Linking)","ISSN":"1098-5549","PMID":"21245377","abstract":"Regulation of transcription factor Nrf2 (NF-E2-related factor 2) involves redox-sensitive proteasomal degradation via the E3 ubiquitin ligase Keap1/Cul3. However, Nrf2 is controlled by other mechanisms that have not yet been elucidated. We now show that glycogen synthase kinase 3 (GSK-3) phosphorylates a group of Ser residues in the Neh6 domain of mouse Nrf2 that overlap with an SCF/β-TrCP destruction motif (DSGIS, residues 334 to 338) and promotes its degradation in a Keap1-independent manner. Nrf2 was stabilized by GSK-3 inhibitors in Keap1-null mouse embryo fibroblasts. Similarly, an Nrf2(ΔETGE) mutant, which cannot be degraded via Keap1, accumulated when GSK-3 activity was blocked. Phosphorylation of a Ser cluster in the Neh6 domain of Nrf2 stimulated its degradation because a mutant Nrf2(ΔETGE 6S/6A) protein, lacking these Ser residues, exhibited a longer half-life than Nrf2(ΔETGE). Moreover, Nrf2(ΔETGE 6S/6A) was insensitive to β-TrCP regulation and exhibited lower levels of ubiquitination than Nrf2(ΔETGE). GSK-3β enhanced ubiquitination of Nrf2(ΔETGE) but not that of Nrf2(ΔETGE 6S/6A). The Nrf2(ΔETGE) protein but not Nrf2(ΔETGE 6S/6A) coimmunoprecipitated with β-TrCP, and this association was enhanced by GSK-3β. Our results show for the first time that Nrf2 is targeted by GSK-3 for SCF/β-TrCP-dependent degradation. We propose a \"dual degradation\" model to describe the regulation of Nrf2 under different pathophysiological conditions.","author":[{"dropping-particle":"","family":"Rada","given":"Patricia","non-dropping-particle":"","parse-names":false,"suffix":""},{"dropping-particle":"","family":"Rojo","given":"Ana I","non-dropping-particle":"","parse-names":false,"suffix":""},{"dropping-particle":"","family":"Chowdhry","given":"Sudhir","non-dropping-particle":"","parse-names":false,"suffix":""},{"dropping-particle":"","family":"McMahon","given":"Michael","non-dropping-particle":"","parse-names":false,"suffix":""},{"dropping-particle":"","family":"Hayes","given":"John D","non-dropping-particle":"","parse-names":false,"suffix":""},{"dropping-particle":"","family":"Cuadrado","given":"Antonio","non-dropping-particle":"","parse-names":false,"suffix":""}],"container-title":"Molecular and cellular biology","id":"ITEM-2","issue":"6","issued":{"date-parts":[["2011","3"]]},"page":"1121-33","title":"SCF/{beta}-TrCP promotes glycogen synthase kinase 3-dependent degradation of the Nrf2 transcription factor in a Keap1-independent manner.","type":"article-journal","volume":"31"},"uris":["http://www.mendeley.com/documents/?uuid=bfd8bd48-da2a-46a3-95d9-ea13e1676122"]}],"mendeley":{"formattedCitation":"(Rada et al., 2011; Rojo et al., 2008b)","plainTextFormattedCitation":"(Rada et al., 2011; Rojo et al., 2008b)","previouslyFormattedCitation":"(Rada et al., 2011; Rojo et al., 2008b)"},"properties":{"noteIndex":0},"schema":"https://github.com/citation-style-language/schema/raw/master/csl-citation.json"}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(Rada et al., 2011; Rojo et al., 2008b)</w:t>
      </w:r>
      <w:r w:rsidRPr="00CB1C44">
        <w:rPr>
          <w:rFonts w:ascii="Arial" w:hAnsi="Arial" w:cs="Arial"/>
          <w:lang w:val="en-US"/>
        </w:rPr>
        <w:fldChar w:fldCharType="end"/>
      </w:r>
      <w:r w:rsidRPr="00CB1C44">
        <w:rPr>
          <w:rFonts w:ascii="Arial" w:hAnsi="Arial" w:cs="Arial"/>
          <w:lang w:val="en-US"/>
        </w:rPr>
        <w:t xml:space="preserve">. </w:t>
      </w:r>
      <w:r w:rsidR="00426137" w:rsidRPr="00CB1C44">
        <w:rPr>
          <w:rFonts w:ascii="Arial" w:hAnsi="Arial" w:cs="Arial"/>
          <w:lang w:val="en-US"/>
        </w:rPr>
        <w:t xml:space="preserve">In human AD brains, GSK-3β activation is increased </w:t>
      </w:r>
      <w:r w:rsidR="0042613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{"citationItems":[{"id":"ITEM-1","itemData":{"DOI":"10.1111/j.1365-2990.2006.00795.x","ISBN":"0305-1846 (Print)","ISSN":"03051846","PMID":"17239007","abstract":"The somatodendritic accumulation of hyperphosphorylated tau proteins is an early event preceding the appearance of neurofibrillary tangles (NFT) in Alzheimer's disease (AD) and might be necessary for their formation. Glycogen synthase kinase-3beta (GSK-3beta) is a physiological kinase for tau that generates many tau phosphorylation sites identified in NFT and in other tau-positive inclusions. We have studied the cellular distribution and the expression of the active form of GSK-3beta (GSK-3 pTyr216) in AD patients, in argyrophilic grain disease and in diffuse Lewy body disease. By Western blotting analysis, a significant increase in the level of GSK-3 (pTyr216) was observed in the frontal cortex of AD patients. A population of neurones showed a somatodendritic accumulation of GSK-3 (pTyr216) but not of the inactive form of GSK-3beta (GSK-3 pSer9). Most of these GSK-3 (pTyr216)-positive cells were positive for six different phosphotau epitopes known to be generated by GSK-3beta. By using a quadruple labelling method using GSK-3 (pTyr216) and phosphotau immunolabelling combined with Gallyas and DAPI staining, we examined neurones containing a somatodendritic GSK-3 (pTyr216) immunoreactivity at different stages of neurodegeneration. A majority of neurones at the pretangle stage without Gallyas-positive inclusions were GSK-3 (pTyr216) positive and this GSK-3 (pTyr216) immunoreactivity remained in most cells containing Gallyas and phosphotau-positive inclusions excepted in extracellular NFT. A GSK-3 (pTyr216) immunoreactivity was present in argyrophilic grains but not in cortical Lewy bodies. These results directly suggest that the activity of GSK-3beta is increased in AD and that somatodendritic accumulation and activation of GSK-3beta is an early event preceding and accompanying the formation of NFT and of other tau-positive inclusions.","author":[{"dropping-particle":"","family":"Leroy","given":"K.","non-dropping-particle":"","parse-names":false,"suffix":""},{"dropping-particle":"","family":"Yilmaz","given":"Z.","non-dropping-particle":"","parse-names":false,"suffix":""},{"dropping-particle":"","family":"Brion","given":"J. P.","non-dropping-particle":"","parse-names":false,"suffix":""}],"container-title":"Neuropathology and Applied Neurobiology","id":"ITEM-1","issue":"1","issued":{"date-parts":[["2007"]]},"page":"43-55","title":"Increased level of active GSK-3?? in Alzheimer's disease and accumulation in argyrophilic grains and in neurones at different stages of neurofibrillary degeneration","type":"article-journal","volume":"33"},"uris":["http://www.mendeley.com/documents/?uuid=2a36bab3-3b7f-4846-99ac-d941d8f62924"]},{"id":"ITEM-2","itemData":{"DOI":"10.1097/00005072-199701000-00007","ISBN":"0022-3069 (Print)\\r0022-3069 (Linking)","ISSN":"0022-3069","PMID":"8990130","abstract":"A number of studies have implicated a proline-directed protein kinase, glycogen synthase kinase-3 (GSK-3) in the hyperphosphorylation of tau in Alzheimer's disease (AD). Toward understanding the role of GSK-3 in the abnormal hyperphosphorylation of tau in AD we have found that GSK-3 is prominently present in neuronal cell bodies and their processes and co-localizes with neurofibrillary changes in AD brain. Furthermore, the levels of GSK-3 as determined by indirect ELISA are approximately 50% increased in the postsynaptosomal supernatant from AD brains as compared to the controls. However, no increase in GSK-3 enzyme activity was detected. In AD brain, with its reduced phosphatase activity, even normal levels of GSK-3 activity might be sufficient for the hyperphosphorylation of tau.","author":[{"dropping-particle":"","family":"PEI","given":"JIN-JING","non-dropping-particle":"","parse-names":false,"suffix":""},{"dropping-particle":"","family":"TANAKA","given":"TOSHIHISA","non-dropping-particle":"","parse-names":false,"suffix":""},{"dropping-particle":"","family":"TUNG","given":"YUNN-CHYN","non-dropping-particle":"","parse-names":false,"suffix":""},{"dropping-particle":"","family":"BRAAK","given":"EVA","non-dropping-particle":"","parse-names":false,"suffix":""},{"dropping-particle":"","family":"IQBAL","given":"KHALID","non-dropping-particle":"","parse-names":false,"suffix":""},{"dropping-particle":"","family":"GRUNDKE-IQBAL","given":"INGE","non-dropping-particle":"","parse-names":false,"suffix":""}],"container-title":"Journal of Neuropathology and Experimental Neurology","id":"ITEM-2","issue":"1","issued":{"date-parts":[["1997"]]},"page":"70-78","title":"Distribution, Levels, and Activity of Glycogen Synthase Kinase-3 in the Alzheimer Disease Brain","type":"article-journal","volume":"56"},"uris":["http://www.mendeley.com/documents/?uuid=2330ad03-a571-441c-9e8c-85d6f3a96a37"]}],"mendeley":{"formattedCitation":"(Leroy et al., 2007; PEI et al., 1997)","plainTextFormattedCitation":"(Leroy et al., 2007; PEI et al., 1997)","previouslyFormattedCitation":"(Leroy et al., 2007; PEI et al., 1997)"},"properties":{"noteIndex":0},"schema":"https://github.com/citation-style-language/schema/raw/master/csl-citation.json"}</w:instrText>
      </w:r>
      <w:r w:rsidR="00426137" w:rsidRPr="00CB1C44">
        <w:rPr>
          <w:rFonts w:ascii="Arial" w:hAnsi="Arial" w:cs="Arial"/>
          <w:lang w:val="en-US"/>
        </w:rPr>
        <w:fldChar w:fldCharType="separate"/>
      </w:r>
      <w:r w:rsidR="00DD645C" w:rsidRPr="00CB1C44">
        <w:rPr>
          <w:rFonts w:ascii="Arial" w:hAnsi="Arial" w:cs="Arial"/>
          <w:noProof/>
          <w:lang w:val="en-US"/>
        </w:rPr>
        <w:t>(Leroy et al., 2007; PEI et al., 1997)</w:t>
      </w:r>
      <w:r w:rsidR="00426137" w:rsidRPr="00CB1C44">
        <w:rPr>
          <w:rFonts w:ascii="Arial" w:hAnsi="Arial" w:cs="Arial"/>
          <w:lang w:val="en-US"/>
        </w:rPr>
        <w:fldChar w:fldCharType="end"/>
      </w:r>
      <w:r w:rsidR="00426137" w:rsidRPr="00CB1C44">
        <w:rPr>
          <w:rFonts w:ascii="Arial" w:hAnsi="Arial" w:cs="Arial"/>
          <w:lang w:val="en-US"/>
        </w:rPr>
        <w:t xml:space="preserve"> and participates in tau hyperphosphorylation </w:t>
      </w:r>
      <w:r w:rsidR="0042613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{"citationItems":[{"id":"ITEM-1","itemData":{"DOI":"10.1097/00005072-199909000-00011","ISBN":"0022-3069 (Print)\\n0022-3069 (Linking)","ISSN":"0022-3069","PMID":"10499443","abstract":"Accumulation of paired helical filaments (PHFs) in neurofibrillary tangles, neuropil threads, and dystrophic neurites is one of the major neuropathol. hallmarks of Alzheimer disease (AD).  The principal protein subunit of PHFs is the abnormally hyperphosphorylated tau.  Glycogen synthase kinase 3β (GSK-3β) is one of the candidate kinases involved in PHF-tau formation.  To play a role in PHF-tau formation, it would be expected that GSK-3β is active in tangle bearing neurons.  In the present study, the authors investigated the regional and intracellular distributions of active and inactive forms of GSK-3β in brains staged for neurofibrillary changes.  The authors found that neurons with tangle-like inclusions pos. for active, but not inactive, GSK-3β appear initially in the Pre-α layer of the entorhinal cortex and extend to other brain regions, coincident with the sequence of the development of neurofibrillary changes.  Active, but not inactive, GSK-3β was found to initially accumulate in the cytoplasm of pretangle neurons.  These data provide direct in situ evidence that is consistent with the involvement of GSK-3β in PHF-tau formation. [on SciFinder(R)]","author":[{"dropping-particle":"","family":"Pei","given":"Jin-Jing","non-dropping-particle":"","parse-names":false,"suffix":""},{"dropping-particle":"","family":"Braak","given":"Eva","non-dropping-particle":"","parse-names":false,"suffix":""},{"dropping-particle":"","family":"Braak","given":"Heiko","non-dropping-particle":"","parse-names":false,"suffix":""},{"dropping-particle":"","family":"Grundke-Iqbal","given":"Inge","non-dropping-particle":"","parse-names":false,"suffix":""},{"dropping-particle":"","family":"Iqbal","given":"Khalid","non-dropping-particle":"","parse-names":false,"suffix":""},{"dropping-particle":"","family":"Winblad","given":"Bengt","non-dropping-particle":"","parse-names":false,"suffix":""},{"dropping-particle":"","family":"Cowburn","given":"Richard F","non-dropping-particle":"","parse-names":false,"suffix":""}],"container-title":"Journal of Neuropathology and Experimental Neurology","id":"ITEM-1","issue":"9","issued":{"date-parts":[["1999"]]},"page":"1010-1019","title":"Distribution of active glycogen synthase kinase 3β (GSK-3β) in brains staged for Alzheimer disease neurofibrillary changes.","type":"article-journal","volume":"58"},"uris":["http://www.mendeley.com/documents/?uuid=7e7ba0ab-e87a-4677-a2a1-bfb4f65cdbfe"]}],"mendeley":{"formattedCitation":"(Pei et al., 1999)","plainTextFormattedCitation":"(Pei et al., 1999)","previouslyFormattedCitation":"(Pei et al., 1999)"},"properties":{"noteIndex":0},"schema":"https://github.com/citation-style-language/schema/raw/master/csl-citation.json"}</w:instrText>
      </w:r>
      <w:r w:rsidR="00426137" w:rsidRPr="00CB1C44">
        <w:rPr>
          <w:rFonts w:ascii="Arial" w:hAnsi="Arial" w:cs="Arial"/>
          <w:lang w:val="en-US"/>
        </w:rPr>
        <w:fldChar w:fldCharType="separate"/>
      </w:r>
      <w:r w:rsidR="00DD645C" w:rsidRPr="00CB1C44">
        <w:rPr>
          <w:rFonts w:ascii="Arial" w:hAnsi="Arial" w:cs="Arial"/>
          <w:noProof/>
          <w:lang w:val="en-US"/>
        </w:rPr>
        <w:t>(Pei et al., 1999)</w:t>
      </w:r>
      <w:r w:rsidR="00426137" w:rsidRPr="00CB1C44">
        <w:rPr>
          <w:rFonts w:ascii="Arial" w:hAnsi="Arial" w:cs="Arial"/>
          <w:lang w:val="en-US"/>
        </w:rPr>
        <w:fldChar w:fldCharType="end"/>
      </w:r>
      <w:r w:rsidR="00426137" w:rsidRPr="00CB1C44">
        <w:rPr>
          <w:rFonts w:ascii="Arial" w:hAnsi="Arial" w:cs="Arial"/>
          <w:lang w:val="en-US"/>
        </w:rPr>
        <w:t xml:space="preserve">. </w:t>
      </w:r>
      <w:r w:rsidR="004E0CA5" w:rsidRPr="00CB1C44">
        <w:rPr>
          <w:rFonts w:ascii="Arial" w:hAnsi="Arial" w:cs="Arial"/>
          <w:lang w:val="en-US"/>
        </w:rPr>
        <w:t>M</w:t>
      </w:r>
      <w:r w:rsidR="00426137" w:rsidRPr="00CB1C44">
        <w:rPr>
          <w:rFonts w:ascii="Arial" w:hAnsi="Arial" w:cs="Arial"/>
          <w:lang w:val="en-US"/>
        </w:rPr>
        <w:t xml:space="preserve">ature cortical neurons, derived from induced pluripotent stem cell (iPSC) lines of patients with familial and sporadic AD, </w:t>
      </w:r>
      <w:r w:rsidR="004E0CA5" w:rsidRPr="00CB1C44">
        <w:rPr>
          <w:rFonts w:ascii="Arial" w:hAnsi="Arial" w:cs="Arial"/>
          <w:lang w:val="en-US"/>
        </w:rPr>
        <w:t xml:space="preserve">also </w:t>
      </w:r>
      <w:r w:rsidR="00426137" w:rsidRPr="00CB1C44">
        <w:rPr>
          <w:rFonts w:ascii="Arial" w:hAnsi="Arial" w:cs="Arial"/>
          <w:lang w:val="en-US"/>
        </w:rPr>
        <w:t xml:space="preserve">presented increased levels of active GSK-3β </w:t>
      </w:r>
      <w:r w:rsidR="0042613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{"citationItems":[{"id":"ITEM-1","itemData":{"DOI":"10.1186/s13195-017-0317-z","ISSN":"1758-9193","PMID":"29191219","abstract":"BACKGROUND Alzheimer's disease (AD) is the most common type of dementia, affecting one in eight adults over 65 years of age. The majority of AD cases are sporadic, with unknown etiology, and only 5% of all patients with AD present the familial monogenic form of the disease. In the present study, our aim was to establish an in vitro cell model based on patient-specific human neurons to study the pathomechanism of sporadic AD. METHODS We compared neurons derived from induced pluripotent stem cell (iPSC) lines of patients with early-onset familial Alzheimer's disease (fAD), all caused by mutations in the PSEN1 gene; patients with late-onset sporadic Alzheimer's disease (sAD); and three control individuals without dementia. The iPSC lines were differentiated toward mature cortical neurons, and AD pathological hallmarks were analyzed by RT-qPCR, enzyme-linked immunosorbent assay, and Western blotting methods. RESULTS Neurons from patients with fAD and patients with sAD showed increased phosphorylation of TAU protein at all investigated phosphorylation sites. Relative to the control neurons, neurons derived from patients with fAD and patients with sAD exhibited higher levels of extracellular amyloid-β 1-40 (Aβ1-40) and amyloid-β 1-42 (Aβ1-42). However, significantly increased Aβ1-42/Aβ1-40 ratios, which is one of the pathological markers of fAD, were observed only in samples of patients with fAD. Additionally, we detected increased levels of active glycogen synthase kinase 3 β, a physiological kinase of TAU, in neurons derived from AD iPSCs, as well as significant upregulation of amyloid precursor protein (APP) synthesis and APP carboxy-terminal fragment cleavage. Moreover, elevated sensitivity to oxidative stress, as induced by amyloid oligomers or peroxide, was detected in both fAD- and sAD-derived neurons. CONCLUSIONS On the basis of the experiments we performed, we can conclude there is no evident difference except secreted Aβ1-40 levels in phenotype between fAD and sAD samples. To our knowledge, this is the first study in which the hyperphosphorylation of TAU protein has been compared in fAD and sAD iPSC-derived neurons. Our findings demonstrate that iPSC technology is suitable to model both fAD and sAD and may provide a platform for developing new treatment strategies for these conditions.","author":[{"dropping-particle":"","family":"Ochalek","given":"Anna","non-dropping-particle":"","parse-names":false,"suffix":""},{"dropping-particle":"","family":"Mihalik","given":"Balázs","non-dropping-particle":"","parse-names":false,"suffix":""},{"dropping-particle":"","family":"Avci","given":"Hasan X.","non-dropping-particle":"","parse-names":false,"suffix":""},{"dropping-particle":"","family":"Chandrasekaran","given":"Abinaya","non-dropping-particle":"","parse-names":false,"suffix":""},{"dropping-particle":"","family":"Téglási","given":"Annamária","non-dropping-particle":"","parse-names":false,"suffix":""},{"dropping-particle":"","family":"Bock","given":"István","non-dropping-particle":"","parse-names":false,"suffix":""},{"dropping-particle":"Lo","family":"Giudice","given":"Maria","non-dropping-particle":"","parse-names":false,"suffix":""},{"dropping-particle":"","family":"Táncos","given":"Zsuzsanna","non-dropping-particle":"","parse-names":false,"suffix":""},{"dropping-particle":"","family":"Molnár","given":"Kinga","non-dropping-particle":"","parse-names":false,"suffix":""},{"dropping-particle":"","family":"László","given":"Lajos","non-dropping-particle":"","parse-names":false,"suffix":""},{"dropping-particle":"","family":"Nielsen","given":"Jørgen E.","non-dropping-particle":"","parse-names":false,"suffix":""},{"dropping-particle":"","family":"Holst","given":"Bjørn","non-dropping-particle":"","parse-names":false,"suffix":""},{"dropping-particle":"","family":"Freude","given":"Kristine","non-dropping-particle":"","parse-names":false,"suffix":""},{"dropping-particle":"","family":"Hyttel","given":"Poul","non-dropping-particle":"","parse-names":false,"suffix":""},{"dropping-particle":"","family":"Kobolák","given":"Julianna","non-dropping-particle":"","parse-names":false,"suffix":""},{"dropping-particle":"","family":"Dinnyés","given":"András","non-dropping-particle":"","parse-names":false,"suffix":""}],"container-title":"Alzheimer's Research &amp; Therapy","id":"ITEM-1","issue":"1","issued":{"date-parts":[["2017"]]},"page":"90","title":"Neurons derived from sporadic Alzheimer’s disease iPSCs reveal elevated TAU hyperphosphorylation, increased amyloid levels, and GSK3B activation","type":"article-journal","volume":"9"},"uris":["http://www.mendeley.com/documents/?uuid=47c7f104-5cdb-4f61-a8f2-320f8d4f9678"]}],"mendeley":{"formattedCitation":"(Ochalek et al., 2017)","plainTextFormattedCitation":"(Ochalek et al., 2017)","previouslyFormattedCitation":"(Ochalek et al., 2017)"},"properties":{"noteIndex":0},"schema":"https://github.com/citation-style-language/schema/raw/master/csl-citation.json"}</w:instrText>
      </w:r>
      <w:r w:rsidR="00426137" w:rsidRPr="00CB1C44">
        <w:rPr>
          <w:rFonts w:ascii="Arial" w:hAnsi="Arial" w:cs="Arial"/>
          <w:lang w:val="en-US"/>
        </w:rPr>
        <w:fldChar w:fldCharType="separate"/>
      </w:r>
      <w:r w:rsidR="00DD645C" w:rsidRPr="00CB1C44">
        <w:rPr>
          <w:rFonts w:ascii="Arial" w:hAnsi="Arial" w:cs="Arial"/>
          <w:noProof/>
          <w:lang w:val="en-US"/>
        </w:rPr>
        <w:t>(Ochalek et al., 2017)</w:t>
      </w:r>
      <w:r w:rsidR="00426137" w:rsidRPr="00CB1C44">
        <w:rPr>
          <w:rFonts w:ascii="Arial" w:hAnsi="Arial" w:cs="Arial"/>
          <w:lang w:val="en-US"/>
        </w:rPr>
        <w:fldChar w:fldCharType="end"/>
      </w:r>
      <w:r w:rsidR="00426137" w:rsidRPr="00CB1C44">
        <w:rPr>
          <w:rFonts w:ascii="Arial" w:hAnsi="Arial" w:cs="Arial"/>
          <w:lang w:val="en-US"/>
        </w:rPr>
        <w:t>. Moreover, g</w:t>
      </w:r>
      <w:r w:rsidRPr="00CB1C44">
        <w:rPr>
          <w:rFonts w:ascii="Arial" w:hAnsi="Arial" w:cs="Arial"/>
          <w:lang w:val="en-US"/>
        </w:rPr>
        <w:t>enetic overexpression of GSK-3β in m</w:t>
      </w:r>
      <w:r w:rsidR="00227DDD" w:rsidRPr="00CB1C44">
        <w:rPr>
          <w:rFonts w:ascii="Arial" w:hAnsi="Arial" w:cs="Arial"/>
          <w:lang w:val="en-US"/>
        </w:rPr>
        <w:t>ouse</w:t>
      </w:r>
      <w:r w:rsidRPr="00CB1C44">
        <w:rPr>
          <w:rFonts w:ascii="Arial" w:hAnsi="Arial" w:cs="Arial"/>
          <w:lang w:val="en-US"/>
        </w:rPr>
        <w:t xml:space="preserve"> hippocampal and cortical neurons led to neuronal loss and memory deficits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{"citationItems":[{"id":"ITEM-1","itemData":{"DOI":"10.1523/JNEUROSCI.0604-06.2006","ISBN":"0270-6474","ISSN":"0270-6474","PMID":"16687499","abstract":"Glycogen synthase kinase-3 (GSK-3) is a ubiquitously expressed serine/threonine kinase that is particularly abundant in the CNS. Dysregulation of GSK-3 activity is believed to play a key role in the pathogenesis of CNS chronic disorders such as Alzheimer’s disease (AD), bipolar disorder,andHuntington’s disease,andof metabolic disorders such as type II diabetes. Accordingly,GSK-3inhibitors have been postulated as therapeutic tools for these diseases. Interestingly, pathophysiological and pharmacological regulation of GSK-3 is affected by an amplification mechanism that applies both to inhibition and activation. The possibility therefore exists that sustained inhibition or activation might persist after cessation of the initial trigger. Regarding AD, GSK-3 has been shown to accumulate in pretangle neurons. Furthermore, GSK-3 phosphorylates tau in most serine and threonine residues hyperphosphorylated in PHF (paired helical filament)-tau and GSK-3 activity contributes both to ? -amyloid production and to ? ? -amyloid-mediated neuronal death. In good agreement, mice with conditional overexpression of GSK-3 in forebrain neurons (Tet/GSK-3 mice) recapitulate aspects of AD neuro- pathology such as tau hyperphosphorylation, apoptotic neuronal death, and reactive astrocytosis as well as spatial learning deficit. Here, we exploit the conditional system used to generate Tet/GSK-3 ? mice to explore whether the biochemical, histopathological, and behav- ioral consequences of increased GSK-3 activity are susceptible to revert after restoration of normal GSK-3 levels. Here, we show that transgene shutdown in symptomatic mice leads to normal GSK-3 activity, normal phospho-tau levels, diminished neuronal death, and suppression of the cognitive deficit, thus further supporting the potential of GSK-3 inhibitors for AD therapeutics.","author":[{"dropping-particle":"","family":"Engel","given":"Tobias","non-dropping-particle":"","parse-names":false,"suffix":""},{"dropping-particle":"","family":"Hernández","given":"F","non-dropping-particle":"","parse-names":false,"suffix":""},{"dropping-particle":"","family":"Avila","given":"J","non-dropping-particle":"","parse-names":false,"suffix":""},{"dropping-particle":"","family":"Lucas","given":"J J","non-dropping-particle":"","parse-names":false,"suffix":""}],"container-title":"The Journal of Neuroscience","id":"ITEM-1","issue":"19","issued":{"date-parts":[["2006"]]},"page":"5083-5090","title":"Full reversal of Alzheimer's disease-like phenotype in a mouse model with conditional overexpression of Glycogen Synthase Kinase-3","type":"article-journal","volume":"26"},"uris":["http://www.mendeley.com/documents/?uuid=66ffb1c2-7940-464d-bdd1-4ca09855293f"]},{"id":"ITEM-2","itemData":{"DOI":"10.1046/j.1471-4159.2002.01269.x","ISBN":"0022-3042 (Print)\\r0022-3042 (Linking)","ISSN":"00223042","PMID":"12472906","abstract":"Deregulation of glycogen synthase kinase-3 (GSK-3) activity in neurones has been postulated as a key feature in Alzheimer's disease (AD) pathogenesis. This was further supported by our recent characterization of transgenic mice that conditionally over-express GSK-3beta in hippocampal and cortical neurones. These mice, designated Tet/GSK-3beta, showed many of the biochemical and cellular aspects of AD neuropathology such as tau hyperphosphorylation and somatodendritic localization, decreased nuclear beta-catenin, neuronal death and reactive gliosis. Tet/GSK-3beta mice, however, did not show tau filament formation up to the latest tested age of 3 months at least. Here we report spatial learning deficits of Tet/GSK-3beta mice in the Morris water maze. In parallel, we also measured the increase in GSK-3 activity while further exploring the possibility of tau filament formation in aged mice. We found a significant increase in GSK-3 activity in the hippocampus of Tet/GSK-3beta mice whereas no tau fibrils could be found even in very old mice. These data reinforce the hypothesis of GSK-3 deregulation in AD pathogenesis, and suggest that Tet/GSK-3beta mice can be used as an AD model and, most remarkably, can be used to test the therapeutic potential of the selective GSK-3 inhibitors that are currently under development. Additionally, these experiments suggest that destabilization of microtubules and alteration of intracellular metabolic pathways contribute to AD pathogenesis independent of toxicity triggered by the aberrant tau deposits.","author":[{"dropping-particle":"","family":"Hernández","given":"Félix","non-dropping-particle":"","parse-names":false,"suffix":""},{"dropping-particle":"","family":"Borrell","given":"José","non-dropping-particle":"","parse-names":false,"suffix":""},{"dropping-particle":"","family":"Guaza","given":"Carmen","non-dropping-particle":"","parse-names":false,"suffix":""},{"dropping-particle":"","family":"Avila","given":"Jesús","non-dropping-particle":"","parse-names":false,"suffix":""},{"dropping-particle":"","family":"Lucas","given":"José J.","non-dropping-particle":"","parse-names":false,"suffix":""}],"container-title":"Journal of Neurochemistry","id":"ITEM-2","issue":"6","issued":{"date-parts":[["2002"]]},"page":"1529-1533","title":"Spatial learning deficit in transgenic mice that conditionally over-express GSK-3β in the brain but do not form tau filaments","type":"article-journal","volume":"83"},"uris":["http://www.mendeley.com/documents/?uuid=58a49e4e-2b56-40aa-8876-774a2a50cb64"]}],"mendeley":{"formattedCitation":"(Engel et al., 2006; Hernández et al., 2002)","plainTextFormattedCitation":"(Engel et al., 2006; Hernández et al., 2002)","previouslyFormattedCitation":"(Engel et al., 2006; Hernández et al., 2002)"},"properties":{"noteIndex":0},"schema":"https://github.com/citation-style-language/schema/raw/master/csl-citation.json"}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(Engel et al., 2006; Hernández et al., 2002)</w:t>
      </w:r>
      <w:r w:rsidRPr="00CB1C44">
        <w:rPr>
          <w:rFonts w:ascii="Arial" w:hAnsi="Arial" w:cs="Arial"/>
          <w:lang w:val="en-US"/>
        </w:rPr>
        <w:fldChar w:fldCharType="end"/>
      </w:r>
      <w:r w:rsidRPr="00CB1C44">
        <w:rPr>
          <w:rFonts w:ascii="Arial" w:hAnsi="Arial" w:cs="Arial"/>
          <w:lang w:val="en-US"/>
        </w:rPr>
        <w:t>, and in the AD transgenic mice model Tg2576, GSK-3β inhibition delay</w:t>
      </w:r>
      <w:r w:rsidR="00227DDD" w:rsidRPr="00CB1C44">
        <w:rPr>
          <w:rFonts w:ascii="Arial" w:hAnsi="Arial" w:cs="Arial"/>
          <w:lang w:val="en-US"/>
        </w:rPr>
        <w:t>ed</w:t>
      </w:r>
      <w:r w:rsidRPr="00CB1C44">
        <w:rPr>
          <w:rFonts w:ascii="Arial" w:hAnsi="Arial" w:cs="Arial"/>
          <w:lang w:val="en-US"/>
        </w:rPr>
        <w:t xml:space="preserve"> Aβ accumulation and decrease</w:t>
      </w:r>
      <w:r w:rsidR="00227DDD" w:rsidRPr="00CB1C44">
        <w:rPr>
          <w:rFonts w:ascii="Arial" w:hAnsi="Arial" w:cs="Arial"/>
          <w:lang w:val="en-US"/>
        </w:rPr>
        <w:t>d</w:t>
      </w:r>
      <w:r w:rsidRPr="00CB1C44">
        <w:rPr>
          <w:rFonts w:ascii="Arial" w:hAnsi="Arial" w:cs="Arial"/>
          <w:lang w:val="en-US"/>
        </w:rPr>
        <w:t xml:space="preserve"> plaque burden in cortical neurons </w:t>
      </w:r>
      <w:r w:rsidRPr="00CB1C44">
        <w:rPr>
          <w:rFonts w:ascii="Arial" w:hAnsi="Arial" w:cs="Arial"/>
          <w:lang w:val="en-US"/>
        </w:rPr>
        <w:lastRenderedPageBreak/>
        <w:fldChar w:fldCharType="begin" w:fldLock="1"/>
      </w:r>
      <w:r w:rsidR="00DD645C" w:rsidRPr="00CB1C44">
        <w:rPr>
          <w:rFonts w:ascii="Arial" w:hAnsi="Arial" w:cs="Arial"/>
          <w:lang w:val="en-US"/>
        </w:rPr>
        <w:instrText>ADDIN CSL_CITATION {"citationItems":[{"id":"ITEM-1","itemData":{"DOI":"10.1038/nature01640","ISBN":"0309072840","ISSN":"00280836","PMID":"12761548","abstract":"Alzheimer's disease is associated with increased production and aggregation of amyloid-beta (Abeta) peptides. Abeta peptides are derived from the amyloid precursor protein (APP) by sequential proteolysis, catalysed by the aspartyl protease BACE, followed by presenilin-dependent gamma-secretase cleavage. Presenilin interacts with nicastrin, APH-1 and PEN-2 (ref. 6), all of which are required for gamma-secretase function. Presenilins also interact with alpha-catenin, beta-catenin and glycogen synthase kinase-3beta (GSK-3beta), but a functional role for these proteins in gamma-secretase activity has not been established. Here we show that therapeutic concentrations of lithium, a GSK-3 inhibitor, block the production of Abeta peptides by interfering with APP cleavage at the gamma-secretase step, but do not inhibit Notch processing. Importantly, lithium also blocks the accumulation of Abeta peptides in the brains of mice that overproduce APP. The target of lithium in this setting is GSK-3alpha, which is required for maximal processing of APP. Since GSK-3 also phosphorylates tau protein, the principal component of neurofibrillary tangles, inhibition of GSK-3alpha offers a new approach to reduce the formation of both amyloid plaques and neurofibrillary tangles, two pathological hallmarks of Alzheimer's disease.","author":[{"dropping-particle":"","family":"Phiel","given":"Christopher J","non-dropping-particle":"","parse-names":false,"suffix":""},{"dropping-particle":"","family":"Wilson","given":"Christina a","non-dropping-particle":"","parse-names":false,"suffix":""},{"dropping-particle":"","family":"Lee","given":"Virginia M","non-dropping-particle":"","parse-names":false,"suffix":""},{"dropping-particle":"","family":"Klein","given":"Peter S","non-dropping-particle":"","parse-names":false,"suffix":""}],"container-title":"Nature","id":"ITEM-1","issue":"lane 2","issued":{"date-parts":[["2003"]]},"page":"435-440","title":"GSK-3 a Regulates Production of Alzheimer’s Disease Amyloid-β Peptides","type":"article-journal","volume":"17"},"uris":["http://www.mendeley.com/documents/?uuid=8e1364c0-9575-4540-866e-805a3e1a3726"]}],"mendeley":{"formattedCitation":"(Phiel et al., 2003)","plainTextFormattedCitation":"(Phiel et al., 2003)","previouslyFormattedCitation":"(Phiel et al., 2003)"},"properties":{"noteIndex":0},"schema":"https://github.com/citation-style-language/schema/raw/master/csl-citation.json"}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(Phiel et al., 2003)</w:t>
      </w:r>
      <w:r w:rsidRPr="00CB1C44">
        <w:rPr>
          <w:rFonts w:ascii="Arial" w:hAnsi="Arial" w:cs="Arial"/>
          <w:lang w:val="en-US"/>
        </w:rPr>
        <w:fldChar w:fldCharType="end"/>
      </w:r>
      <w:r w:rsidRPr="00CB1C44">
        <w:rPr>
          <w:rFonts w:ascii="Arial" w:hAnsi="Arial" w:cs="Arial"/>
          <w:lang w:val="en-US"/>
        </w:rPr>
        <w:t xml:space="preserve">. In this way, </w:t>
      </w:r>
      <w:r w:rsidR="002A7543" w:rsidRPr="00CB1C44">
        <w:rPr>
          <w:rFonts w:ascii="Arial" w:hAnsi="Arial" w:cs="Arial"/>
          <w:lang w:val="en-US"/>
        </w:rPr>
        <w:t xml:space="preserve">considering that </w:t>
      </w:r>
      <w:r w:rsidRPr="00CB1C44">
        <w:rPr>
          <w:rFonts w:ascii="Arial" w:hAnsi="Arial" w:cs="Arial"/>
          <w:lang w:val="en-US"/>
        </w:rPr>
        <w:t xml:space="preserve">increased GSK-3β activity </w:t>
      </w:r>
      <w:r w:rsidR="002A7543" w:rsidRPr="00CB1C44">
        <w:rPr>
          <w:rFonts w:ascii="Arial" w:hAnsi="Arial" w:cs="Arial"/>
          <w:lang w:val="en-US"/>
        </w:rPr>
        <w:t xml:space="preserve">is directly involved </w:t>
      </w:r>
      <w:r w:rsidRPr="00CB1C44">
        <w:rPr>
          <w:rFonts w:ascii="Arial" w:hAnsi="Arial" w:cs="Arial"/>
          <w:lang w:val="en-US"/>
        </w:rPr>
        <w:t>with Nrf2 phosphorylation</w:t>
      </w:r>
      <w:r w:rsidR="002A7543" w:rsidRPr="00CB1C44">
        <w:rPr>
          <w:rFonts w:ascii="Arial" w:hAnsi="Arial" w:cs="Arial"/>
          <w:lang w:val="en-US"/>
        </w:rPr>
        <w:t xml:space="preserve"> </w:t>
      </w:r>
      <w:r w:rsidRPr="00CB1C44">
        <w:rPr>
          <w:rFonts w:ascii="Arial" w:hAnsi="Arial" w:cs="Arial"/>
          <w:lang w:val="en-US"/>
        </w:rPr>
        <w:t xml:space="preserve">and </w:t>
      </w:r>
      <w:r w:rsidR="0030512B" w:rsidRPr="00CB1C44">
        <w:rPr>
          <w:rFonts w:ascii="Arial" w:hAnsi="Arial" w:cs="Arial"/>
          <w:lang w:val="en-US"/>
        </w:rPr>
        <w:t xml:space="preserve">consequent </w:t>
      </w:r>
      <w:r w:rsidRPr="00CB1C44">
        <w:rPr>
          <w:rFonts w:ascii="Arial" w:hAnsi="Arial" w:cs="Arial"/>
          <w:lang w:val="en-US"/>
        </w:rPr>
        <w:t>degradation</w:t>
      </w:r>
      <w:r w:rsidR="00233B00" w:rsidRPr="00CB1C44">
        <w:rPr>
          <w:rFonts w:ascii="Arial" w:hAnsi="Arial" w:cs="Arial"/>
          <w:lang w:val="en-US"/>
        </w:rPr>
        <w:t>, and further</w:t>
      </w:r>
      <w:r w:rsidRPr="00CB1C44">
        <w:rPr>
          <w:rFonts w:ascii="Arial" w:hAnsi="Arial" w:cs="Arial"/>
          <w:lang w:val="en-US"/>
        </w:rPr>
        <w:t xml:space="preserve"> </w:t>
      </w:r>
      <w:r w:rsidR="00D73658" w:rsidRPr="00CB1C44">
        <w:rPr>
          <w:rFonts w:ascii="Arial" w:hAnsi="Arial" w:cs="Arial"/>
          <w:lang w:val="en-US"/>
        </w:rPr>
        <w:t>related with</w:t>
      </w:r>
      <w:r w:rsidR="00233B00" w:rsidRPr="00CB1C44">
        <w:rPr>
          <w:rFonts w:ascii="Arial" w:hAnsi="Arial" w:cs="Arial"/>
          <w:lang w:val="en-US"/>
        </w:rPr>
        <w:t xml:space="preserve"> Nrf2 nuclear export, through Fyn phosphorylation at </w:t>
      </w:r>
      <w:r w:rsidR="00D73658" w:rsidRPr="00CB1C44">
        <w:rPr>
          <w:rFonts w:ascii="Arial" w:hAnsi="Arial" w:cs="Arial"/>
          <w:lang w:val="en-US"/>
        </w:rPr>
        <w:t xml:space="preserve">Tyr568, </w:t>
      </w:r>
      <w:r w:rsidRPr="00CB1C44">
        <w:rPr>
          <w:rFonts w:ascii="Arial" w:hAnsi="Arial" w:cs="Arial"/>
          <w:lang w:val="en-US"/>
        </w:rPr>
        <w:t>GSK-3β inhibition may be a possible therapeutic strategy for AD treatment</w:t>
      </w:r>
      <w:r w:rsidR="001E5B97" w:rsidRPr="00CB1C44">
        <w:rPr>
          <w:rFonts w:ascii="Arial" w:hAnsi="Arial" w:cs="Arial"/>
          <w:lang w:val="en-US"/>
        </w:rPr>
        <w:t xml:space="preserve"> (Figure 4)</w:t>
      </w:r>
      <w:r w:rsidRPr="00CB1C44">
        <w:rPr>
          <w:rFonts w:ascii="Arial" w:hAnsi="Arial" w:cs="Arial"/>
          <w:lang w:val="en-US"/>
        </w:rPr>
        <w:t>. Lithium, a GSK-3β inhibitor</w:t>
      </w:r>
      <w:r w:rsidR="00460A9D" w:rsidRPr="00CB1C44">
        <w:rPr>
          <w:rFonts w:ascii="Arial" w:hAnsi="Arial" w:cs="Arial"/>
          <w:lang w:val="en-US"/>
        </w:rPr>
        <w:t>, was</w:t>
      </w:r>
      <w:r w:rsidRPr="00CB1C44">
        <w:rPr>
          <w:rFonts w:ascii="Arial" w:hAnsi="Arial" w:cs="Arial"/>
          <w:lang w:val="en-US"/>
        </w:rPr>
        <w:t xml:space="preserve"> shown to promote Nrf2 transcription activity in N2A neuroblasts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{"citationItems":[{"id":"ITEM-1","itemData":{"DOI":"10.1016/j.mcn.2008.06.007","ISBN":"1095-9327 (Electronic)\\r1044-7431 (Linking)","ISSN":"10447431","PMID":"18619545","abstract":"Excitotoxicity mediated by glutamate receptors may underlay the pathology of several neurologic diseases. Considering that oxidative stress is central to excitotoxic damage, in this study we sought to analyze if the transcription factor Nrf2, guardian of redox homeostasis, might be targeted to prevent kainate-induced neuron death. Hippocampal slices from Nrf2 knockout mice exhibited increased oxidative stress and cell death compared to those of control mice in response to kainate, as determined with the redox sensitive probes 2,7-dichlorodihydrofluorescein diacetRojo, A.I., Rada, P., Egea, J., Rosa, A.O., López, M.G., and Cuadrado, A. (2008). Functional interference between glycogen synthase kinase-3 beta and the transcription factor Nrf2 in protection against kainate-induced hippocampal celldeath. Mol. Cell. Neurosci. 39, 125–132.ate (H2DCFAC) and propidium iodide and lactate dehydrogenase release, respectively, therefore demonstrating a role of Nrf2 in antioxidant protection against excitotoxicity. In the hippocampus of mice intraperitoneally injected with kainate we observed a rapid activation of Akt, inhibition of GSK-3β and translocation of Nrf2 to the nucleus, but after 4 h Akt was inactive, GSK-3β was active and Nrf2 was mostly cytosolic, therefore extending our previous studies which indicate that GSK-3β excludes Nrf2 from the nucleus. Lithium, a GSK-3β inhibitor, promoted Nrf2 transcriptional activity towards an Antioxidant-Response-Element (ARE) luciferase reporter and cooperated with sulforaphane (SFN) to induce this reporter and to increase the protein levels of heme oxygenase-1 (HO-1), coded by a representative ARE-containing gene. Conversely, ARE activation by SFN was attenuated by over-expression of active GSK-3β. Finally, combined treatment with SFN and lithium attenuated oxidative stress and cell death in kainate-treated hippocampal slices of wild type mice but not Nrf2 null littermates. Our findings identify the axis GSK-3β/Nrf2 as a pharmacological target in prevention of excitotoxic neuronal death. © 2008 Elsevier Inc. All rights reserved.","author":[{"dropping-particle":"","family":"Rojo","given":"Ana I.","non-dropping-particle":"","parse-names":false,"suffix":""},{"dropping-particle":"","family":"Rada","given":"Patricia","non-dropping-particle":"","parse-names":false,"suffix":""},{"dropping-particle":"","family":"Egea","given":"Javier","non-dropping-particle":"","parse-names":false,"suffix":""},{"dropping-particle":"","family":"Rosa","given":"Angelo O.","non-dropping-particle":"","parse-names":false,"suffix":""},{"dropping-particle":"","family":"López","given":"Manuela G.","non-dropping-particle":"","parse-names":false,"suffix":""},{"dropping-particle":"","family":"Cuadrado","given":"Antonio","non-dropping-particle":"","parse-names":false,"suffix":""}],"container-title":"Molecular and Cellular Neuroscience","id":"ITEM-1","issue":"1","issued":{"date-parts":[["2008","9"]]},"page":"125-132","title":"Functional interference between glycogen synthase kinase-3 beta and the transcription factor Nrf2 in protection against kainate-induced hippocampal celldeath","type":"article-journal","volume":"39"},"uris":["http://www.mendeley.com/documents/?uuid=f6ff6474-2fdc-4da6-836b-e06f2142a3f5"]}],"mendeley":{"formattedCitation":"(Rojo et al., 2008a)","plainTextFormattedCitation":"(Rojo et al., 2008a)","previouslyFormattedCitation":"(Rojo et al., 2008a)"},"properties":{"noteIndex":0},"schema":"https://github.com/citation-style-language/schema/raw/master/csl-citation.json"}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(Rojo et al., 2008a)</w:t>
      </w:r>
      <w:r w:rsidRPr="00CB1C44">
        <w:rPr>
          <w:rFonts w:ascii="Arial" w:hAnsi="Arial" w:cs="Arial"/>
          <w:lang w:val="en-US"/>
        </w:rPr>
        <w:fldChar w:fldCharType="end"/>
      </w:r>
      <w:r w:rsidR="00460A9D" w:rsidRPr="00CB1C44">
        <w:rPr>
          <w:rFonts w:ascii="Arial" w:hAnsi="Arial" w:cs="Arial"/>
          <w:lang w:val="en-US"/>
        </w:rPr>
        <w:t xml:space="preserve"> and</w:t>
      </w:r>
      <w:r w:rsidR="004A67EC" w:rsidRPr="00CB1C44">
        <w:rPr>
          <w:rFonts w:ascii="Arial" w:hAnsi="Arial" w:cs="Arial"/>
          <w:lang w:val="en-US"/>
        </w:rPr>
        <w:t xml:space="preserve"> </w:t>
      </w:r>
      <w:r w:rsidRPr="00CB1C44">
        <w:rPr>
          <w:rFonts w:ascii="Arial" w:hAnsi="Arial" w:cs="Arial"/>
          <w:lang w:val="en-US"/>
        </w:rPr>
        <w:t>also decreased Aβ accumulation in mice brain over</w:t>
      </w:r>
      <w:r w:rsidR="00EC6E2B" w:rsidRPr="00CB1C44">
        <w:rPr>
          <w:rFonts w:ascii="Arial" w:hAnsi="Arial" w:cs="Arial"/>
          <w:lang w:val="en-US"/>
        </w:rPr>
        <w:t>expressing</w:t>
      </w:r>
      <w:r w:rsidRPr="00CB1C44">
        <w:rPr>
          <w:rFonts w:ascii="Arial" w:hAnsi="Arial" w:cs="Arial"/>
          <w:lang w:val="en-US"/>
        </w:rPr>
        <w:t xml:space="preserve"> APP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{"citationItems":[{"id":"ITEM-1","itemData":{"DOI":"10.1038/nature01640","ISBN":"0309072840","ISSN":"00280836","PMID":"12761548","abstract":"Alzheimer's disease is associated with increased production and aggregation of amyloid-beta (Abeta) peptides. Abeta peptides are derived from the amyloid precursor protein (APP) by sequential proteolysis, catalysed by the aspartyl protease BACE, followed by presenilin-dependent gamma-secretase cleavage. Presenilin interacts with nicastrin, APH-1 and PEN-2 (ref. 6), all of which are required for gamma-secretase function. Presenilins also interact with alpha-catenin, beta-catenin and glycogen synthase kinase-3beta (GSK-3beta), but a functional role for these proteins in gamma-secretase activity has not been established. Here we show that therapeutic concentrations of lithium, a GSK-3 inhibitor, block the production of Abeta peptides by interfering with APP cleavage at the gamma-secretase step, but do not inhibit Notch processing. Importantly, lithium also blocks the accumulation of Abeta peptides in the brains of mice that overproduce APP. The target of lithium in this setting is GSK-3alpha, which is required for maximal processing of APP. Since GSK-3 also phosphorylates tau protein, the principal component of neurofibrillary tangles, inhibition of GSK-3alpha offers a new approach to reduce the formation of both amyloid plaques and neurofibrillary tangles, two pathological hallmarks of Alzheimer's disease.","author":[{"dropping-particle":"","family":"Phiel","given":"Christopher J","non-dropping-particle":"","parse-names":false,"suffix":""},{"dropping-particle":"","family":"Wilson","given":"Christina a","non-dropping-particle":"","parse-names":false,"suffix":""},{"dropping-particle":"","family":"Lee","given":"Virginia M","non-dropping-particle":"","parse-names":false,"suffix":""},{"dropping-particle":"","family":"Klein","given":"Peter S","non-dropping-particle":"","parse-names":false,"suffix":""}],"container-title":"Nature","id":"ITEM-1","issue":"lane 2","issued":{"date-parts":[["2003"]]},"page":"435-440","title":"GSK-3 a Regulates Production of Alzheimer’s Disease Amyloid-β Peptides","type":"article-journal","volume":"17"},"uris":["http://www.mendeley.com/documents/?uuid=8e1364c0-9575-4540-866e-805a3e1a3726"]}],"mendeley":{"formattedCitation":"(Phiel et al., 2003)","plainTextFormattedCitation":"(Phiel et al., 2003)","previouslyFormattedCitation":"(Phiel et al., 2003)"},"properties":{"noteIndex":0},"schema":"https://github.com/citation-style-language/schema/raw/master/csl-citation.json"}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(Phiel et al., 2003)</w:t>
      </w:r>
      <w:r w:rsidRPr="00CB1C44">
        <w:rPr>
          <w:rFonts w:ascii="Arial" w:hAnsi="Arial" w:cs="Arial"/>
          <w:lang w:val="en-US"/>
        </w:rPr>
        <w:fldChar w:fldCharType="end"/>
      </w:r>
      <w:r w:rsidRPr="00CB1C44">
        <w:rPr>
          <w:rFonts w:ascii="Arial" w:hAnsi="Arial" w:cs="Arial"/>
          <w:lang w:val="en-US"/>
        </w:rPr>
        <w:t xml:space="preserve">. Moreover, pyrrolidine </w:t>
      </w:r>
      <w:proofErr w:type="spellStart"/>
      <w:r w:rsidRPr="00CB1C44">
        <w:rPr>
          <w:rFonts w:ascii="Arial" w:hAnsi="Arial" w:cs="Arial"/>
          <w:lang w:val="en-US"/>
        </w:rPr>
        <w:t>dithiocarbamate</w:t>
      </w:r>
      <w:proofErr w:type="spellEnd"/>
      <w:r w:rsidRPr="00CB1C44">
        <w:rPr>
          <w:rFonts w:ascii="Arial" w:hAnsi="Arial" w:cs="Arial"/>
          <w:lang w:val="en-US"/>
        </w:rPr>
        <w:t xml:space="preserve"> </w:t>
      </w:r>
      <w:r w:rsidR="000D1B3C" w:rsidRPr="00CB1C44">
        <w:rPr>
          <w:rFonts w:ascii="Arial" w:hAnsi="Arial" w:cs="Arial"/>
          <w:lang w:val="en-US"/>
        </w:rPr>
        <w:t>or PDTC</w:t>
      </w:r>
      <w:r w:rsidRPr="00CB1C44">
        <w:rPr>
          <w:rFonts w:ascii="Arial" w:hAnsi="Arial" w:cs="Arial"/>
          <w:lang w:val="en-US"/>
        </w:rPr>
        <w:t>, a small molecule with antioxidant properties that inhibits GSK-3β, was also shown to induce Nrf2-ARE activation and further prevent</w:t>
      </w:r>
      <w:r w:rsidR="004E0CA5" w:rsidRPr="00CB1C44">
        <w:rPr>
          <w:rFonts w:ascii="Arial" w:hAnsi="Arial" w:cs="Arial"/>
          <w:lang w:val="en-US"/>
        </w:rPr>
        <w:t>ed</w:t>
      </w:r>
      <w:r w:rsidRPr="00CB1C44">
        <w:rPr>
          <w:rFonts w:ascii="Arial" w:hAnsi="Arial" w:cs="Arial"/>
          <w:lang w:val="en-US"/>
        </w:rPr>
        <w:t xml:space="preserve"> cognitive impairment in </w:t>
      </w:r>
      <w:r w:rsidR="00AE4C9E" w:rsidRPr="00CB1C44">
        <w:rPr>
          <w:rFonts w:ascii="Arial" w:hAnsi="Arial" w:cs="Arial"/>
          <w:lang w:val="en-US"/>
        </w:rPr>
        <w:t>APP/PS1</w:t>
      </w:r>
      <w:r w:rsidRPr="00CB1C44">
        <w:rPr>
          <w:rFonts w:ascii="Arial" w:hAnsi="Arial" w:cs="Arial"/>
          <w:lang w:val="en-US"/>
        </w:rPr>
        <w:t xml:space="preserve"> mice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{"citationItems":[{"id":"ITEM-1","itemData":{"DOI":"10.1523/JNEUROSCI.0059-07.2007","ISBN":"1529-2401 (Electronic)\\n0270-6474 (Linking)","ISSN":"0270-6474","PMID":"17409235","abstract":"Pyrrolidine dithiocarbamate (PDTC) is a clinically tolerated inhibitor of nuclear factor-kappaB (NF-kappaB), antioxidant and antiinflammatory agent, which provides protection in brain ischemia models. In neonatal hypoxia-ischemia model, PDTC activates Akt and reduces activation of glycogen synthase kinase 3beta (GSK-3beta). Because chronic inflammation, oxidative stress, and increased GSK-3beta activity are features of Alzheimer's disease (AD) pathology, we tested whether PDTC reduces brain pathology and improves cognitive function in a transgenic animal model of AD. A 7 month oral treatment with PDTC prevented the decline in cognition in AD mice without altering beta-amyloid burden or gliosis. Moreover, marked oxidative stress and activation of NF-kappaB were not part of the brain pathology. Instead, the phosphorylated form of GSK-3beta was decreased in the AD mouse brain, and PDTC treatment increased the phosphorylation of Akt and GSK-3beta. Also, PDTC treatment increased the copper concentration in the brain. In addition, PDTC rescued cultured hippocampal neurons from the toxicity of oligomeric Abeta and reduced tau phosphorylation in the hippocampus of AD mice. Finally, astrocytic glutamate transporter GLT-1, known to be regulated by Akt pathway, was decreased in the transgenic AD mice but upregulated back to the wild-type levels by PDTC treatment. Thus, PDTC may improve spatial learning in AD by interfering with Akt-GSK pathway both in neurons and astrocytes. Because PDTC is capable of transferring external Cu2+ into a cell, and, in turn, Cu2+ is able to activate Akt, we hypothesize that PDTC provides the beneficial effect in transgenic AD mice through Cu2+-activated Akt pathway.","author":[{"dropping-particle":"","family":"Malm","given":"Tarja M.","non-dropping-particle":"","parse-names":false,"suffix":""},{"dropping-particle":"","family":"Iivonen","given":"Henna","non-dropping-particle":"","parse-names":false,"suffix":""},{"dropping-particle":"","family":"Goldsteins","given":"Gundars","non-dropping-particle":"","parse-names":false,"suffix":""},{"dropping-particle":"","family":"Keksa-Goldsteine","given":"Velta","non-dropping-particle":"","parse-names":false,"suffix":""},{"dropping-particle":"","family":"Ahtoniemi","given":"Toni","non-dropping-particle":"","parse-names":false,"suffix":""},{"dropping-particle":"","family":"Kanninen","given":"Katja","non-dropping-particle":"","parse-names":false,"suffix":""},{"dropping-particle":"","family":"Salminen","given":"Antero","non-dropping-particle":"","parse-names":false,"suffix":""},{"dropping-particle":"","family":"Auriola","given":"Seppo","non-dropping-particle":"","parse-names":false,"suffix":""},{"dropping-particle":"","family":"Groen","given":"Thomas","non-dropping-particle":"Van","parse-names":false,"suffix":""},{"dropping-particle":"","family":"Tanila","given":"Heikki","non-dropping-particle":"","parse-names":false,"suffix":""},{"dropping-particle":"","family":"Koistinaho","given":"Jari","non-dropping-particle":"","parse-names":false,"suffix":""}],"container-title":"The Journal of neuroscience : the official journal of the Society for Neuroscience","id":"ITEM-1","issue":"14","issued":{"date-parts":[["2007"]]},"page":"3712-3721","title":"Pyrrolidine dithiocarbamate activates Akt and improves spatial learning in APP/PS1 mice without affecting beta-amyloid burden.","type":"article-journal","volume":"27"},"uris":["http://www.mendeley.com/documents/?uuid=a1667778-f65d-4277-aa00-4336e37a0aca"]}],"mendeley":{"formattedCitation":"(Malm et al., 2007)","plainTextFormattedCitation":"(Malm et al., 2007)","previouslyFormattedCitation":"(Malm et al., 2007)"},"properties":{"noteIndex":0},"schema":"https://github.com/citation-style-language/schema/raw/master/csl-citation.json"}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(Malm et al., 2007)</w:t>
      </w:r>
      <w:r w:rsidRPr="00CB1C44">
        <w:rPr>
          <w:rFonts w:ascii="Arial" w:hAnsi="Arial" w:cs="Arial"/>
          <w:lang w:val="en-US"/>
        </w:rPr>
        <w:fldChar w:fldCharType="end"/>
      </w:r>
      <w:r w:rsidRPr="00CB1C44">
        <w:rPr>
          <w:rFonts w:ascii="Arial" w:hAnsi="Arial" w:cs="Arial"/>
          <w:lang w:val="en-US"/>
        </w:rPr>
        <w:t xml:space="preserve">. </w:t>
      </w:r>
      <w:r w:rsidR="000015CD" w:rsidRPr="00CB1C44">
        <w:rPr>
          <w:rFonts w:ascii="Arial" w:hAnsi="Arial" w:cs="Arial"/>
          <w:lang w:val="en-US"/>
        </w:rPr>
        <w:t xml:space="preserve">The Nrf2 inducer dimethyl fumarate (DMF) </w:t>
      </w:r>
      <w:r w:rsidR="004137B8" w:rsidRPr="00CB1C44">
        <w:rPr>
          <w:rFonts w:ascii="Arial" w:hAnsi="Arial" w:cs="Arial"/>
          <w:lang w:val="en-US"/>
        </w:rPr>
        <w:t xml:space="preserve">alleviated </w:t>
      </w:r>
      <w:r w:rsidR="000015CD" w:rsidRPr="00CB1C44">
        <w:rPr>
          <w:rFonts w:ascii="Arial" w:hAnsi="Arial" w:cs="Arial"/>
          <w:lang w:val="en-US"/>
        </w:rPr>
        <w:t xml:space="preserve">tauopathy in </w:t>
      </w:r>
      <w:r w:rsidR="0001081B" w:rsidRPr="00CB1C44">
        <w:rPr>
          <w:rFonts w:ascii="Arial" w:hAnsi="Arial" w:cs="Arial"/>
          <w:lang w:val="en-US"/>
        </w:rPr>
        <w:t>mice</w:t>
      </w:r>
      <w:r w:rsidR="000015CD" w:rsidRPr="00CB1C44">
        <w:rPr>
          <w:rFonts w:ascii="Arial" w:hAnsi="Arial" w:cs="Arial"/>
          <w:lang w:val="en-US"/>
        </w:rPr>
        <w:t xml:space="preserve">. </w:t>
      </w:r>
      <w:r w:rsidR="00A102BC" w:rsidRPr="00CB1C44">
        <w:rPr>
          <w:rFonts w:ascii="Arial" w:hAnsi="Arial" w:cs="Arial"/>
          <w:lang w:val="en-US"/>
        </w:rPr>
        <w:t xml:space="preserve">DMF inhibited GSK-3β activity in </w:t>
      </w:r>
      <w:r w:rsidR="00A16094" w:rsidRPr="00CB1C44">
        <w:rPr>
          <w:rFonts w:ascii="Arial" w:hAnsi="Arial" w:cs="Arial"/>
          <w:lang w:val="en-US"/>
        </w:rPr>
        <w:t xml:space="preserve">the </w:t>
      </w:r>
      <w:r w:rsidR="00A102BC" w:rsidRPr="00CB1C44">
        <w:rPr>
          <w:rFonts w:ascii="Arial" w:hAnsi="Arial" w:cs="Arial"/>
          <w:lang w:val="en-US"/>
        </w:rPr>
        <w:t>hippocampus</w:t>
      </w:r>
      <w:r w:rsidR="00A16094" w:rsidRPr="00CB1C44">
        <w:rPr>
          <w:rFonts w:ascii="Arial" w:hAnsi="Arial" w:cs="Arial"/>
          <w:lang w:val="en-US"/>
        </w:rPr>
        <w:t xml:space="preserve"> of</w:t>
      </w:r>
      <w:r w:rsidR="00AA292C" w:rsidRPr="00CB1C44">
        <w:rPr>
          <w:rFonts w:ascii="Arial" w:hAnsi="Arial" w:cs="Arial"/>
          <w:lang w:val="en-US"/>
        </w:rPr>
        <w:t xml:space="preserve"> a mouse model of tauopathy, modulating </w:t>
      </w:r>
      <w:r w:rsidR="004137B8" w:rsidRPr="00CB1C44">
        <w:rPr>
          <w:rFonts w:ascii="Arial" w:hAnsi="Arial" w:cs="Arial"/>
          <w:lang w:val="en-US"/>
        </w:rPr>
        <w:t xml:space="preserve">tau </w:t>
      </w:r>
      <w:r w:rsidR="00AA292C" w:rsidRPr="00CB1C44">
        <w:rPr>
          <w:rFonts w:ascii="Arial" w:hAnsi="Arial" w:cs="Arial"/>
          <w:lang w:val="en-US"/>
        </w:rPr>
        <w:t xml:space="preserve">phosphorylation, neuronal impairment, </w:t>
      </w:r>
      <w:r w:rsidR="004137B8" w:rsidRPr="00CB1C44">
        <w:rPr>
          <w:rFonts w:ascii="Arial" w:hAnsi="Arial" w:cs="Arial"/>
          <w:lang w:val="en-US"/>
        </w:rPr>
        <w:t>brain-derived neurotrophic factor (</w:t>
      </w:r>
      <w:r w:rsidR="00AA292C" w:rsidRPr="00CB1C44">
        <w:rPr>
          <w:rFonts w:ascii="Arial" w:hAnsi="Arial" w:cs="Arial"/>
          <w:lang w:val="en-US"/>
        </w:rPr>
        <w:t>BDNF</w:t>
      </w:r>
      <w:r w:rsidR="004137B8" w:rsidRPr="00CB1C44">
        <w:rPr>
          <w:rFonts w:ascii="Arial" w:hAnsi="Arial" w:cs="Arial"/>
          <w:lang w:val="en-US"/>
        </w:rPr>
        <w:t>)</w:t>
      </w:r>
      <w:r w:rsidR="00AA292C" w:rsidRPr="00CB1C44">
        <w:rPr>
          <w:rFonts w:ascii="Arial" w:hAnsi="Arial" w:cs="Arial"/>
          <w:lang w:val="en-US"/>
        </w:rPr>
        <w:t xml:space="preserve"> expression and inflammatory processes involved in astrogliosis, microgliosis and pro-inflammatory cytokines production </w:t>
      </w:r>
      <w:r w:rsidR="000E22EA" w:rsidRPr="00CB1C44">
        <w:rPr>
          <w:rFonts w:ascii="Arial" w:hAnsi="Arial" w:cs="Arial"/>
          <w:lang w:val="en-US"/>
        </w:rPr>
        <w:fldChar w:fldCharType="begin" w:fldLock="1"/>
      </w:r>
      <w:r w:rsidR="00D32393" w:rsidRPr="00CB1C44">
        <w:rPr>
          <w:rFonts w:ascii="Arial" w:hAnsi="Arial" w:cs="Arial"/>
          <w:lang w:val="en-US"/>
        </w:rPr>
        <w:instrText>ADDIN CSL_CITATION {"citationItems":[{"id":"ITEM-1","itemData":{"DOI":"10.1016/j.redox.2017.10.010","ISSN":"22132317","abstract":"Tauopathies are a group of neurodegenerative disorders where TAU protein is presented as aggregates or is abnormally phosphorylated, leading to alterations of axonal transport, neuronal death and neuroinflammation. Currently, there is no treatment to slow progression of these diseases. Here, we have investigated whether dimethyl fumarate (DMF), an inducer of the transcription factor NRF2, could mitigate tauopathy in a mouse model. The signaling pathways modulated by DMF were also studied in mouse embryonic fibroblast (MEFs) from wild type or KEAP1-deficient mice. The effect of DMF on neurodegeneration, astrocyte and microglial activation was examined in Nrf2+/+ and Nrf2−/− mice stereotaxically injected in the right hippocampus with an adeno-associated vector expressing human TAUP301L and treated daily with DMF (100 mg/kg, i.g) during three weeks. DMF induces the NRF2 transcriptional through a mechanism that involves KEAP1 but also PI3K/AKT/GSK-3-dependent pathways. DMF modulates GSK-3β activity in mouse hippocampi. Furthermore, DMF modulates TAU phosphorylation, neuronal impairment measured by calbindin-D28K and BDNF expression, and inflammatory processes involved in astrogliosis, microgliosis and pro-inflammatory cytokines production. This study reveals neuroprotective effects of DMF beyond disruption of the KEAP1/NRF2 axis by inhibiting GSK3 in a mouse model of tauopathy. Our results support repurposing of this drug for treatment of these diseases.","author":[{"dropping-particle":"","family":"Cuadrado","given":"Antonio","non-dropping-particle":"","parse-names":false,"suffix":""},{"dropping-particle":"","family":"Kügler","given":"Sebastian","non-dropping-particle":"","parse-names":false,"suffix":""},{"dropping-particle":"","family":"Lastres-Becker","given":"Isabel","non-dropping-particle":"","parse-names":false,"suffix":""}],"container-title":"Redox Biology","id":"ITEM-1","issued":{"date-parts":[["2018"]]},"title":"Pharmacological targeting of GSK-3 and NRF2 provides neuroprotection in a preclinical model of tauopathy","type":"article-journal"},"uris":["http://www.mendeley.com/documents/?uuid=1ed978e9-1444-4f36-8655-fae19f8dfa98"]}],"mendeley":{"formattedCitation":"(Cuadrado et al., 2018)","plainTextFormattedCitation":"(Cuadrado et al., 2018)","previouslyFormattedCitation":"(Cuadrado et al., 2018)"},"properties":{"noteIndex":0},"schema":"https://github.com/citation-style-language/schema/raw/master/csl-citation.json"}</w:instrText>
      </w:r>
      <w:r w:rsidR="000E22EA" w:rsidRPr="00CB1C44">
        <w:rPr>
          <w:rFonts w:ascii="Arial" w:hAnsi="Arial" w:cs="Arial"/>
          <w:lang w:val="en-US"/>
        </w:rPr>
        <w:fldChar w:fldCharType="separate"/>
      </w:r>
      <w:r w:rsidR="000E22EA" w:rsidRPr="00CB1C44">
        <w:rPr>
          <w:rFonts w:ascii="Arial" w:hAnsi="Arial" w:cs="Arial"/>
          <w:noProof/>
          <w:lang w:val="en-US"/>
        </w:rPr>
        <w:t>(Cuadrado et al., 2018)</w:t>
      </w:r>
      <w:r w:rsidR="000E22EA" w:rsidRPr="00CB1C44">
        <w:rPr>
          <w:rFonts w:ascii="Arial" w:hAnsi="Arial" w:cs="Arial"/>
          <w:lang w:val="en-US"/>
        </w:rPr>
        <w:fldChar w:fldCharType="end"/>
      </w:r>
      <w:r w:rsidR="00AA292C" w:rsidRPr="00CB1C44">
        <w:rPr>
          <w:rFonts w:ascii="Arial" w:hAnsi="Arial" w:cs="Arial"/>
          <w:lang w:val="en-US"/>
        </w:rPr>
        <w:t>.</w:t>
      </w:r>
      <w:r w:rsidR="000E22EA" w:rsidRPr="00CB1C44">
        <w:rPr>
          <w:rFonts w:ascii="Arial" w:hAnsi="Arial" w:cs="Arial"/>
          <w:lang w:val="en-US"/>
        </w:rPr>
        <w:t xml:space="preserve"> </w:t>
      </w:r>
      <w:r w:rsidRPr="00CB1C44">
        <w:rPr>
          <w:rFonts w:ascii="Arial" w:hAnsi="Arial" w:cs="Arial"/>
          <w:lang w:val="en-US"/>
        </w:rPr>
        <w:t>Additionally,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 which downregulates GSK-3β and favor</w:t>
      </w:r>
      <w:r w:rsidR="00460A9D" w:rsidRPr="00CB1C44">
        <w:rPr>
          <w:rFonts w:ascii="Arial" w:hAnsi="Arial" w:cs="Arial"/>
          <w:lang w:val="en-US"/>
        </w:rPr>
        <w:t>s</w:t>
      </w:r>
      <w:r w:rsidRPr="00CB1C44">
        <w:rPr>
          <w:rFonts w:ascii="Arial" w:hAnsi="Arial" w:cs="Arial"/>
          <w:lang w:val="en-US"/>
        </w:rPr>
        <w:t xml:space="preserve"> Nrf2 activity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{"citationItems":[{"id":"ITEM-1","itemData":{"DOI":"10.1124/mol.62.5.1001","ISBN":"0026-895X (Print)\\r0026-895X (Linking)","ISSN":"0026-895X","PMID":"12391262","abstract":"Expression of phase II detoxifying genes is regulated by NF-E2-related factor 2 (Nrf2)-mediated antioxidant response element (ARE) activation. We showed previously that phosphatidylinositol 3 (PI3)-kinase plays an essential role in ARE-mediated rGSTA2 induction by oxidative stress. In view of the fact that the signaling pathway of PI3-kinase controls microfilaments and translocation of actin-associated proteins, the current study was designed to investigate the PI3-kinase-mediated nuclear translocation of Nrf2 and the interaction of Nrf2 with actin. tert-Butylhydroquinone (t-BHQ) caused Nrf2 to translocate into the nucleus in H4IIE cells, which was prevented by pretreatment of the cells with PI3-kinase inhibitors (wortmannin/LY294002). t-BHQ relocalized Nrf2 in concert with changes in actin microfilament architecture, as visualized by superposition of immunochemically stained Nrf2 and fluorescent phalloidin-stained actin. Furthermore, t-BHQ increased the level of nuclear actin, coimmunoprecipitated with Nrf2, which returned to that of control by pretreatment of the cells with PI3-kinase inhibitors. Cytochalasin B, an actin disruptor, alone stimulated actin-mediated nuclear translocation of Nrf2 and induced rGSTA2. In contrast, phalloidin, an agent that prevents actin filaments from depolymerization, inhibited Nrf2 translocation and rGSTA2 induction by t-BHQ. Subcellular fractionation and immunoblot analyses allowed us to detect both 57- and 100-kDa Nrf2. Immunoblot and immunoprecipitation assays showed that the 100-kDa protein comprised both Nrf2 and actin. The present study demonstrates that the PI3-kinase signaling pathway regulates rearrangement of actin microfilaments in response to oxidative stress and that depolymerization of actin causes a complex of Nrf2 bound with actin to translocate into nucleus.","author":[{"dropping-particle":"","family":"Kang","given":"Keon Wook","non-dropping-particle":"","parse-names":false,"suffix":""},{"dropping-particle":"","family":"Lee","given":"Seung Jin","non-dropping-particle":"","parse-names":false,"suffix":""},{"dropping-particle":"","family":"Park","given":"Jeong Weon","non-dropping-particle":"","parse-names":false,"suffix":""},{"dropping-particle":"","family":"Kim","given":"Sang Geon","non-dropping-particle":"","parse-names":false,"suffix":""}],"container-title":"Molecular pharmacology","id":"ITEM-1","issue":"5","issued":{"date-parts":[["2002"]]},"page":"1001-1010","title":"Phosphatidylinositol 3-kinase regulates nuclear translocation of NF-E2-related factor 2 through actin rearrangement in response to oxidative stress.","type":"article-journal","volume":"62"},"uris":["http://www.mendeley.com/documents/?uuid=ec9d7cb8-7484-44d8-a34a-16cd201916af"]}],"mendeley":{"formattedCitation":"(Kang et al., 2002)","plainTextFormattedCitation":"(Kang et al., 2002)","previouslyFormattedCitation":"(Kang et al., 2002)"},"properties":{"noteIndex":0},"schema":"https://github.com/citation-style-language/schema/raw/master/csl-citation.json"}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(Kang et al., 2002)</w:t>
      </w:r>
      <w:r w:rsidRPr="00CB1C44">
        <w:rPr>
          <w:rFonts w:ascii="Arial" w:hAnsi="Arial" w:cs="Arial"/>
          <w:lang w:val="en-US"/>
        </w:rPr>
        <w:fldChar w:fldCharType="end"/>
      </w:r>
      <w:r w:rsidRPr="00CB1C44">
        <w:rPr>
          <w:rFonts w:ascii="Arial" w:hAnsi="Arial" w:cs="Arial"/>
          <w:lang w:val="en-US"/>
        </w:rPr>
        <w:t xml:space="preserve">, </w:t>
      </w:r>
      <w:r w:rsidR="00460A9D" w:rsidRPr="00CB1C44">
        <w:rPr>
          <w:rFonts w:ascii="Arial" w:hAnsi="Arial" w:cs="Arial"/>
          <w:lang w:val="en-US"/>
        </w:rPr>
        <w:t>wa</w:t>
      </w:r>
      <w:r w:rsidRPr="00CB1C44">
        <w:rPr>
          <w:rFonts w:ascii="Arial" w:hAnsi="Arial" w:cs="Arial"/>
          <w:lang w:val="en-US"/>
        </w:rPr>
        <w:t xml:space="preserve">s reduced in AD patient brains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{"citationItems":[{"id":"ITEM-1","itemData":{"DOI":"10.1007/s11064-008-9714-9","ISBN":"0364-3190 (Print)","ISSN":"1573-6903","PMID":"18461448","abstract":"Glycogen synthase kinase GSK-3beta has been identified as one of the major candidates mediating tau hyperphosphorylation at the same sites as those present in tau protein in brain from Alzheimer's disease (AD) patients. However, the signal transduction pathways involved in the abnormal activation of GSK-3beta, have not been completely elucidated. GSK-3beta activity is repressed by the canonical Wnt signaling pathway, but it is also modulated through the PI3K/Akt route. Recent studies have suggested that Wnt signaling might be involved in the pathophysiology of AD. On the other hand, modulators of the PI3K pathway might be reduced during aging leading to a sustained activation of GSK-3beta, which in turn would increase the risk of tau hyperphosphorylation. The role of Wnt and PI3K signaling inhibition on the extent of tau phosphorylation and neuronal morphology has not been completely elucidated. Thus, in the present investigation we analyzed the effects of different negative modulators of the Wnt and the PI3K pathways on GSK-3beta activation and phosphorylation of tau at the PHF-1 epitope in cortical cultured neurons and hippocampal slices from adult rat brain. Changes in the microtubule network were also studied. We found that a variety of Wnt and PI3K inhibitors, significantly increased tau phosphorylation at the PHF-1 site, induced the disarrangement of the microtubule network and the accumulation of tau within cell bodies. These changes correlated with alterations in neuronal morphology.","author":[{"dropping-particle":"","family":"Mercado-Gómez","given":"Octavio","non-dropping-particle":"","parse-names":false,"suffix":""},{"dropping-particle":"","family":"Hernández-Fonseca","given":"Karla","non-dropping-particle":"","parse-names":false,"suffix":""},{"dropping-particle":"","family":"Villavicencio-Queijeiro","given":"Alexa","non-dropping-particle":"","parse-names":false,"suffix":""},{"dropping-particle":"","family":"Massieu","given":"Lourdes","non-dropping-particle":"","parse-names":false,"suffix":""},{"dropping-particle":"","family":"Chimal-Monroy","given":"Jesús","non-dropping-particle":"","parse-names":false,"suffix":""},{"dropping-particle":"","family":"Arias","given":"Clorinda","non-dropping-particle":"","parse-names":false,"suffix":""}],"container-title":"Neurochemical research","id":"ITEM-1","issue":"8","issued":{"date-parts":[["2008"]]},"page":"1599-609","title":"Inhibition of Wnt and PI3K signaling modulates GSK-3beta activity and induces morphological changes in cortical neurons: role of tau phosphorylation.","type":"article-journal","volume":"33"},"uris":["http://www.mendeley.com/documents/?uuid=f8766032-cb47-497a-94f6-24702a7ff64c"]}],"mendeley":{"formattedCitation":"(Mercado-Gómez et al., 2008)","plainTextFormattedCitation":"(Mercado-Gómez et al., 2008)","previouslyFormattedCitation":"(Mercado-Gómez et al., 2008)"},"properties":{"noteIndex":0},"schema":"https://github.com/citation-style-language/schema/raw/master/csl-citation.json"}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(Mercado-Gómez et al., 2008)</w:t>
      </w:r>
      <w:r w:rsidRPr="00CB1C44">
        <w:rPr>
          <w:rFonts w:ascii="Arial" w:hAnsi="Arial" w:cs="Arial"/>
          <w:lang w:val="en-US"/>
        </w:rPr>
        <w:fldChar w:fldCharType="end"/>
      </w:r>
      <w:r w:rsidRPr="00CB1C44">
        <w:rPr>
          <w:rFonts w:ascii="Arial" w:hAnsi="Arial" w:cs="Arial"/>
          <w:lang w:val="en-US"/>
        </w:rPr>
        <w:t xml:space="preserve">. </w:t>
      </w:r>
      <w:r w:rsidR="00EC6E2B" w:rsidRPr="00CB1C44">
        <w:rPr>
          <w:rFonts w:ascii="Arial" w:hAnsi="Arial" w:cs="Arial"/>
          <w:lang w:val="en-US"/>
        </w:rPr>
        <w:t>Importantly</w:t>
      </w:r>
      <w:r w:rsidR="0026569F" w:rsidRPr="00CB1C44">
        <w:rPr>
          <w:rFonts w:ascii="Arial" w:hAnsi="Arial" w:cs="Arial"/>
          <w:lang w:val="en-US"/>
        </w:rPr>
        <w:t>, increased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 activation by </w:t>
      </w:r>
      <w:proofErr w:type="spellStart"/>
      <w:r w:rsidRPr="00CB1C44">
        <w:rPr>
          <w:rFonts w:ascii="Arial" w:hAnsi="Arial" w:cs="Arial"/>
          <w:i/>
          <w:lang w:val="en-US"/>
        </w:rPr>
        <w:t>Gypenoside</w:t>
      </w:r>
      <w:proofErr w:type="spellEnd"/>
      <w:r w:rsidRPr="00CB1C44">
        <w:rPr>
          <w:rFonts w:ascii="Arial" w:hAnsi="Arial" w:cs="Arial"/>
          <w:i/>
          <w:lang w:val="en-US"/>
        </w:rPr>
        <w:t xml:space="preserve"> XVII</w:t>
      </w:r>
      <w:r w:rsidRPr="00CB1C44">
        <w:rPr>
          <w:rFonts w:ascii="Arial" w:hAnsi="Arial" w:cs="Arial"/>
          <w:lang w:val="en-US"/>
        </w:rPr>
        <w:t xml:space="preserve"> (GP-17), a novel phytoestrogen, inhibit</w:t>
      </w:r>
      <w:r w:rsidR="00460A9D" w:rsidRPr="00CB1C44">
        <w:rPr>
          <w:rFonts w:ascii="Arial" w:hAnsi="Arial" w:cs="Arial"/>
          <w:lang w:val="en-US"/>
        </w:rPr>
        <w:t>ed</w:t>
      </w:r>
      <w:r w:rsidRPr="00CB1C44">
        <w:rPr>
          <w:rFonts w:ascii="Arial" w:hAnsi="Arial" w:cs="Arial"/>
          <w:lang w:val="en-US"/>
        </w:rPr>
        <w:t xml:space="preserve"> GSK-3β activity and enhanced Nrf2 translocation into the nucleus with consequent up-regulation</w:t>
      </w:r>
      <w:r w:rsidR="00460A9D" w:rsidRPr="00CB1C44">
        <w:rPr>
          <w:rFonts w:ascii="Arial" w:hAnsi="Arial" w:cs="Arial"/>
          <w:lang w:val="en-US"/>
        </w:rPr>
        <w:t xml:space="preserve"> of target genes</w:t>
      </w:r>
      <w:r w:rsidRPr="00CB1C44">
        <w:rPr>
          <w:rFonts w:ascii="Arial" w:hAnsi="Arial" w:cs="Arial"/>
          <w:lang w:val="en-US"/>
        </w:rPr>
        <w:t xml:space="preserve"> </w:t>
      </w:r>
      <w:r w:rsidR="00EC6E2B" w:rsidRPr="00CB1C44">
        <w:rPr>
          <w:rFonts w:ascii="Arial" w:hAnsi="Arial" w:cs="Arial"/>
          <w:lang w:val="en-US"/>
        </w:rPr>
        <w:t>in Aβ</w:t>
      </w:r>
      <w:r w:rsidR="00EC6E2B" w:rsidRPr="00CB1C44">
        <w:rPr>
          <w:rFonts w:ascii="Arial" w:hAnsi="Arial" w:cs="Arial"/>
          <w:vertAlign w:val="subscript"/>
          <w:lang w:val="en-US"/>
        </w:rPr>
        <w:t>25-35</w:t>
      </w:r>
      <w:r w:rsidR="00EC6E2B" w:rsidRPr="00CB1C44">
        <w:rPr>
          <w:rFonts w:ascii="Arial" w:hAnsi="Arial" w:cs="Arial"/>
          <w:lang w:val="en-US"/>
        </w:rPr>
        <w:t xml:space="preserve">-treated PC12 cells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{"citationItems":[{"id":"ITEM-1","itemData":{"DOI":"10.1016/j.taap.2014.03.026","ISSN":"0041008X","PMID":"24726523","abstract":"Amyloid-beta (A??) has a pivotal function in the pathogenesis of Alzheimer's disease. To investigate A?? neurotoxicity, we used an in vitro model that involves A??25-35-induced cell death in the nerve growth factor-induced differentiation of PC12 cells. A??25-35 (20??M) treatment for 24h caused apoptotic cell death, as evidenced by significant cell viability reduction, LDH release, phosphatidylserine externalization, mitochondrial membrane potential disruption, cytochrome c release, caspase-3 activation, PARP cleavage, and DNA fragmentation in PC12 cells. A??25-35 treatment led to autophagic cell death, as evidenced by augmented GFP-LC3 puncta, conversion of LC3-I to LC3-II, and increased LC3-II/LC3-I ratio. A??25-35 treatment induced oxidative stress, as evidenced by intracellular ROS accumulation and increased production of mitochondrial superoxide, malondialdehyde, protein carbonyl, and 8-OHdG. Phytoestrogens have been proved to be protective against A??-induced neurotoxicity and regarded as relatively safe targets for AD drug development. Gypenoside XVII (GP-17) is a novel phytoestrogen isolated from Gynostemma pentaphyllum or Panax notoginseng. Pretreatment with GP-17 (10??M) for 12h increased estrogen response element reporter activity, activated PI3K/Akt pathways, inhibited GSK-3??, induced Nrf2 nuclear translocation, augmented antioxidant responsive element enhancer activity, upregulated heme oxygenase 1 (HO-1) expression and activity, and provided protective effects against A??25-35-induced neurotoxicity, including oxidative stress, apoptosis, and autophagic cell death. In conclusion, GP-17 conferred protection against A??25-35-induced neurotoxicity through estrogen receptor-dependent activation of PI3K/Akt pathways, inactivation of GSK-3?? and activation of Nrf2/ARE/HO-1 pathways. This finding might provide novel insights into understanding the mechanism for neuroprotective effects of phytoestrogens or gypenosides. ?? 2014 Elsevier Inc.","author":[{"dropping-particle":"","family":"Meng","given":"Xiangbao","non-dropping-particle":"","parse-names":false,"suffix":""},{"dropping-particle":"","family":"Wang","given":"Min","non-dropping-particle":"","parse-names":false,"suffix":""},{"dropping-particle":"","family":"Sun","given":"Guibo","non-dropping-particle":"","parse-names":false,"suffix":""},{"dropping-particle":"","family":"Ye","given":"Jingxue","non-dropping-particle":"","parse-names":false,"suffix":""},{"dropping-particle":"","family":"Zhou","given":"Yanhui","non-dropping-particle":"","parse-names":false,"suffix":""},{"dropping-particle":"","family":"Dong","given":"Xi","non-dropping-particle":"","parse-names":false,"suffix":""},{"dropping-particle":"","family":"Wang","given":"Tingting","non-dropping-particle":"","parse-names":false,"suffix":""},{"dropping-particle":"","family":"Lu","given":"Shan","non-dropping-particle":"","parse-names":false,"suffix":""},{"dropping-particle":"","family":"Sun","given":"Xiaobo","non-dropping-particle":"","parse-names":false,"suffix":""}],"container-title":"Toxicology and Applied Pharmacology","id":"ITEM-1","issue":"1","issued":{"date-parts":[["2014","8"]]},"page":"63-75","publisher":"Elsevier B.V.","title":"Attenuation of Aβ25–35-induced parallel autophagic and apoptotic cell death by gypenoside XVII through the estrogen receptor-dependent activation of Nrf2/ARE pathways","type":"article-journal","volume":"279"},"uris":["http://www.mendeley.com/documents/?uuid=14f6c187-d91d-4ada-9a92-fdd8ff3cf86e"]}],"mendeley":{"formattedCitation":"(Meng et al., 2014)","plainTextFormattedCitation":"(Meng et al., 2014)","previouslyFormattedCitation":"(Meng et al., 2014)"},"properties":{"noteIndex":0},"schema":"https://github.com/citation-style-language/schema/raw/master/csl-citation.json"}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(Meng et al., 2014)</w:t>
      </w:r>
      <w:r w:rsidRPr="00CB1C44">
        <w:rPr>
          <w:rFonts w:ascii="Arial" w:hAnsi="Arial" w:cs="Arial"/>
          <w:lang w:val="en-US"/>
        </w:rPr>
        <w:fldChar w:fldCharType="end"/>
      </w:r>
      <w:r w:rsidR="00605078" w:rsidRPr="00CB1C44">
        <w:rPr>
          <w:rFonts w:ascii="Arial" w:hAnsi="Arial" w:cs="Arial"/>
          <w:lang w:val="en-US"/>
        </w:rPr>
        <w:t xml:space="preserve">, although this form of amyloidogenic and neurotoxic Aβ fragment is not </w:t>
      </w:r>
      <w:r w:rsidR="002736E2" w:rsidRPr="00CB1C44">
        <w:rPr>
          <w:rFonts w:ascii="Arial" w:hAnsi="Arial" w:cs="Arial"/>
          <w:lang w:val="en-US"/>
        </w:rPr>
        <w:t xml:space="preserve">naturally </w:t>
      </w:r>
      <w:r w:rsidR="00605078" w:rsidRPr="00CB1C44">
        <w:rPr>
          <w:rFonts w:ascii="Arial" w:hAnsi="Arial" w:cs="Arial"/>
          <w:lang w:val="en-US"/>
        </w:rPr>
        <w:t>formed in AD</w:t>
      </w:r>
      <w:r w:rsidRPr="00CB1C44">
        <w:rPr>
          <w:rFonts w:ascii="Arial" w:hAnsi="Arial" w:cs="Arial"/>
          <w:lang w:val="en-US"/>
        </w:rPr>
        <w:t xml:space="preserve">. Similar results </w:t>
      </w:r>
      <w:r w:rsidR="00EC6E2B" w:rsidRPr="00CB1C44">
        <w:rPr>
          <w:rFonts w:ascii="Arial" w:hAnsi="Arial" w:cs="Arial"/>
          <w:lang w:val="en-US"/>
        </w:rPr>
        <w:t>were</w:t>
      </w:r>
      <w:r w:rsidRPr="00CB1C44">
        <w:rPr>
          <w:rFonts w:ascii="Arial" w:hAnsi="Arial" w:cs="Arial"/>
          <w:lang w:val="en-US"/>
        </w:rPr>
        <w:t xml:space="preserve"> obtained with </w:t>
      </w:r>
      <w:proofErr w:type="spellStart"/>
      <w:r w:rsidR="00605078" w:rsidRPr="00CB1C44">
        <w:rPr>
          <w:rFonts w:ascii="Arial" w:hAnsi="Arial" w:cs="Arial"/>
          <w:lang w:val="en-US"/>
        </w:rPr>
        <w:t>s</w:t>
      </w:r>
      <w:r w:rsidRPr="00CB1C44">
        <w:rPr>
          <w:rFonts w:ascii="Arial" w:hAnsi="Arial" w:cs="Arial"/>
          <w:lang w:val="en-US"/>
        </w:rPr>
        <w:t>ulfuretin</w:t>
      </w:r>
      <w:proofErr w:type="spellEnd"/>
      <w:r w:rsidRPr="00CB1C44">
        <w:rPr>
          <w:rFonts w:ascii="Arial" w:hAnsi="Arial" w:cs="Arial"/>
          <w:lang w:val="en-US"/>
        </w:rPr>
        <w:t xml:space="preserve">, </w:t>
      </w:r>
      <w:r w:rsidR="00337771" w:rsidRPr="00CB1C44">
        <w:rPr>
          <w:rFonts w:ascii="Arial" w:hAnsi="Arial" w:cs="Arial"/>
          <w:lang w:val="en-US"/>
        </w:rPr>
        <w:t xml:space="preserve">an </w:t>
      </w:r>
      <w:r w:rsidR="00DE011B" w:rsidRPr="00CB1C44">
        <w:rPr>
          <w:rFonts w:ascii="Arial" w:hAnsi="Arial" w:cs="Arial"/>
          <w:lang w:val="en-US"/>
        </w:rPr>
        <w:t xml:space="preserve">antioxidant flavonoid with several pharmacological effects </w:t>
      </w:r>
      <w:r w:rsidR="00566F52"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{"citationItems":[{"id":"ITEM-1","itemData":{"DOI":"10.3390/ijms18122753","ISBN":"8263850681","ISSN":"14220067","PMID":"29257079","abstract":"Parkinson’s disease (PD) is the second most common neurodegenerative disease. It is caused by the death of dopaminergic neurons in the substantia nigra pars compacta. Oxidative stress and mitochondrial dysfunction contribute to the loss of dopaminergic neurons in PD. Sulfuretin is a potent antioxidant that is reported to be beneficial in the treatment of neurodegenerative diseases. In this study, we examined the protective effect of sulfuretin against 1-methyl-4-phenyl pyridinium (MPP(+))-induced cell model of PD in SH-SY5Y cells and the underlying molecular mechanisms. Sulfuretin significantly decreased MPP(+)-induced apoptotic cell death, accompanied by a reduction in caspase 3 activity and polyADP-ribose polymerase (PARP) cleavage. Furthermore, it attenuated MPP(+)-induced production of intracellular reactive oxygen species (ROS) and disruption of mitochondrial membrane potential (MMP). Consistently, sulfuretin decreased p53 expression and the Bax/Bcl-2 ratio. Moreover, sulfuretin significantly increased the phosphorylation of Akt, GSK3β, and ERK. Pharmacological inhibitors of PI3K/Akt and ERK abolished the cytoprotective effects of sulfuretin against MPP(+). An inhibitor of GSK3β mimicked sulfuretin-induced protection against MPP(+). Taken together, these results suggest that sulfuretin significantly attenuates MPP(+)-induced neurotoxicity through Akt/GSK3β and ERK signaling pathways in SH-SY5Y cells. Our findings suggest that sulfuretin might be one of the potential candidates for the treatment of PD. ","author":[{"dropping-particle":"","family":"Pariyar","given":"Ramesh","non-dropping-particle":"","parse-names":false,"suffix":""},{"dropping-particle":"","family":"Lamichhane","given":"Ramakanta","non-dropping-particle":"","parse-names":false,"suffix":""},{"dropping-particle":"","family":"Jung","given":"Hyun Ju","non-dropping-particle":"","parse-names":false,"suffix":""},{"dropping-particle":"","family":"Kim","given":"Sung Yeon","non-dropping-particle":"","parse-names":false,"suffix":""},{"dropping-particle":"","family":"Seo","given":"Jungwon","non-dropping-particle":"","parse-names":false,"suffix":""}],"container-title":"International Journal of Molecular Sciences","id":"ITEM-1","issued":{"date-parts":[["2017"]]},"title":"Sulfuretin attenuates MPP+-induced neurotoxicity through Akt/GSK3β and ERK signaling pathways","type":"article-journal"},"uris":["http://www.mendeley.com/documents/?uuid=e65c5ffb-4350-4eea-b1a7-5aa42a30702e"]}],"mendeley":{"formattedCitation":"(Pariyar et al., 2017)","plainTextFormattedCitation":"(Pariyar et al., 2017)","previouslyFormattedCitation":"(Pariyar et al., 2017)"},"properties":{"noteIndex":0},"schema":"https://github.com/citation-style-language/schema/raw/master/csl-citation.json"}</w:instrText>
      </w:r>
      <w:r w:rsidR="00566F52" w:rsidRPr="00CB1C44">
        <w:rPr>
          <w:rFonts w:ascii="Arial" w:hAnsi="Arial" w:cs="Arial"/>
          <w:lang w:val="en-US"/>
        </w:rPr>
        <w:fldChar w:fldCharType="separate"/>
      </w:r>
      <w:r w:rsidR="00DD645C" w:rsidRPr="00CB1C44">
        <w:rPr>
          <w:rFonts w:ascii="Arial" w:hAnsi="Arial" w:cs="Arial"/>
          <w:noProof/>
          <w:lang w:val="en-US"/>
        </w:rPr>
        <w:t>(Pariyar et al., 2017)</w:t>
      </w:r>
      <w:r w:rsidR="00566F52" w:rsidRPr="00CB1C44">
        <w:rPr>
          <w:rFonts w:ascii="Arial" w:hAnsi="Arial" w:cs="Arial"/>
          <w:lang w:val="en-US"/>
        </w:rPr>
        <w:fldChar w:fldCharType="end"/>
      </w:r>
      <w:r w:rsidRPr="00CB1C44">
        <w:rPr>
          <w:rFonts w:ascii="Arial" w:hAnsi="Arial" w:cs="Arial"/>
          <w:lang w:val="en-US"/>
        </w:rPr>
        <w:t>, in Aβ</w:t>
      </w:r>
      <w:r w:rsidRPr="00CB1C44">
        <w:rPr>
          <w:rFonts w:ascii="Arial" w:hAnsi="Arial" w:cs="Arial"/>
          <w:vertAlign w:val="subscript"/>
          <w:lang w:val="en-US"/>
        </w:rPr>
        <w:t>25-35</w:t>
      </w:r>
      <w:r w:rsidRPr="00CB1C44">
        <w:rPr>
          <w:rFonts w:ascii="Arial" w:hAnsi="Arial" w:cs="Arial"/>
          <w:lang w:val="en-US"/>
        </w:rPr>
        <w:t xml:space="preserve">-treated hippocampal neurons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{"citationItems":[{"id":"ITEM-1","itemData":{"DOI":"10.1016/j.neuroscience.2015.07.030","ISBN":"1873-7544 (Electronic)\\r0306-4522 (Linking)","ISSN":"03064522","PMID":"26192096","abstract":"Sulfuretin, one of the major flavonoid glycosides found in the stem bark of Albizzia julibrissin and heartwood of Rhus verniciflua, is a known anti-oxidant. We previously demonstrated that sulfuretin inhibits neuronal death via reactive oxygen species (ROS)-dependent mechanisms in human SH-SY5Y cells, although other relevant mechanisms of action of this compound remain largely uncharacterized. As part of our ongoing exploration of the pharmacological actions of sulfuretin, we studied the neuroprotective effects of sulfuretin against amyloid beta (A??)-induced neurotoxicity in human SH-SY5Y and primary hippocampal neuron cells and investigated the possible mechanisms involved. Specifically, we found in the present study that sulfuretin significantly attenuates the decrease in cell viability, release of lactate dehydrogenase, and accumulation of ROS associated with A??&lt;inf&gt;25-35&lt;/inf&gt;-induced neurotoxicity in neuronal cells. Furthermore, sulfuretin stimulated the activation of nuclear factor erythroid 2-related factor 2 (Nrf2), a downstream target of phosphatidylinositol 3-kinases (PI3K)/Akt. We demonstrated that sulfuretin induces the expression of heme oxygenase-1 (HO-1), an anti-oxidant response gene. Notably, we found that the neuroprotective effects of sulfuretin were diminished by an Nrf2 small interfering RNA (siRNA), the HO-1 inhibitor zinc protoporphyrin IX (ZnPP), as well as the PI3K/Akt inhibitor LY294002. Taken together, these results indicated that sulfuretin protects neuronal cells from A??&lt;inf&gt;25-35&lt;/inf&gt;-induced neurotoxicity through activation of Nrf/HO-1 and PI3K/Akt signaling pathways. Our results also indicate that sulfuretin-induced induction of Nrf2-dependent HO-1 expression via the PI3K/Akt signaling pathway has preventive and/or therapeutic potential for the management of Alzheimer's disease.","author":[{"dropping-particle":"","family":"Kwon","given":"S.-H.","non-dropping-particle":"","parse-names":false,"suffix":""},{"dropping-particle":"","family":"Ma","given":"S.-X.","non-dropping-particle":"","parse-names":false,"suffix":""},{"dropping-particle":"","family":"Hwang","given":"J.-Y.","non-dropping-particle":"","parse-names":false,"suffix":""},{"dropping-particle":"","family":"Lee","given":"S.-Y.","non-dropping-particle":"","parse-names":false,"suffix":""},{"dropping-particle":"","family":"Jang","given":"C.-G.","non-dropping-particle":"","parse-names":false,"suffix":""}],"container-title":"Neuroscience","id":"ITEM-1","issue":"July","issued":{"date-parts":[["2015","9"]]},"page":"14-28","title":"Involvement of the Nrf2/HO-1 signaling pathway in sulfuretin-induced protection against amyloid beta25–35 neurotoxicity","type":"article-journal","volume":"304"},"uris":["http://www.mendeley.com/documents/?uuid=9924f56f-501e-4c0f-85d7-fae516c29964"]}],"mendeley":{"formattedCitation":"(Kwon et al., 2015)","plainTextFormattedCitation":"(Kwon et al., 2015)","previouslyFormattedCitation":"(Kwon et al., 2015)"},"properties":{"noteIndex":0},"schema":"https://github.com/citation-style-language/schema/raw/master/csl-citation.json"}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(Kwon et al., 2015)</w:t>
      </w:r>
      <w:r w:rsidRPr="00CB1C44">
        <w:rPr>
          <w:rFonts w:ascii="Arial" w:hAnsi="Arial" w:cs="Arial"/>
          <w:lang w:val="en-US"/>
        </w:rPr>
        <w:fldChar w:fldCharType="end"/>
      </w:r>
      <w:r w:rsidRPr="00CB1C44">
        <w:rPr>
          <w:rFonts w:ascii="Arial" w:hAnsi="Arial" w:cs="Arial"/>
          <w:lang w:val="en-US"/>
        </w:rPr>
        <w:t xml:space="preserve">. Moreover, the antioxidant </w:t>
      </w:r>
      <w:proofErr w:type="spellStart"/>
      <w:r w:rsidRPr="00CB1C44">
        <w:rPr>
          <w:rFonts w:ascii="Arial" w:hAnsi="Arial" w:cs="Arial"/>
          <w:lang w:val="en-US"/>
        </w:rPr>
        <w:t>puerarin</w:t>
      </w:r>
      <w:proofErr w:type="spellEnd"/>
      <w:r w:rsidR="00C25CAB" w:rsidRPr="00CB1C44">
        <w:rPr>
          <w:rFonts w:ascii="Arial" w:hAnsi="Arial" w:cs="Arial"/>
          <w:lang w:val="en-US"/>
        </w:rPr>
        <w:t xml:space="preserve">, described to have antihypertension, antiarrhythmic, antioxidant, antiapoptotic, and neuroprotective properties </w:t>
      </w:r>
      <w:r w:rsidR="00C36BA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{"citationItems":[{"id":"ITEM-1","itemData":{"DOI":"10.1016/B978-0-12-801816-3.00047-9","ISBN":"9780128018279","abstract":"Aging is an irreversible process that leads to progressive deleterious changes. Free radical theory has been proposed to be associated with age-related deteriorations. Antioxidant systems can counteract oxidative stress and scavenge free radicals and protect the cells. Special attention is paid to the phytochemicals which are rich in antioxidant levels as potential antiaging agents. In Asia, some natural food products have been used to treat and/or prevent age-related disease for a long time based on the traditional medicine theories. These foods have been reported to delay the onset of aging in animals and human studies due to the presence of various bioactive compounds. In this review, the potential health benefits and the antioxidant effects of several commonly consumed foods in Asia are discussed. Since neurodegenerative disease is high on the list of chronic diseases of the aged, the neuroprotective effects of these foods are also mentioned.","author":[{"dropping-particle":"","family":"Cheung","given":"Bernice","non-dropping-particle":"","parse-names":false,"suffix":""},{"dropping-particle":"","family":"Kwan","given":"Macy","non-dropping-particle":"","parse-names":false,"suffix":""},{"dropping-particle":"","family":"Chan","given":"Ruth","non-dropping-particle":"","parse-names":false,"suffix":""},{"dropping-particle":"","family":"Sea","given":"Mandy","non-dropping-particle":"","parse-names":false,"suffix":""},{"dropping-particle":"","family":"Woo","given":"Jean","non-dropping-particle":"","parse-names":false,"suffix":""}],"container-title":"Molecular Basis of Nutrition and Aging","id":"ITEM-1","issued":{"date-parts":[["2016"]]},"page":"659-676","publisher":"Elsevier","title":"Potential of Asian Natural Products for Health in Aging","type":"chapter"},"uris":["http://www.mendeley.com/documents/?uuid=23e046ff-39f6-4962-9021-262a73cf4b13"]}],"mendeley":{"formattedCitation":"(Cheung et al., 2016)","plainTextFormattedCitation":"(Cheung et al., 2016)","previouslyFormattedCitation":"(Cheung et al., 2016)"},"properties":{"noteIndex":0},"schema":"https://github.com/citation-style-language/schema/raw/master/csl-citation.json"}</w:instrText>
      </w:r>
      <w:r w:rsidR="00C36BA8" w:rsidRPr="00CB1C44">
        <w:rPr>
          <w:rFonts w:ascii="Arial" w:hAnsi="Arial" w:cs="Arial"/>
          <w:lang w:val="en-US"/>
        </w:rPr>
        <w:fldChar w:fldCharType="separate"/>
      </w:r>
      <w:r w:rsidR="00DD645C" w:rsidRPr="00CB1C44">
        <w:rPr>
          <w:rFonts w:ascii="Arial" w:hAnsi="Arial" w:cs="Arial"/>
          <w:noProof/>
          <w:lang w:val="en-US"/>
        </w:rPr>
        <w:t>(Cheung et al., 2016)</w:t>
      </w:r>
      <w:r w:rsidR="00C36BA8" w:rsidRPr="00CB1C44">
        <w:rPr>
          <w:rFonts w:ascii="Arial" w:hAnsi="Arial" w:cs="Arial"/>
          <w:lang w:val="en-US"/>
        </w:rPr>
        <w:fldChar w:fldCharType="end"/>
      </w:r>
      <w:r w:rsidR="00C25CAB" w:rsidRPr="00CB1C44">
        <w:rPr>
          <w:rFonts w:ascii="Arial" w:hAnsi="Arial" w:cs="Arial"/>
          <w:lang w:val="en-US"/>
        </w:rPr>
        <w:t xml:space="preserve">, </w:t>
      </w:r>
      <w:r w:rsidR="002573ED" w:rsidRPr="00CB1C44">
        <w:rPr>
          <w:rFonts w:ascii="Arial" w:hAnsi="Arial" w:cs="Arial"/>
          <w:lang w:val="en-US"/>
        </w:rPr>
        <w:t>caused</w:t>
      </w:r>
      <w:r w:rsidR="0026569F" w:rsidRPr="00CB1C44">
        <w:rPr>
          <w:rFonts w:ascii="Arial" w:hAnsi="Arial" w:cs="Arial"/>
          <w:lang w:val="en-US"/>
        </w:rPr>
        <w:t xml:space="preserve"> increased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 activation, reduced GSK-3β activity, increased Nrf2 activation and</w:t>
      </w:r>
      <w:r w:rsidRPr="00CB1C44" w:rsidDel="008A1D38">
        <w:rPr>
          <w:rFonts w:ascii="Arial" w:hAnsi="Arial" w:cs="Arial"/>
          <w:lang w:val="en-US"/>
        </w:rPr>
        <w:t xml:space="preserve"> </w:t>
      </w:r>
      <w:r w:rsidRPr="00CB1C44">
        <w:rPr>
          <w:rFonts w:ascii="Arial" w:hAnsi="Arial" w:cs="Arial"/>
          <w:i/>
          <w:iCs/>
          <w:lang w:val="en-US"/>
        </w:rPr>
        <w:t>HO-1</w:t>
      </w:r>
      <w:r w:rsidRPr="00CB1C44">
        <w:rPr>
          <w:rFonts w:ascii="Arial" w:hAnsi="Arial" w:cs="Arial"/>
          <w:lang w:val="en-US"/>
        </w:rPr>
        <w:t xml:space="preserve"> </w:t>
      </w:r>
      <w:r w:rsidR="002573ED" w:rsidRPr="00CB1C44">
        <w:rPr>
          <w:rFonts w:ascii="Arial" w:hAnsi="Arial" w:cs="Arial"/>
          <w:lang w:val="en-US"/>
        </w:rPr>
        <w:t xml:space="preserve">gene </w:t>
      </w:r>
      <w:r w:rsidRPr="00CB1C44">
        <w:rPr>
          <w:rFonts w:ascii="Arial" w:hAnsi="Arial" w:cs="Arial"/>
          <w:lang w:val="en-US"/>
        </w:rPr>
        <w:t xml:space="preserve">expression in APP/PS1 mice hippocampus, with further cognitive improvement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{"citationItems":[{"id":"ITEM-1","itemData":{"DOI":"10.1017/S146114571300148X","ISSN":"1461-1457","PMID":"24345484","abstract":"Increasing evidence demonstrates that β-amyloid (Aβ) elicits oxidative stress, which contributes to the pathogenesis and disease progression of Alzheimer's disease (AD). Thus, there is interest in developing antioxidant therapies for the prevention/treatment of cognitive decline during AD. We reported previously that puerarin has antioxidative properties in vitro. Therefore, the aim of the present study was to determine whether puerarin improves cognitive function and reduces oxidative stress in amyloid precursor protein/presenilin-1 (APP/PS1) mice, a well established AD mouse model, and explore its potential mechanism. Our results show that oral administration of puerarin significantly ameliorates cognitive impairment in APP/PS1 mice assessed by the Morris water maze (MWM) test. This was accompanied by a significant decrease in the levels of lipid peroxidation (LPO) through, at least in part, induction of nuclear factor erythroid 2-related factor 2 (Nrf2) target gene heme oxygenase 1 (HO-1) in the hippocampus of APP/PS1 transgenic mice at 9 months of age, but without altering brain Aβ burden. Furthermore, puerarin significantly activated Akt, reduced activation of glycogen synthase kinase 3β (GSK-3β), and induced nuclear translocation of Nrf2 in the hippocampus of APP/PS1 mice but did not alter ERK1/2 phosphorylation. Thus, puerarin may improve cognitive performance in APP/PS1 mice through activation of the Akt/GSK-3β signaling pathway. These findings suggest that puerarin might be an attractive agent for prevention and treatment of cognitive impairment and dementia.","author":[{"dropping-particle":"","family":"Zhou","given":"Yanyan","non-dropping-particle":"","parse-names":false,"suffix":""},{"dropping-particle":"","family":"Xie","given":"Ning","non-dropping-particle":"","parse-names":false,"suffix":""},{"dropping-particle":"","family":"Li","given":"Libo","non-dropping-particle":"","parse-names":false,"suffix":""},{"dropping-particle":"","family":"Zou","given":"Yu","non-dropping-particle":"","parse-names":false,"suffix":""},{"dropping-particle":"","family":"Zhang","given":"Xiaojie","non-dropping-particle":"","parse-names":false,"suffix":""},{"dropping-particle":"","family":"Dong","given":"Miaoxian","non-dropping-particle":"","parse-names":false,"suffix":""}],"container-title":"The International Journal of Neuropsychopharmacology","id":"ITEM-1","issue":"04","issued":{"date-parts":[["2014","4","18"]]},"page":"635-644","title":"Puerarin alleviates cognitive impairment and oxidative stress in APP/PS1 transgenic mice","type":"article-journal","volume":"17"},"uris":["http://www.mendeley.com/documents/?uuid=c869434d-b659-45da-8aad-5b969cb2d33a"]}],"mendeley":{"formattedCitation":"(Zhou et al., 2014)","plainTextFormattedCitation":"(Zhou et al., 2014)","previouslyFormattedCitation":"(Zhou et al., 2014)"},"properties":{"noteIndex":0},"schema":"https://github.com/citation-style-language/schema/raw/master/csl-citation.json"}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(Zhou et al., 2014)</w:t>
      </w:r>
      <w:r w:rsidRPr="00CB1C44">
        <w:rPr>
          <w:rFonts w:ascii="Arial" w:hAnsi="Arial" w:cs="Arial"/>
          <w:lang w:val="en-US"/>
        </w:rPr>
        <w:fldChar w:fldCharType="end"/>
      </w:r>
      <w:r w:rsidRPr="00CB1C44">
        <w:rPr>
          <w:rFonts w:ascii="Arial" w:hAnsi="Arial" w:cs="Arial"/>
          <w:lang w:val="en-US"/>
        </w:rPr>
        <w:t xml:space="preserve">. </w:t>
      </w:r>
      <w:r w:rsidR="007E1E25" w:rsidRPr="00CB1C44">
        <w:rPr>
          <w:rFonts w:ascii="Arial" w:hAnsi="Arial" w:cs="Arial"/>
          <w:lang w:val="en-US"/>
        </w:rPr>
        <w:t>H</w:t>
      </w:r>
      <w:r w:rsidRPr="00CB1C44">
        <w:rPr>
          <w:rFonts w:ascii="Arial" w:hAnsi="Arial" w:cs="Arial"/>
          <w:lang w:val="en-US"/>
        </w:rPr>
        <w:t xml:space="preserve">esperidin, a flavonoid abundant in citrus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{"citationItems":[{"id":"ITEM-1","itemData":{"DOI":"10.1007/s12272-015-0662-z","ISSN":"0253-6269","PMID":"26391026","abstract":"Numerous studies have demonstrated that oxidative stress and inflammation play a pivotal role in the pathophysiology of Alzheimer disease (AD). Hesperidin (HP) has various pharmacological effects including anti-oxidative, anti-inflammatory and neuroprotective properties. In this study, APP/PS1 mice were used to evaluate the neuroprotective effects of HP. We reported that intragastric administration of HP (40 mg/kg) for 90 days significantly attenuated cognitive impairment in APP/PS1 mice. HP treatment suppressed oxidative stress by reducing the levels of ROS, LPO, protein carbonyl and 8-OHdG and increasing the activity of HO-1, SOD, catalase, and GSH-Px. HP treatment also inhibited inflammation by decreasing the levels of TNF-α, C-reactive protein and MCP-1 and reducing the activity of NF-κB. Moreover, HP could reverse the decreased phosphorylation of Akt, the decreased phosphorylation of GSK-3β, the lessened Nrf2 and the reduced expression of HO-1. HP could also inhibit the increased the RAGE expression, the enhanced phosphorylation of IκBα, and the augmented nuclear translocation of NF-κB/p65 in cortex of APP/PS1 mice. Taken together, HP suppresses oxidative stress and inflammation via activation of Akt/Nrf2 signaling and inhibition of RAGE/NF-κB signaling and further confers neuroprotection.","author":[{"dropping-particle":"","family":"Hong","given":"Yan","non-dropping-particle":"","parse-names":false,"suffix":""},{"dropping-particle":"","family":"An","given":"Zhongping","non-dropping-particle":"","parse-names":false,"suffix":""}],"container-title":"Archives of pharmacal research","id":"ITEM-1","issue":"122","issued":{"date-parts":[["2015","9","21"]]},"publisher":"Pharmaceutical Society of Korea","title":"Hesperidin attenuates learning and memory deficits in APP/PS1 mice through activation of Akt/Nrf2 signaling and inhibition of RAGE/NF-κB signaling.","type":"article-journal"},"uris":["http://www.mendeley.com/documents/?uuid=548ff525-e19a-4013-91a0-d3c6394af8f9"]}],"mendeley":{"formattedCitation":"(Hong and An, 2015)","plainTextFormattedCitation":"(Hong and An, 2015)","previouslyFormattedCitation":"(Hong and An, 2015)"},"properties":{"noteIndex":0},"schema":"https://github.com/citation-style-language/schema/raw/master/csl-citation.json"}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(Hong and An, 2015)</w:t>
      </w:r>
      <w:r w:rsidRPr="00CB1C44">
        <w:rPr>
          <w:rFonts w:ascii="Arial" w:hAnsi="Arial" w:cs="Arial"/>
          <w:lang w:val="en-US"/>
        </w:rPr>
        <w:fldChar w:fldCharType="end"/>
      </w:r>
      <w:r w:rsidRPr="00CB1C44">
        <w:rPr>
          <w:rFonts w:ascii="Arial" w:hAnsi="Arial" w:cs="Arial"/>
          <w:lang w:val="en-US"/>
        </w:rPr>
        <w:t xml:space="preserve">, </w:t>
      </w:r>
      <w:r w:rsidR="007F45B0" w:rsidRPr="00CB1C44">
        <w:rPr>
          <w:rFonts w:ascii="Arial" w:hAnsi="Arial" w:cs="Arial"/>
          <w:lang w:val="en-US"/>
        </w:rPr>
        <w:t>the</w:t>
      </w:r>
      <w:r w:rsidRPr="00CB1C44">
        <w:rPr>
          <w:rFonts w:ascii="Arial" w:hAnsi="Arial" w:cs="Arial"/>
          <w:lang w:val="en-US"/>
        </w:rPr>
        <w:t xml:space="preserve"> natural dietary supplementation of anthocyanins, extracted from Korean black bean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12035-017-0798-6","ISSN":"0893-7648","author":[{"dropping-particle":"","family":"Ali","given":"Tahir","non-dropping-particle":"","parse-names":false,"suffix":""},{"dropping-particle":"","family":"Kim","given":"Taehyun","non-dropping-particle":"","parse-names":false,"suffix":""},{"dropping-particle":"","family":"Rehman","given":"Shafiq Ur","non-dropping-particle":"","parse-names":false,"suffix":""},{"dropping-particle":"","family":"Khan","given":"Muhammad Sohail","non-dropping-particle":"","parse-names":false,"suffix":""},{"dropping-particle":"","family":"Amin","given":"Faiz Ul","non-dropping-particle":"","parse-names":false,"suffix":""},{"dropping-particle":"","family":"Khan","given":"Mehtab","non-dropping-particle":"","parse-names":false,"suffix":""},{"dropping-particle":"","family":"Ikram","given":"Muhammad","non-dropping-particle":"","parse-names":false,"suffix":""},{"dropping-particle":"","family":"Kim","given":"Myeong Ok","non-dropping-particle":"","parse-names":false,"suffix":""}],"container-title":"Molecular Neurobiology","id":"ITEM-1","issue":"7","issued":{"date-parts":[["2018","7","23"]]},"page":"6076-6093","publisher":"Molecular Neurobiology","title":"Natural Dietary Supplementation of Anthocyanins via PI3K/Akt/Nrf2/HO-1 Pathways Mitigate Oxidative Stress, Neurodegeneration, and Memory Impairment in a Mouse Model of Alzheimer’s Disease","type":"article-journal","volume":"55"},"uris":["http://www.mendeley.com/documents/?uuid=588eb330-b61c-4b6e-b892-dd17e2d19432"]}],"mendeley":{"formattedCitation":"(Ali et al., 2018)","plainTextFormattedCitation":"(Ali et al., 2018)","previouslyFormattedCitation":"(Ali et al., 2018)"},"properties":{"noteIndex":0},"schema":"https://github.com/citation-style-language/schema/raw/master/csl-citation.json"}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(Ali et al., 2018)</w:t>
      </w:r>
      <w:r w:rsidRPr="00CB1C44">
        <w:rPr>
          <w:rFonts w:ascii="Arial" w:hAnsi="Arial" w:cs="Arial"/>
          <w:lang w:val="en-US"/>
        </w:rPr>
        <w:fldChar w:fldCharType="end"/>
      </w:r>
      <w:r w:rsidRPr="00CB1C44">
        <w:rPr>
          <w:rFonts w:ascii="Arial" w:hAnsi="Arial" w:cs="Arial"/>
          <w:lang w:val="en-US"/>
        </w:rPr>
        <w:t xml:space="preserve"> in the same </w:t>
      </w:r>
      <w:r w:rsidR="002573ED" w:rsidRPr="00CB1C44">
        <w:rPr>
          <w:rFonts w:ascii="Arial" w:hAnsi="Arial" w:cs="Arial"/>
          <w:lang w:val="en-US"/>
        </w:rPr>
        <w:t xml:space="preserve">AD </w:t>
      </w:r>
      <w:r w:rsidRPr="00CB1C44">
        <w:rPr>
          <w:rFonts w:ascii="Arial" w:hAnsi="Arial" w:cs="Arial"/>
          <w:lang w:val="en-US"/>
        </w:rPr>
        <w:t>m</w:t>
      </w:r>
      <w:r w:rsidR="002573ED" w:rsidRPr="00CB1C44">
        <w:rPr>
          <w:rFonts w:ascii="Arial" w:hAnsi="Arial" w:cs="Arial"/>
          <w:lang w:val="en-US"/>
        </w:rPr>
        <w:t>ouse</w:t>
      </w:r>
      <w:r w:rsidRPr="00CB1C44">
        <w:rPr>
          <w:rFonts w:ascii="Arial" w:hAnsi="Arial" w:cs="Arial"/>
          <w:lang w:val="en-US"/>
        </w:rPr>
        <w:t xml:space="preserve"> model (APP/PS1)</w:t>
      </w:r>
      <w:r w:rsidR="00351302" w:rsidRPr="00CB1C44">
        <w:rPr>
          <w:rFonts w:ascii="Arial" w:hAnsi="Arial" w:cs="Arial"/>
          <w:lang w:val="en-US"/>
        </w:rPr>
        <w:t xml:space="preserve"> </w:t>
      </w:r>
      <w:r w:rsidR="00F81BD2" w:rsidRPr="00CB1C44">
        <w:rPr>
          <w:rFonts w:ascii="Arial" w:hAnsi="Arial" w:cs="Arial"/>
          <w:lang w:val="en-US"/>
        </w:rPr>
        <w:fldChar w:fldCharType="begin" w:fldLock="1"/>
      </w:r>
      <w:r w:rsidR="00F81BD2" w:rsidRPr="00CB1C44">
        <w:rPr>
          <w:rFonts w:ascii="Arial" w:hAnsi="Arial" w:cs="Arial"/>
          <w:lang w:val="en-US"/>
        </w:rPr>
        <w:instrText>ADDIN CSL_CITATION {"citationItems":[{"id":"ITEM-1","itemData":{"DOI":"10.1007/s12272-015-0662-z","ISSN":"0253-6269","PMID":"26391026","abstract":"Numerous studies have demonstrated that oxidative stress and inflammation play a pivotal role in the pathophysiology of Alzheimer disease (AD). Hesperidin (HP) has various pharmacological effects including anti-oxidative, anti-inflammatory and neuroprotective properties. In this study, APP/PS1 mice were used to evaluate the neuroprotective effects of HP. We reported that intragastric administration of HP (40 mg/kg) for 90 days significantly attenuated cognitive impairment in APP/PS1 mice. HP treatment suppressed oxidative stress by reducing the levels of ROS, LPO, protein carbonyl and 8-OHdG and increasing the activity of HO-1, SOD, catalase, and GSH-Px. HP treatment also inhibited inflammation by decreasing the levels of TNF-α, C-reactive protein and MCP-1 and reducing the activity of NF-κB. Moreover, HP could reverse the decreased phosphorylation of Akt, the decreased phosphorylation of GSK-3β, the lessened Nrf2 and the reduced expression of HO-1. HP could also inhibit the increased the RAGE expression, the enhanced phosphorylation of IκBα, and the augmented nuclear translocation of NF-κB/p65 in cortex of APP/PS1 mice. Taken together, HP suppresses oxidative stress and inflammation via activation of Akt/Nrf2 signaling and inhibition of RAGE/NF-κB signaling and further confers neuroprotection.","author":[{"dropping-particle":"","family":"Hong","given":"Yan","non-dropping-particle":"","parse-names":false,"suffix":""},{"dropping-particle":"","family":"An","given":"Zhongping","non-dropping-particle":"","parse-names":false,"suffix":""}],"container-title":"Archives of pharmacal research","id":"ITEM-1","issue":"122","issued":{"date-parts":[["2015","9","21"]]},"publisher":"Pharmaceutical Society of Korea","title":"Hesperidin attenuates learning and memory deficits in APP/PS1 mice through activation of Akt/Nrf2 signaling and inhibition of RAGE/NF-κB signaling.","type":"article-journal"},"uris":["http://www.mendeley.com/documents/?uuid=548ff525-e19a-4013-91a0-d3c6394af8f9"]}],"mendeley":{"formattedCitation":"(Hong and An, 2015)","plainTextFormattedCitation":"(Hong and An, 2015)"},"properties":{"noteIndex":0},"schema":"https://github.com/citation-style-language/schema/raw/master/csl-citation.json"}</w:instrText>
      </w:r>
      <w:r w:rsidR="00F81BD2" w:rsidRPr="00CB1C44">
        <w:rPr>
          <w:rFonts w:ascii="Arial" w:hAnsi="Arial" w:cs="Arial"/>
          <w:lang w:val="en-US"/>
        </w:rPr>
        <w:fldChar w:fldCharType="separate"/>
      </w:r>
      <w:r w:rsidR="00F81BD2" w:rsidRPr="00CB1C44">
        <w:rPr>
          <w:rFonts w:ascii="Arial" w:hAnsi="Arial" w:cs="Arial"/>
          <w:noProof/>
          <w:lang w:val="en-US"/>
        </w:rPr>
        <w:t>(Hong and An, 2015)</w:t>
      </w:r>
      <w:r w:rsidR="00F81BD2" w:rsidRPr="00CB1C44">
        <w:rPr>
          <w:rFonts w:ascii="Arial" w:hAnsi="Arial" w:cs="Arial"/>
          <w:lang w:val="en-US"/>
        </w:rPr>
        <w:fldChar w:fldCharType="end"/>
      </w:r>
      <w:r w:rsidR="007F45B0" w:rsidRPr="00CB1C44">
        <w:rPr>
          <w:rFonts w:ascii="Arial" w:hAnsi="Arial" w:cs="Arial"/>
          <w:lang w:val="en-US"/>
        </w:rPr>
        <w:t xml:space="preserve">, and </w:t>
      </w:r>
      <w:proofErr w:type="spellStart"/>
      <w:r w:rsidR="00BB79B5" w:rsidRPr="00CB1C44">
        <w:rPr>
          <w:rFonts w:ascii="Arial" w:hAnsi="Arial" w:cs="Arial"/>
          <w:lang w:val="en-US"/>
        </w:rPr>
        <w:t>vanillic</w:t>
      </w:r>
      <w:proofErr w:type="spellEnd"/>
      <w:r w:rsidR="00BB79B5" w:rsidRPr="00CB1C44">
        <w:rPr>
          <w:rFonts w:ascii="Arial" w:hAnsi="Arial" w:cs="Arial"/>
          <w:lang w:val="en-US"/>
        </w:rPr>
        <w:t xml:space="preserve"> acid, an antioxidant key aromatic volatile compound of vanilla beans, </w:t>
      </w:r>
      <w:r w:rsidR="007E1E25" w:rsidRPr="00CB1C44">
        <w:rPr>
          <w:rFonts w:ascii="Arial" w:hAnsi="Arial" w:cs="Arial"/>
          <w:lang w:val="en-US"/>
        </w:rPr>
        <w:t xml:space="preserve">showed similar results </w:t>
      </w:r>
      <w:r w:rsidR="00BB79B5" w:rsidRPr="00CB1C44">
        <w:rPr>
          <w:rFonts w:ascii="Arial" w:hAnsi="Arial" w:cs="Arial"/>
          <w:lang w:val="en-US"/>
        </w:rPr>
        <w:t>after intracerebroventricular injection of Aβ</w:t>
      </w:r>
      <w:r w:rsidR="00BB79B5" w:rsidRPr="00CB1C44">
        <w:rPr>
          <w:rFonts w:ascii="Arial" w:hAnsi="Arial" w:cs="Arial"/>
          <w:vertAlign w:val="subscript"/>
          <w:lang w:val="en-US"/>
        </w:rPr>
        <w:t>1-42</w:t>
      </w:r>
      <w:r w:rsidR="00BB79B5" w:rsidRPr="00CB1C44">
        <w:rPr>
          <w:rFonts w:ascii="Arial" w:hAnsi="Arial" w:cs="Arial"/>
          <w:lang w:val="en-US"/>
        </w:rPr>
        <w:t xml:space="preserve"> into the mouse brain </w:t>
      </w:r>
      <w:r w:rsidR="00BB79B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{"citationItems":[{"id":"ITEM-1","itemData":{"DOI":"10.1038/srep40753","ISBN":"20452322 (ISSN)","ISSN":"2045-2322","PMID":"28098243","abstract":"Vanillic acid attenuates Aβ1-42-induced oxidative stress and cognitive impairment in mice","author":[{"dropping-particle":"","family":"Amin","given":"Faiz Ul","non-dropping-particle":"","parse-names":false,"suffix":""},{"dropping-particle":"","family":"Shah","given":"Shahid Ali","non-dropping-particle":"","parse-names":false,"suffix":""},{"dropping-particle":"","family":"Kim","given":"Myeong Ok","non-dropping-particle":"","parse-names":false,"suffix":""}],"container-title":"Scientific Reports","id":"ITEM-1","issue":"1","issued":{"date-parts":[["2017","12","18"]]},"page":"40753","publisher":"Nature Publishing Group","title":"Vanillic acid attenuates Aβ1-42-induced oxidative stress and cognitive impairment in mice","type":"article-journal","volume":"7"},"uris":["http://www.mendeley.com/documents/?uuid=bdfc7831-66f3-4e38-9730-e4e9b2a15360"]}],"mendeley":{"formattedCitation":"(Amin et al., 2017b)","plainTextFormattedCitation":"(Amin et al., 2017b)","previouslyFormattedCitation":"(Amin et al., 2017b)"},"properties":{"noteIndex":0},"schema":"https://github.com/citation-style-language/schema/raw/master/csl-citation.json"}</w:instrText>
      </w:r>
      <w:r w:rsidR="00BB79B5" w:rsidRPr="00CB1C44">
        <w:rPr>
          <w:rFonts w:ascii="Arial" w:hAnsi="Arial" w:cs="Arial"/>
          <w:lang w:val="en-US"/>
        </w:rPr>
        <w:fldChar w:fldCharType="separate"/>
      </w:r>
      <w:r w:rsidR="00DD645C" w:rsidRPr="00CB1C44">
        <w:rPr>
          <w:rFonts w:ascii="Arial" w:hAnsi="Arial" w:cs="Arial"/>
          <w:noProof/>
          <w:lang w:val="en-US"/>
        </w:rPr>
        <w:t>(Amin et al., 2017b)</w:t>
      </w:r>
      <w:r w:rsidR="00BB79B5" w:rsidRPr="00CB1C44">
        <w:rPr>
          <w:rFonts w:ascii="Arial" w:hAnsi="Arial" w:cs="Arial"/>
          <w:lang w:val="en-US"/>
        </w:rPr>
        <w:fldChar w:fldCharType="end"/>
      </w:r>
      <w:r w:rsidR="00BB79B5" w:rsidRPr="00CB1C44">
        <w:rPr>
          <w:rFonts w:ascii="Arial" w:hAnsi="Arial" w:cs="Arial"/>
          <w:lang w:val="en-US"/>
        </w:rPr>
        <w:t xml:space="preserve">. </w:t>
      </w:r>
      <w:r w:rsidRPr="00CB1C44">
        <w:rPr>
          <w:rFonts w:ascii="Arial" w:hAnsi="Arial" w:cs="Arial"/>
          <w:lang w:val="en-US"/>
        </w:rPr>
        <w:t>Altogether, results suggest</w:t>
      </w:r>
      <w:r w:rsidR="002573ED" w:rsidRPr="00CB1C44">
        <w:rPr>
          <w:rFonts w:ascii="Arial" w:hAnsi="Arial" w:cs="Arial"/>
          <w:lang w:val="en-US"/>
        </w:rPr>
        <w:t xml:space="preserve"> </w:t>
      </w:r>
      <w:r w:rsidR="0026569F" w:rsidRPr="00CB1C44">
        <w:rPr>
          <w:rFonts w:ascii="Arial" w:hAnsi="Arial" w:cs="Arial"/>
          <w:lang w:val="en-US"/>
        </w:rPr>
        <w:t>GSK-3β and/or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pathways modulation as useful AD therapeutic strategies through the indirect manipulation of Nrf2 pathway. </w:t>
      </w:r>
    </w:p>
    <w:p w14:paraId="67F264AE" w14:textId="6BF8E34E" w:rsidR="00F52503" w:rsidRPr="00CB1C44" w:rsidRDefault="0010203E" w:rsidP="004038B5">
      <w:pPr>
        <w:spacing w:after="0" w:line="360" w:lineRule="auto"/>
        <w:jc w:val="both"/>
        <w:rPr>
          <w:rFonts w:ascii="Arial" w:hAnsi="Arial" w:cs="Arial"/>
          <w:lang w:val="en-US"/>
        </w:rPr>
      </w:pPr>
      <w:r w:rsidRPr="00CB1C44">
        <w:rPr>
          <w:rFonts w:ascii="Arial" w:hAnsi="Arial" w:cs="Arial"/>
          <w:lang w:val="en-US"/>
        </w:rPr>
        <w:t>On the other hand, t</w:t>
      </w:r>
      <w:r w:rsidR="00876808" w:rsidRPr="00CB1C44">
        <w:rPr>
          <w:rFonts w:ascii="Arial" w:hAnsi="Arial" w:cs="Arial"/>
          <w:lang w:val="en-US"/>
        </w:rPr>
        <w:t xml:space="preserve">he MAP kinase member, p38 MAPK, </w:t>
      </w:r>
      <w:r w:rsidR="00DC4037" w:rsidRPr="00CB1C44">
        <w:rPr>
          <w:rFonts w:ascii="Arial" w:hAnsi="Arial" w:cs="Arial"/>
          <w:lang w:val="en-US"/>
        </w:rPr>
        <w:t>phosphorylate</w:t>
      </w:r>
      <w:r w:rsidR="004B3D34" w:rsidRPr="00CB1C44">
        <w:rPr>
          <w:rFonts w:ascii="Arial" w:hAnsi="Arial" w:cs="Arial"/>
          <w:lang w:val="en-US"/>
        </w:rPr>
        <w:t>s</w:t>
      </w:r>
      <w:r w:rsidR="00DC4037" w:rsidRPr="00CB1C44">
        <w:rPr>
          <w:rFonts w:ascii="Arial" w:hAnsi="Arial" w:cs="Arial"/>
          <w:lang w:val="en-US"/>
        </w:rPr>
        <w:t xml:space="preserve"> Nrf2, favoring its interaction with Keap1 and consequent inhibition of </w:t>
      </w:r>
      <w:r w:rsidR="00B25303" w:rsidRPr="00CB1C44">
        <w:rPr>
          <w:rFonts w:ascii="Arial" w:hAnsi="Arial" w:cs="Arial"/>
          <w:lang w:val="en-US"/>
        </w:rPr>
        <w:t>Nrf2</w:t>
      </w:r>
      <w:r w:rsidR="00252F79" w:rsidRPr="00CB1C44">
        <w:rPr>
          <w:rFonts w:ascii="Arial" w:hAnsi="Arial" w:cs="Arial"/>
          <w:lang w:val="en-US"/>
        </w:rPr>
        <w:t xml:space="preserve"> </w:t>
      </w:r>
      <w:r w:rsidR="00DC4037" w:rsidRPr="00CB1C44">
        <w:rPr>
          <w:rFonts w:ascii="Arial" w:hAnsi="Arial" w:cs="Arial"/>
          <w:lang w:val="en-US"/>
        </w:rPr>
        <w:t xml:space="preserve">nuclear translocation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{"citationItems":[{"id":"ITEM-1","itemData":{"DOI":"10.1158/0008-5472.CAN-05-3513","ISBN":"1538-7445 (Electronic)\\r0008-5472 (Linking)","ISSN":"1538-7445","PMID":"16951197","abstract":"Exposure of sulforaphane to HepG2 cells increased heme oxygenase-1 (HO-1) expression by activating antioxidant response element (ARE) through induction of Nrf2 and suppression of Kelch-like ECH-associated protein 1 (Keap1). Using human HO-1 promoter reporter plasmids and ChIP assay, we have identified that sulforaphane transcriptionally activated the upstream ARE-rich enhancer region, located at -9.0 kb upstream human HO-1 promoter. Induction of HO-1 by sulforaphane was attenuated by overexpression of mutant Nrf2 plasmid in HepG2 cells and totally abolished in Nrf2 knockout mouse embryonic keratinocytes and fibroblasts. Overexpression of individual p38 mitogen-activated protein (MAP) kinase (MAPK) isoforms also suppressed constitutive as well as sulforaphane- or Nrf2-induced ARE-dependent gene expression. Among the upstream kinases, although MKK3 was not involved in suppression of ARE by any of p38 MAPK isoforms, MKK6 selectively suppressed ARE by p38 gamma or p38 delta, but not by p38 alpha or p38 beta. Importantly, sulforaphane not only activated MAP/extracellular signal-regulated kinase (ERK) kinases 1/2 and ERK1/2, but also strongly suppressed anisomycin-induced activation of p38 MAPK isoforms by blocking phosphorylation of upstream kinases, MKK3/6. Finally, we found that stimulation of p38 MAPK isoforms phosphorylated purified Nrf2 protein and caused an increase in the interaction between Nrf2 and Keap1 in vitro and the suppression of Nrf2 translocation into the nucleus. Collectively, our results indicate that transcriptional activation of Nrf2/ARE is critical in sulforaphane-mediated induction of HO-1, which can be modulated in part by the blockade of p38 MAPK signaling pathway. In addition, our study shows that p38 MAPK can phosphorylate Nrf2 and promotes the association between Nrf2 and Keap1 proteins, thereby potentially inhibiting nuclear translocation of Nrf2.","author":[{"dropping-particle":"","family":"Keum","given":"Young-Sam","non-dropping-particle":"","parse-names":false,"suffix":""},{"dropping-particle":"","family":"Yu","given":"Siwang","non-dropping-particle":"","parse-names":false,"suffix":""},{"dropping-particle":"","family":"Chang","given":"Peter Pil-Jae","non-dropping-particle":"","parse-names":false,"suffix":""},{"dropping-particle":"","family":"Yuan","given":"Xiaoling","non-dropping-particle":"","parse-names":false,"suffix":""},{"dropping-particle":"","family":"Kim","given":"Jung-Hwan","non-dropping-particle":"","parse-names":false,"suffix":""},{"dropping-particle":"","family":"Xu","given":"Changjiang","non-dropping-particle":"","parse-names":false,"suffix":""},{"dropping-particle":"","family":"Han","given":"Jiahuai","non-dropping-particle":"","parse-names":false,"suffix":""},{"dropping-particle":"","family":"Agarwal","given":"Anupam","non-dropping-particle":"","parse-names":false,"suffix":""},{"dropping-particle":"","family":"Kong","given":"Ah-Ng Tony","non-dropping-particle":"","parse-names":false,"suffix":""}],"container-title":"Cancer research","id":"ITEM-1","issue":"17","issued":{"date-parts":[["2006","9","1"]]},"page":"8804-13","title":"Mechanism of action of sulforaphane: inhibition of p38 mitogen-activated protein kinase isoforms contributing to the induction of antioxidant response element-mediated heme oxygenase-1 in human hepatoma HepG2 cells.","type":"article-journal","volume":"66"},"uris":["http://www.mendeley.com/documents/?uuid=1fc7020a-2997-4b88-b10d-d55cb42efac9"]}],"mendeley":{"formattedCitation":"(Keum et al., 2006)","plainTextFormattedCitation":"(Keum et al., 2006)","previouslyFormattedCitation":"(Keum et al., 2006)"},"properties":{"noteIndex":0},"schema":"https://github.com/citation-style-language/schema/raw/master/csl-citation.json"}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(Keum et al., 2006)</w:t>
      </w:r>
      <w:r w:rsidR="00844011" w:rsidRPr="00CB1C44">
        <w:rPr>
          <w:rFonts w:ascii="Arial" w:hAnsi="Arial" w:cs="Arial"/>
          <w:lang w:val="en-US"/>
        </w:rPr>
        <w:fldChar w:fldCharType="end"/>
      </w:r>
      <w:r w:rsidR="00DC4037" w:rsidRPr="00CB1C44">
        <w:rPr>
          <w:rFonts w:ascii="Arial" w:hAnsi="Arial" w:cs="Arial"/>
          <w:lang w:val="en-US"/>
        </w:rPr>
        <w:t>.</w:t>
      </w:r>
      <w:r w:rsidR="00215644" w:rsidRPr="00CB1C44">
        <w:rPr>
          <w:rFonts w:ascii="Arial" w:hAnsi="Arial" w:cs="Arial"/>
          <w:lang w:val="en-US"/>
        </w:rPr>
        <w:t xml:space="preserve"> </w:t>
      </w:r>
      <w:r w:rsidR="00247117" w:rsidRPr="00CB1C44">
        <w:rPr>
          <w:rFonts w:ascii="Arial" w:hAnsi="Arial" w:cs="Arial"/>
          <w:lang w:val="en-US"/>
        </w:rPr>
        <w:t xml:space="preserve">Importantly, p38 MAPK may be activated Aβ through oxidative stress, as </w:t>
      </w:r>
      <w:r w:rsidR="00247117" w:rsidRPr="00CB1C44">
        <w:rPr>
          <w:rFonts w:ascii="Arial" w:hAnsi="Arial" w:cs="Arial"/>
          <w:lang w:val="en-US"/>
        </w:rPr>
        <w:lastRenderedPageBreak/>
        <w:t xml:space="preserve">shown in rat cortical neurons </w:t>
      </w:r>
      <w:r w:rsidR="0024711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{"citationItems":[{"id":"ITEM-1","itemData":{"DOI":"10.1016/j.redox.2014.03.002","ISSN":"22132317","PMID":"25061569","abstract":"Oxidative stress is a hallmark of Alzheimer's disease (AD). We propose that rather than causing damage because of the action of free radicals, oxidative stress deranges signaling pathways leading to tau hyperphosphorylation, a hallmark of the disease. Indeed, incubation of neurons in culture with 5??M beta-amyloid peptide (A??) causes an activation of p38 MAPK (p38) that leads to tau hyperphosphorylation. Inhibition of p38 prevents A??-induced tau phosphorylation. A??-induced effects are prevented when neurons are co-incubated with trolox (the water-soluble analog of vitamin E).We have confirmed these results in vivo, in APP/PS1 double transgenic mice of AD. We have found that APP/PS1 transgenic mice exhibit a high level of P-p38 in the hippocampus but not in cortex and this is prevented by feeding animals with a diet supplemented with vitamin E.Our results underpin the role of oxidative stress in the altered cell signaling in AD pathology and suggest that antioxidant prevention may be useful in AD therapeutics. ?? 2014 The Authors.","author":[{"dropping-particle":"","family":"Giraldo","given":"E.","non-dropping-particle":"","parse-names":false,"suffix":""},{"dropping-particle":"","family":"Lloret","given":"A.","non-dropping-particle":"","parse-names":false,"suffix":""},{"dropping-particle":"","family":"Fuchsberger","given":"T.","non-dropping-particle":"","parse-names":false,"suffix":""},{"dropping-particle":"","family":"Viña","given":"J.","non-dropping-particle":"","parse-names":false,"suffix":""}],"container-title":"Redox Biology","id":"ITEM-1","issue":"1","issued":{"date-parts":[["2014"]]},"page":"873-877","publisher":"Elsevier","title":"Aβ and tau toxicities in Alzheimer’s are linked via oxidative stress-induced p38 activation: Protective role of vitamin E","type":"article-journal","volume":"2"},"uris":["http://www.mendeley.com/documents/?uuid=fc8e7630-86f8-4f1d-a2fb-cc7aa1979b07"]}],"mendeley":{"formattedCitation":"(Giraldo et al., 2014)","plainTextFormattedCitation":"(Giraldo et al., 2014)","previouslyFormattedCitation":"(Giraldo et al., 2014)"},"properties":{"noteIndex":0},"schema":"https://github.com/citation-style-language/schema/raw/master/csl-citation.json"}</w:instrText>
      </w:r>
      <w:r w:rsidR="00247117" w:rsidRPr="00CB1C44">
        <w:rPr>
          <w:rFonts w:ascii="Arial" w:hAnsi="Arial" w:cs="Arial"/>
          <w:lang w:val="en-US"/>
        </w:rPr>
        <w:fldChar w:fldCharType="separate"/>
      </w:r>
      <w:r w:rsidR="00DD645C" w:rsidRPr="00CB1C44">
        <w:rPr>
          <w:rFonts w:ascii="Arial" w:hAnsi="Arial" w:cs="Arial"/>
          <w:noProof/>
          <w:lang w:val="en-US"/>
        </w:rPr>
        <w:t>(Giraldo et al., 2014)</w:t>
      </w:r>
      <w:r w:rsidR="00247117" w:rsidRPr="00CB1C44">
        <w:rPr>
          <w:rFonts w:ascii="Arial" w:hAnsi="Arial" w:cs="Arial"/>
          <w:lang w:val="en-US"/>
        </w:rPr>
        <w:fldChar w:fldCharType="end"/>
      </w:r>
      <w:r w:rsidR="00247117" w:rsidRPr="00CB1C44">
        <w:rPr>
          <w:rFonts w:ascii="Arial" w:hAnsi="Arial" w:cs="Arial"/>
          <w:lang w:val="en-US"/>
        </w:rPr>
        <w:t xml:space="preserve">; and </w:t>
      </w:r>
      <w:r w:rsidR="00DC1F54" w:rsidRPr="00CB1C44">
        <w:rPr>
          <w:rFonts w:ascii="Arial" w:hAnsi="Arial" w:cs="Arial"/>
          <w:lang w:val="en-US"/>
        </w:rPr>
        <w:t xml:space="preserve">p38 MAPK signaling pathway was shown to be up-regulated in AD brain during early stages of neurofibrillary degeneration </w:t>
      </w:r>
      <w:r w:rsidR="00DC1F5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{"citationItems":[{"id":"ITEM-1","itemData":{"DOI":"10.1016/S0197-0186(01)00041-9","ISBN":"0197-0186 (Print)\\r0197-0186 (Linking)","ISSN":"01970186","PMID":"11578769","abstract":"Activated (phosphorylated) mitogen-activated protein kinase p38 (MAPK-p38) and interleukin-1 (IL-1) have both been implicated in the hyperphosphorylation of tau, a major component of the neurofibrillary tangles in Alzheimer's disease. This, together with findings showing that IL-1 activates MAPK-p38 in vitro and is markedly overexpressed in Alzheimer brain, suggest a role for IL-1-induced MAPK-p38 activation in the genesis of neurofibrillary pathology in Alzheimer's disease. We found frequent colocalization of hyperphosphorylated tau protein (AT8 antibody) and activated MAPK-p38 in neurons and in dystrophic neurites in Alzheimer brain, and frequent association of these structures with activated microglia overexpressing IL-1. Tissue levels of IL-1 mRNA as well as of both phosphorylated and non-phosphorylated isoforms of tau were elevated in these brains. Significant correlations were found between the numbers of AT8- and MAPK-p38-immunoreactive neurons, and between the numbers of activated microglia overexpressing IL-1 and the numbers of both AT8- and MAPK-p38-immunoreactive neurons. Furthermore, rats bearing IL-1-impregnated pellets showed a six- to seven-fold increase in the levels of MAPK-p38 mRNA, compared with rats with vehicle-only pellets (P&lt;0.0001). These results suggest that microglial activation and IL-1 overexpression are part of a feedback cascade in which MAPK-p38 overexpression and activation leads to tau hyperphosphorylation and neurofibrillary pathology in Alzheimer's disease. © 2001 Published by Elsevier Science Ltd.","author":[{"dropping-particle":"","family":"Sheng","given":"Jin G.","non-dropping-particle":"","parse-names":false,"suffix":""},{"dropping-particle":"","family":"Jones","given":"Richard A.","non-dropping-particle":"","parse-names":false,"suffix":""},{"dropping-particle":"","family":"Zhou","given":"Xue Q.","non-dropping-particle":"","parse-names":false,"suffix":""},{"dropping-particle":"","family":"McGinness","given":"John M.","non-dropping-particle":"","parse-names":false,"suffix":""},{"dropping-particle":"","family":"Eldik","given":"Linda J.","non-dropping-particle":"Van","parse-names":false,"suffix":""},{"dropping-particle":"","family":"Mrak","given":"Robert E.","non-dropping-particle":"","parse-names":false,"suffix":""},{"dropping-particle":"","family":"Griffin","given":"W. Sue T","non-dropping-particle":"","parse-names":false,"suffix":""}],"container-title":"Neurochemistry International","id":"ITEM-1","issue":"5-6","issued":{"date-parts":[["2001"]]},"page":"341-348","title":"Interleukin-1 promotion of MAPK-p38 overexpression in experimental animals and in Alzheimer's disease: Potential significance for tau protein phosphorylation","type":"article-journal","volume":"39"},"uris":["http://www.mendeley.com/documents/?uuid=f40ac3dd-16ba-415b-8d7a-1cff28bf4422"]},{"id":"ITEM-2","itemData":{"DOI":"10.1046/j.1471-4159.1999.0722053.x","ISBN":"0022-3042 (Print)\\n0022-3042 (Linking)","ISSN":"0022-3042 (Print) 0022-3042 (Linking)","PMID":"10217284","abstract":"The p38 mitogen-activated protein kinase is a stress-activated enzyme responsible for transducing inflammatory signals and initiating apoptosis. In the Alzheimer's disease (AD) brain, increased levels of phosphorylated (active) p38 were detected relative to age-matched normal brain. Intense phospho-p38 immunoreactivity was associated with neuritic plaques, neuropil threads, and neurofibrillary tangle-bearing neurons. The antibody against phosphorylated p38 recognized many of the same structures as an antibody against aberrantly phosphorylated, paired helical filament (PHF) tau, although PHF-positive tau did not cross-react with the phospho-p38 antibody. These findings suggest a neuroinflammatory mechanism in the AD brain, in which aberrant protein phosphorylation affects signal transduction elements, including the p38 kinase cascade, as well as cytoskeletal components.","author":[{"dropping-particle":"","family":"Hensley","given":"K","non-dropping-particle":"","parse-names":false,"suffix":""},{"dropping-particle":"","family":"Floyd","given":"R A","non-dropping-particle":"","parse-names":false,"suffix":""},{"dropping-particle":"","family":"Zheng","given":"N Y","non-dropping-particle":"","parse-names":false,"suffix":""},{"dropping-particle":"","family":"Nael","given":"R","non-dropping-particle":"","parse-names":false,"suffix":""},{"dropping-particle":"","family":"Robinson","given":"K A","non-dropping-particle":"","parse-names":false,"suffix":""},{"dropping-particle":"","family":"Nguyen","given":"X","non-dropping-particle":"","parse-names":false,"suffix":""},{"dropping-particle":"","family":"Pye","given":"Q N","non-dropping-particle":"","parse-names":false,"suffix":""},{"dropping-particle":"","family":"Stewart","given":"C A","non-dropping-particle":"","parse-names":false,"suffix":""},{"dropping-particle":"","family":"Geddes","given":"J","non-dropping-particle":"","parse-names":false,"suffix":""},{"dropping-particle":"","family":"Markesbery","given":"W R","non-dropping-particle":"","parse-names":false,"suffix":""},{"dropping-particle":"","family":"Patel","given":"E","non-dropping-particle":"","parse-names":false,"suffix":""},{"dropping-particle":"V","family":"Johnson","given":"G","non-dropping-particle":"","parse-names":false,"suffix":""},{"dropping-particle":"","family":"Bing","given":"G","non-dropping-particle":"","parse-names":false,"suffix":""}],"container-title":"J Neurochem","id":"ITEM-2","issue":"5","issued":{"date-parts":[["1999"]]},"page":"2053-2058","title":"p38 kinase is activated in the Alzheimer's disease brain","type":"article-journal","volume":"72"},"uris":["http://www.mendeley.com/documents/?uuid=6c30247f-fa04-485b-b730-f912de383268"]},{"id":"ITEM-3","itemData":{"DOI":"10.1016/S0014-4886(03)00180-8","ISBN":"0014-4886 (Print)\\r0014-4886 (Linking)","ISSN":"00144886","PMID":"14552880","abstract":"The regional, cellular, and subcellular localization of phosphorylated p38 MAPK (pp38) was examined by immunocytochemistry, immuofluorescent multiple labeling, and immunoblotting of extracts as well as immunoprecipitates of human postmortem tissue from control and Alzheimer's disease (AD) cases at different Braak stages. \"Early AD\" cases (Braak stages IV-V) and a subset of Braak stage VI cases have high levels of pp38 immunoreactivity, with the most dense immunoreactivity located in CA2 and subiculum followed by CA1 in the hippocampus. On the contrary, very little pp38 was detected in age-matched controls (Braak stages 0-II). More importantly, as revealed by various multiple labeling experiments, pp38 immunoreactivity is mainly located in neurons bearing early neurofibrillary pathology, but not in typically fibrillar tangles that are densely stained by thioflavin-S. Most pp38-positive neurons only contain a small amount of phospho-tau. Additionally, pp38 immunoreactivity was not associated with senile plaques. At the subcellular level, pp38-immunoreactive granules are usually larger than the granules stained with the lysosomal marker cathepsin D. Immunoblotting with different extraction buffers and immunoprecipitation indicate that pp38 does not or only loosely binds to phospho-tau. Taken together, this study demonstrates that p38 MAPK is activated at early stages of neurofibrillary degeneration in AD hippocampus. The p38 activation may also be linked to neurodegeneration through mechanisms other than neurofibrillary tangle formation. © 2003 Elsevier Science (USA). All rights reserved.","author":[{"dropping-particle":"","family":"Sun","given":"Anyang","non-dropping-particle":"","parse-names":false,"suffix":""},{"dropping-particle":"","family":"Liu","given":"Mei","non-dropping-particle":"","parse-names":false,"suffix":""},{"dropping-particle":"V.","family":"Nguyen","given":"Xuan","non-dropping-particle":"","parse-names":false,"suffix":""},{"dropping-particle":"","family":"Bing","given":"Guoying","non-dropping-particle":"","parse-names":false,"suffix":""}],"container-title":"Experimental Neurology","id":"ITEM-3","issue":"2","issued":{"date-parts":[["2003"]]},"page":"394-405","title":"p38 MAP kinase is activated at early stages in Alzheimer's disease brain","type":"article-journal","volume":"183"},"uris":["http://www.mendeley.com/documents/?uuid=7d588267-3756-485f-a8e5-30f8de87590c"]}],"mendeley":{"formattedCitation":"(Hensley et al., 1999; Sheng et al., 2001; Sun et al., 2003)","plainTextFormattedCitation":"(Hensley et al., 1999; Sheng et al., 2001; Sun et al., 2003)","previouslyFormattedCitation":"(Hensley et al., 1999; Sheng et al., 2001; Sun et al., 2003)"},"properties":{"noteIndex":0},"schema":"https://github.com/citation-style-language/schema/raw/master/csl-citation.json"}</w:instrText>
      </w:r>
      <w:r w:rsidR="00DC1F54" w:rsidRPr="00CB1C44">
        <w:rPr>
          <w:rFonts w:ascii="Arial" w:hAnsi="Arial" w:cs="Arial"/>
          <w:lang w:val="en-US"/>
        </w:rPr>
        <w:fldChar w:fldCharType="separate"/>
      </w:r>
      <w:r w:rsidR="00DD645C" w:rsidRPr="00CB1C44">
        <w:rPr>
          <w:rFonts w:ascii="Arial" w:hAnsi="Arial" w:cs="Arial"/>
          <w:noProof/>
          <w:lang w:val="en-US"/>
        </w:rPr>
        <w:t>(Hensley et al., 1999; Sheng et al., 2001; Sun et al., 2003)</w:t>
      </w:r>
      <w:r w:rsidR="00DC1F54" w:rsidRPr="00CB1C44">
        <w:rPr>
          <w:rFonts w:ascii="Arial" w:hAnsi="Arial" w:cs="Arial"/>
          <w:lang w:val="en-US"/>
        </w:rPr>
        <w:fldChar w:fldCharType="end"/>
      </w:r>
      <w:r w:rsidR="006B02CA" w:rsidRPr="00CB1C44">
        <w:rPr>
          <w:rFonts w:ascii="Arial" w:hAnsi="Arial" w:cs="Arial"/>
          <w:lang w:val="en-US"/>
        </w:rPr>
        <w:t xml:space="preserve"> and </w:t>
      </w:r>
      <w:r w:rsidR="00DC1F54" w:rsidRPr="00CB1C44">
        <w:rPr>
          <w:rFonts w:ascii="Arial" w:hAnsi="Arial" w:cs="Arial"/>
          <w:lang w:val="en-US"/>
        </w:rPr>
        <w:t xml:space="preserve">in several </w:t>
      </w:r>
      <w:r w:rsidR="006B02CA" w:rsidRPr="00CB1C44">
        <w:rPr>
          <w:rFonts w:ascii="Arial" w:hAnsi="Arial" w:cs="Arial"/>
          <w:lang w:val="en-US"/>
        </w:rPr>
        <w:t xml:space="preserve">AD </w:t>
      </w:r>
      <w:r w:rsidR="00DC1F54" w:rsidRPr="00CB1C44">
        <w:rPr>
          <w:rFonts w:ascii="Arial" w:hAnsi="Arial" w:cs="Arial"/>
          <w:lang w:val="en-US"/>
        </w:rPr>
        <w:t xml:space="preserve">animal models </w:t>
      </w:r>
      <w:r w:rsidR="00DC1F5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{"citationItems":[{"id":"ITEM-1","itemData":{"DOI":"10.1074/jbc.M513646200","ISBN":"0021-9258 (Print)\\n0021-9258 (Linking)","ISSN":"00219258","PMID":"16774924","abstract":"MAPK-activated protein kinase 2 (MAPKAP K2 or MK2) is one of several kinases directly regulated by p38 MAPK. A role for p38 MAPK in the pathology of Alzheimer disease (AD) has previously been suggested. Here, we provide evidence to suggest that MK2 also plays a role in neuroinflammatory and neurodegenerative pathology of relevance to AD. MK2 activation and expression were increased in lipopolysaccharide (LPS) + interferon gamma-stimulated microglial cells, implicating a role for MK2 in eliciting a pro-inflammatory response. Microglia cultured ex vivo from MK2-deficient (MK2-/-) mice demonstrated significant inhibition in release of tumor necrosis factor alpha, KC (mouse chemokine with highest sequence identity to human GROs and interleukin-8), and macrophage inflammatory protein 1alpha on stimulation with LPS + interferon gamma or amyloid-beta peptide (1-42) compared with MK2+/+ wild-type microglia. Consistent with an inhibition in pro-inflammatory mediator release, cortical neurons co-cultured with LPS + interferon gamma-stimulated or amyloid-beta peptide (1-42)-stimulated MK2-/- microglia were protected from microglial-mediated neuronal cell toxicity. In a transgenic mouse model of AD in which amyloid precursor protein and presenilin-1 harboring familial AD mutations are overexpressed in specific regions of the brain, elevated activation and expression of MK2 correlated with beta-amyloid deposition, microglial activation, and up-regulation of tumor necrosis factor alpha, macrophage inflammatory protein 1alpha, and KC gene expression in the same brain regions. Our data propose a role for MK2 in AD brain pathology, for which neuroinflammation involving cytokines and chemokines and overt neuronal loss have been documented.","author":[{"dropping-particle":"","family":"Culbert","given":"Ainsley A.","non-dropping-particle":"","parse-names":false,"suffix":""},{"dropping-particle":"","family":"Skaper","given":"Stephen D.","non-dropping-particle":"","parse-names":false,"suffix":""},{"dropping-particle":"","family":"Howlett","given":"David R.","non-dropping-particle":"","parse-names":false,"suffix":""},{"dropping-particle":"","family":"Evans","given":"Nicholas A.","non-dropping-particle":"","parse-names":false,"suffix":""},{"dropping-particle":"","family":"Facci","given":"Laura","non-dropping-particle":"","parse-names":false,"suffix":""},{"dropping-particle":"","family":"Soden","given":"Peter E.","non-dropping-particle":"","parse-names":false,"suffix":""},{"dropping-particle":"","family":"Seymour","given":"Zoe M.","non-dropping-particle":"","parse-names":false,"suffix":""},{"dropping-particle":"","family":"Guillot","given":"Florence","non-dropping-particle":"","parse-names":false,"suffix":""},{"dropping-particle":"","family":"Gaestel","given":"Matthias","non-dropping-particle":"","parse-names":false,"suffix":""},{"dropping-particle":"","family":"Richardson","given":"Jill C.","non-dropping-particle":"","parse-names":false,"suffix":""}],"container-title":"Journal of Biological Chemistry","id":"ITEM-1","issue":"33","issued":{"date-parts":[["2006"]]},"page":"23658-23667","title":"MAPK-activated protein kinase 2 deficiency in microglia inhibits pro-inflammatory mediator release and resultant neurotoxicity: Relevance to neuroinflammation in a transgenic mouse model of Alzheimer disease","type":"article-journal","volume":"281"},"uris":["http://www.mendeley.com/documents/?uuid=fbe6fe93-ab96-4113-861c-cb0843ee181a"]},{"id":"ITEM-2","itemData":{"DOI":"10.1006/nbdi.2002.0538","ISBN":"0969-9961 (Print)\\r0969-9961 (Linking)","ISSN":"09699961","PMID":"12505419","abstract":"Injection into the nucleus basalis of the rat of preaggregated Abeta(1-42) produced a congophylic deposit and microglial and astrocyte activation and infiltration and caused a strong inflammatory reaction characterized by IL-1beta production, increased inducible cyclooxygenase (COX-2), and inducible nitric oxide synthase (iNOS) expression. Many phospho-p38MAPK-positive cells were observed around the deposit at 7 days after Abeta injection. Phospho-p38MAPK colocalized with activated microglial cells, but not astrocytes. The inflammatory reaction was accompanied by cholinergic hypofunction. We investigated the protective effect of the selective COX-2 inhibitor rofecoxib in attenuating the inflammatory response and neurodegeneration evoked by Abeta(1-42). Rofecoxib (3 mg/kg/day, 7 days) reduced microglia and astrocyte activation, iNOS induction, and p38MAPK activation to control levels. Cholinergic hypofunction was also significantly attenuated by treatment with rofecoxib. We show here for the first time in vivo the pivotal role played by the p38MAPK microglial signal transduction pathway in the inflammatory response to the Abeta(1-42) deposit.","author":[{"dropping-particle":"","family":"Giovannini","given":"Maria Grazia","non-dropping-particle":"","parse-names":false,"suffix":""},{"dropping-particle":"","family":"Scali","given":"Carla","non-dropping-particle":"","parse-names":false,"suffix":""},{"dropping-particle":"","family":"Prosperi","given":"Costanza","non-dropping-particle":"","parse-names":false,"suffix":""},{"dropping-particle":"","family":"Bellucci","given":"Arianna","non-dropping-particle":"","parse-names":false,"suffix":""},{"dropping-particle":"","family":"Vannucchi","given":"Maria Giuliana","non-dropping-particle":"","parse-names":false,"suffix":""},{"dropping-particle":"","family":"Rosi","given":"Susanna","non-dropping-particle":"","parse-names":false,"suffix":""},{"dropping-particle":"","family":"Pepeu","given":"Giancarlo","non-dropping-particle":"","parse-names":false,"suffix":""},{"dropping-particle":"","family":"Casamenti","given":"Fiorella","non-dropping-particle":"","parse-names":false,"suffix":""}],"container-title":"Neurobiology of Disease","id":"ITEM-2","issue":"2","issued":{"date-parts":[["2002","11"]]},"page":"257-274","title":"β-Amyloid-Induced Inflammation and Cholinergic Hypofunction in the Rat Brain in Vivo: Involvement of the p38MAPK Pathway","type":"article-journal","volume":"11"},"uris":["http://www.mendeley.com/documents/?uuid=9c15e5fc-572a-46fc-a296-126191c14149"]},{"id":"ITEM-3","itemData":{"DOI":"20026352","ISSN":"1529-2401","PMID":"11978814","abstract":"The mechanisms by which neurons and synapses are lost in Alzheimer's disease (AD) are not completely understood. To characterize potential signaling events linked to AD pathogenesis, activation-specific antibodies were used to examine mitogen-activated protein kinase (MAPK) kinase pathways at various ages in mice transgenic for human amyloid precursor protein-695 with the Swedish familial AD mutations (Tg2576) and homozygous for a P264L familial AD mutation introduced by targeting of the presenilin-1 gene (PS1(P264L)). Although the c-Jun N-terminal kinase (JNK) and p38 pathways were significantly activated in the cortex at both 7 and 12 months of age, there was no significant activation of the extracellular signal-regulated kinase pathway. MAPK kinase-4, an upstream activator of JNK, was also significantly activated at 7 and 12 months, whereas c-Jun, a downstream effector of JNK-associated apoptotic signaling, was not induced. The lack of c-Jun activation is consistent with the absence of neuronal loss in both cortex and hippocampal CA1 at 12 months. The JNK activation was localized to amyloid deposits, within neurites containing phosphorylated tau. Synaptophysin was quantified biochemically as a measure of synaptic integrity and was significantly reduced in an age-dependent manner in the Tg2576/PS1(P264L) cortex but not in either PS1(P264L) or Tg2576 cortex. Stress-responsive MAP kinase pathways were activated in the brain of the Tg2576/PS1(P264L) AD model, and this activation was coincident with the age-dependent increase in amyloid deposition, tau phosphorylation, and loss of synaptophysin.","author":[{"dropping-particle":"","family":"Savage","given":"Mary J","non-dropping-particle":"","parse-names":false,"suffix":""},{"dropping-particle":"","family":"Lin","given":"Yin-Guo","non-dropping-particle":"","parse-names":false,"suffix":""},{"dropping-particle":"","family":"Ciallella","given":"John R","non-dropping-particle":"","parse-names":false,"suffix":""},{"dropping-particle":"","family":"Flood","given":"Dorothy G","non-dropping-particle":"","parse-names":false,"suffix":""},{"dropping-particle":"","family":"Scott","given":"Richard W","non-dropping-particle":"","parse-names":false,"suffix":""}],"container-title":"The Journal of neuroscience : the official journal of the Society for Neuroscience","id":"ITEM-3","issue":"9","issued":{"date-parts":[["2002"]]},"page":"3376-85","title":"Activation of c-Jun N-terminal kinase and p38 in an Alzheimer's disease model is associated with amyloid deposition.","type":"article-journal","volume":"22"},"uris":["http://www.mendeley.com/documents/?uuid=369c4f23-a2d1-4492-9768-3b582149f990"]}],"mendeley":{"formattedCitation":"(Culbert et al., 2006; Giovannini et al., 2002; Savage et al., 2002)","plainTextFormattedCitation":"(Culbert et al., 2006; Giovannini et al., 2002; Savage et al., 2002)","previouslyFormattedCitation":"(Culbert et al., 2006; Giovannini et al., 2002; Savage et al., 2002)"},"properties":{"noteIndex":0},"schema":"https://github.com/citation-style-language/schema/raw/master/csl-citation.json"}</w:instrText>
      </w:r>
      <w:r w:rsidR="00DC1F54" w:rsidRPr="00CB1C44">
        <w:rPr>
          <w:rFonts w:ascii="Arial" w:hAnsi="Arial" w:cs="Arial"/>
          <w:lang w:val="en-US"/>
        </w:rPr>
        <w:fldChar w:fldCharType="separate"/>
      </w:r>
      <w:r w:rsidR="00DD645C" w:rsidRPr="00CB1C44">
        <w:rPr>
          <w:rFonts w:ascii="Arial" w:hAnsi="Arial" w:cs="Arial"/>
          <w:noProof/>
          <w:lang w:val="en-US"/>
        </w:rPr>
        <w:t>(Culbert et al., 2006; Giovannini et al., 2002; Savage et al., 2002)</w:t>
      </w:r>
      <w:r w:rsidR="00DC1F54" w:rsidRPr="00CB1C44">
        <w:rPr>
          <w:rFonts w:ascii="Arial" w:hAnsi="Arial" w:cs="Arial"/>
          <w:lang w:val="en-US"/>
        </w:rPr>
        <w:fldChar w:fldCharType="end"/>
      </w:r>
      <w:r w:rsidR="00DC1F54" w:rsidRPr="00CB1C44">
        <w:rPr>
          <w:rFonts w:ascii="Arial" w:hAnsi="Arial" w:cs="Arial"/>
          <w:lang w:val="en-US"/>
        </w:rPr>
        <w:t>.</w:t>
      </w:r>
      <w:r w:rsidR="006B02CA" w:rsidRPr="00CB1C44">
        <w:rPr>
          <w:rFonts w:ascii="Arial" w:hAnsi="Arial" w:cs="Arial"/>
          <w:lang w:val="en-US"/>
        </w:rPr>
        <w:t xml:space="preserve"> </w:t>
      </w:r>
      <w:r w:rsidR="00AF6B6F" w:rsidRPr="00CB1C44">
        <w:rPr>
          <w:rFonts w:ascii="Arial" w:hAnsi="Arial" w:cs="Arial"/>
          <w:lang w:val="en-US"/>
        </w:rPr>
        <w:t>Thus, development of p38 inhibitors has been considered as potential therapeutics for AD</w:t>
      </w:r>
      <w:r w:rsidR="001E5B97" w:rsidRPr="00CB1C44">
        <w:rPr>
          <w:rFonts w:ascii="Arial" w:hAnsi="Arial" w:cs="Arial"/>
          <w:lang w:val="en-US"/>
        </w:rPr>
        <w:t xml:space="preserve"> (Figure 4)</w:t>
      </w:r>
      <w:r w:rsidR="00AF6B6F" w:rsidRPr="00CB1C44">
        <w:rPr>
          <w:rFonts w:ascii="Arial" w:hAnsi="Arial" w:cs="Arial"/>
          <w:lang w:val="en-US"/>
        </w:rPr>
        <w:t>.</w:t>
      </w:r>
      <w:r w:rsidR="00C55333" w:rsidRPr="00CB1C44">
        <w:rPr>
          <w:rFonts w:ascii="Arial" w:hAnsi="Arial" w:cs="Arial"/>
          <w:lang w:val="en-US"/>
        </w:rPr>
        <w:t xml:space="preserve"> </w:t>
      </w:r>
      <w:proofErr w:type="spellStart"/>
      <w:r w:rsidR="00F52503" w:rsidRPr="00CB1C44">
        <w:rPr>
          <w:rFonts w:ascii="Arial" w:hAnsi="Arial" w:cs="Arial"/>
          <w:lang w:val="en-US"/>
        </w:rPr>
        <w:t>E</w:t>
      </w:r>
      <w:r w:rsidR="00B13824" w:rsidRPr="00CB1C44">
        <w:rPr>
          <w:rFonts w:ascii="Arial" w:hAnsi="Arial" w:cs="Arial"/>
          <w:lang w:val="en-US"/>
        </w:rPr>
        <w:t>riodictyol</w:t>
      </w:r>
      <w:proofErr w:type="spellEnd"/>
      <w:r w:rsidR="00B13824" w:rsidRPr="00CB1C44">
        <w:rPr>
          <w:rFonts w:ascii="Arial" w:hAnsi="Arial" w:cs="Arial"/>
          <w:lang w:val="en-US"/>
        </w:rPr>
        <w:t>,</w:t>
      </w:r>
      <w:r w:rsidR="00B13824" w:rsidRPr="00CB1C44" w:rsidDel="00B13824">
        <w:rPr>
          <w:rFonts w:ascii="Arial" w:hAnsi="Arial" w:cs="Arial"/>
          <w:lang w:val="en-US"/>
        </w:rPr>
        <w:t xml:space="preserve"> </w:t>
      </w:r>
      <w:r w:rsidR="004E536C" w:rsidRPr="00CB1C44">
        <w:rPr>
          <w:rFonts w:ascii="Arial" w:hAnsi="Arial" w:cs="Arial"/>
          <w:lang w:val="en-US"/>
        </w:rPr>
        <w:t xml:space="preserve">a flavonoid isolated from the Chinese herb </w:t>
      </w:r>
      <w:proofErr w:type="spellStart"/>
      <w:r w:rsidR="004E536C" w:rsidRPr="00CB1C44">
        <w:rPr>
          <w:rFonts w:ascii="Arial" w:hAnsi="Arial" w:cs="Arial"/>
          <w:i/>
          <w:lang w:val="en-US"/>
        </w:rPr>
        <w:t>Dracocephalum</w:t>
      </w:r>
      <w:proofErr w:type="spellEnd"/>
      <w:r w:rsidR="004E536C" w:rsidRPr="00CB1C44">
        <w:rPr>
          <w:rFonts w:ascii="Arial" w:hAnsi="Arial" w:cs="Arial"/>
          <w:i/>
          <w:lang w:val="en-US"/>
        </w:rPr>
        <w:t xml:space="preserve"> </w:t>
      </w:r>
      <w:proofErr w:type="spellStart"/>
      <w:r w:rsidR="004E536C" w:rsidRPr="00CB1C44">
        <w:rPr>
          <w:rFonts w:ascii="Arial" w:hAnsi="Arial" w:cs="Arial"/>
          <w:i/>
          <w:lang w:val="en-US"/>
        </w:rPr>
        <w:t>rupestre</w:t>
      </w:r>
      <w:proofErr w:type="spellEnd"/>
      <w:r w:rsidR="004E536C" w:rsidRPr="00CB1C44">
        <w:rPr>
          <w:rFonts w:ascii="Arial" w:hAnsi="Arial" w:cs="Arial"/>
          <w:lang w:val="en-US"/>
        </w:rPr>
        <w:t xml:space="preserve">, decreased the p38 MAPK apoptotic signaling pathway and enhanced Nrf2 protein levels </w:t>
      </w:r>
      <w:r w:rsidR="00A67EF4" w:rsidRPr="00CB1C44">
        <w:rPr>
          <w:rFonts w:ascii="Arial" w:hAnsi="Arial" w:cs="Arial"/>
          <w:lang w:val="en-US"/>
        </w:rPr>
        <w:t>with</w:t>
      </w:r>
      <w:r w:rsidR="004E536C" w:rsidRPr="00CB1C44">
        <w:rPr>
          <w:rFonts w:ascii="Arial" w:hAnsi="Arial" w:cs="Arial"/>
          <w:lang w:val="en-US"/>
        </w:rPr>
        <w:t xml:space="preserve"> subsequent activation of ARE pathway genes, in cortical primary neurons </w:t>
      </w:r>
      <w:r w:rsidR="00FC6C5F" w:rsidRPr="00CB1C44">
        <w:rPr>
          <w:rFonts w:ascii="Arial" w:hAnsi="Arial" w:cs="Arial"/>
          <w:lang w:val="en-US"/>
        </w:rPr>
        <w:t xml:space="preserve">exposed to </w:t>
      </w:r>
      <w:r w:rsidR="004E536C" w:rsidRPr="00CB1C44">
        <w:rPr>
          <w:rFonts w:ascii="Arial" w:hAnsi="Arial" w:cs="Arial"/>
          <w:lang w:val="en-US"/>
        </w:rPr>
        <w:t>Aβ</w:t>
      </w:r>
      <w:r w:rsidR="004E536C" w:rsidRPr="00CB1C44">
        <w:rPr>
          <w:rFonts w:ascii="Arial" w:hAnsi="Arial" w:cs="Arial"/>
          <w:vertAlign w:val="subscript"/>
          <w:lang w:val="en-US"/>
        </w:rPr>
        <w:t>25-35</w:t>
      </w:r>
      <w:r w:rsidR="004E536C"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{"citationItems":[{"id":"ITEM-1","itemData":{"DOI":"10.1007/s11064-015-1616-z","ISBN":"1573-6903 (Electronic)\\r0364-3190 (Linking)","ISSN":"0364-3190","PMID":"25994859","abstract":"Oxidative stress plays an important role in the pathogenesis of neurodegenerative diseases, including Alzheimer's disease (AD). Eriodictyol, a flavonoid isolated from the Chinese herb Dracocephalum rupestre, has long been established as an antioxidant. The present study was designed to investigate the effect of eriodictyol on beta-amyloid 25-35 peptide (Abeta25-35)-induced oxidative cell death in primary neurons and to explore the role of the nuclear factor erythroid-2-related factor 2/antioxidant response element (Nrf2/ARE) pathway in this process. For this purpose, primary cultures of cortical neurons were exposed to 15 muM Abeta25-35 in the absence or presence of eriodictyol (20, 40 and 80 muM). The results revealed that Abeta25-35-induced cytotoxicity and apoptotic characteristics such as activation of JNK/p38 apoptotic signaling pathway were effectively attenuated by eriodictyol pretreatment. Eriodictyol treatment also resulted in an increase in Nrf2 protein levels and subsequent activation of ARE pathway genes in primary cultured neurons. The protective effects of eriodictyol were attenuated by RNA interference-mediated knockdown of Nrf2 expression. Taken together, these results clearly demonstrate that eriodictyol protects neurons against Abeta25-35-induced cell death partially through Nrf2/ARE signaling pathway, which further supports that eriodictyol might be a promising novel therapeutic agent for AD.","author":[{"dropping-particle":"","family":"Jing","given":"Xu","non-dropping-particle":"","parse-names":false,"suffix":""},{"dropping-particle":"","family":"Shi","given":"Huanying","non-dropping-particle":"","parse-names":false,"suffix":""},{"dropping-particle":"","family":"Zhu","given":"Xiuying","non-dropping-particle":"","parse-names":false,"suffix":""},{"dropping-particle":"","family":"Wei","given":"Xinbing","non-dropping-particle":"","parse-names":false,"suffix":""},{"dropping-particle":"","family":"Ren","given":"Manru","non-dropping-particle":"","parse-names":false,"suffix":""},{"dropping-particle":"","family":"Han","given":"Minxing","non-dropping-particle":"","parse-names":false,"suffix":""},{"dropping-particle":"","family":"Ren","given":"Dongmei","non-dropping-particle":"","parse-names":false,"suffix":""},{"dropping-particle":"","family":"Lou","given":"Haiyan","non-dropping-particle":"","parse-names":false,"suffix":""}],"container-title":"Neurochemical Research","id":"ITEM-1","issue":"7","issued":{"date-parts":[["2015","7","21"]]},"page":"1463-1471","publisher":"Springer US","title":"Eriodictyol Attenuates β-Amyloid 25–35 Peptide-Induced Oxidative Cell Death in Primary Cultured Neurons by Activation of Nrf2","type":"article-journal","volume":"40"},"uris":["http://www.mendeley.com/documents/?uuid=68125bf8-34da-4429-be3e-6d2a4e7dded2"]}],"mendeley":{"formattedCitation":"(Jing et al., 2015)","plainTextFormattedCitation":"(Jing et al., 2015)","previouslyFormattedCitation":"(Jing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(Jing et al., 2015)</w:t>
      </w:r>
      <w:r w:rsidR="00844011" w:rsidRPr="00CB1C44">
        <w:rPr>
          <w:rFonts w:ascii="Arial" w:hAnsi="Arial" w:cs="Arial"/>
          <w:lang w:val="en-US"/>
        </w:rPr>
        <w:fldChar w:fldCharType="end"/>
      </w:r>
      <w:r w:rsidR="004E536C" w:rsidRPr="00CB1C44">
        <w:rPr>
          <w:rFonts w:ascii="Arial" w:hAnsi="Arial" w:cs="Arial"/>
          <w:lang w:val="en-US"/>
        </w:rPr>
        <w:t>.</w:t>
      </w:r>
      <w:r w:rsidR="00F71799" w:rsidRPr="00CB1C44">
        <w:rPr>
          <w:rFonts w:ascii="Arial" w:hAnsi="Arial" w:cs="Arial"/>
          <w:lang w:val="en-US"/>
        </w:rPr>
        <w:t xml:space="preserve"> </w:t>
      </w:r>
      <w:r w:rsidR="002155D4" w:rsidRPr="00CB1C44">
        <w:rPr>
          <w:rFonts w:ascii="Arial" w:hAnsi="Arial" w:cs="Arial"/>
          <w:lang w:val="en-US"/>
        </w:rPr>
        <w:t xml:space="preserve">Additionally, </w:t>
      </w:r>
      <w:r w:rsidR="00FC6C5F" w:rsidRPr="00CB1C44">
        <w:rPr>
          <w:rFonts w:ascii="Arial" w:hAnsi="Arial" w:cs="Arial"/>
          <w:lang w:val="en-US"/>
        </w:rPr>
        <w:t>Amin and colleagues used anthocyanins loaded nanoparticles (An-NPs) (</w:t>
      </w:r>
      <w:r w:rsidR="00503F11" w:rsidRPr="00CB1C44">
        <w:rPr>
          <w:rFonts w:ascii="Arial" w:hAnsi="Arial" w:cs="Arial"/>
          <w:lang w:val="en-US"/>
        </w:rPr>
        <w:t>a subfamily of flavonoids with antioxidant, anti-inflammatory and neuroprotective properties</w:t>
      </w:r>
      <w:r w:rsidR="00FC6C5F" w:rsidRPr="00CB1C44">
        <w:rPr>
          <w:rFonts w:ascii="Arial" w:hAnsi="Arial" w:cs="Arial"/>
          <w:lang w:val="en-US"/>
        </w:rPr>
        <w:t>)</w:t>
      </w:r>
      <w:r w:rsidR="00503F11" w:rsidRPr="00CB1C44">
        <w:rPr>
          <w:rFonts w:ascii="Arial" w:hAnsi="Arial" w:cs="Arial"/>
          <w:lang w:val="en-US"/>
        </w:rPr>
        <w:t xml:space="preserve"> </w:t>
      </w:r>
      <w:r w:rsidR="00FC6C5F" w:rsidRPr="00CB1C44">
        <w:rPr>
          <w:rFonts w:ascii="Arial" w:hAnsi="Arial" w:cs="Arial"/>
          <w:lang w:val="en-US"/>
        </w:rPr>
        <w:t xml:space="preserve">in </w:t>
      </w:r>
      <w:r w:rsidR="004117FE" w:rsidRPr="00CB1C44">
        <w:rPr>
          <w:rFonts w:ascii="Arial" w:hAnsi="Arial" w:cs="Arial"/>
          <w:lang w:val="en-US"/>
        </w:rPr>
        <w:t>SH-SY5Y cells after Aβ</w:t>
      </w:r>
      <w:r w:rsidR="004117FE" w:rsidRPr="00CB1C44">
        <w:rPr>
          <w:rFonts w:ascii="Arial" w:hAnsi="Arial" w:cs="Arial"/>
          <w:vertAlign w:val="subscript"/>
          <w:lang w:val="en-US"/>
        </w:rPr>
        <w:t>1-42</w:t>
      </w:r>
      <w:r w:rsidR="004117FE" w:rsidRPr="00CB1C44">
        <w:rPr>
          <w:rFonts w:ascii="Arial" w:hAnsi="Arial" w:cs="Arial"/>
          <w:lang w:val="en-US"/>
        </w:rPr>
        <w:t xml:space="preserve"> exposure</w:t>
      </w:r>
      <w:r w:rsidR="00FC6C5F" w:rsidRPr="00CB1C44">
        <w:rPr>
          <w:rFonts w:ascii="Arial" w:hAnsi="Arial" w:cs="Arial"/>
          <w:lang w:val="en-US"/>
        </w:rPr>
        <w:t xml:space="preserve"> and </w:t>
      </w:r>
      <w:r w:rsidR="00CD7F4A" w:rsidRPr="00CB1C44">
        <w:rPr>
          <w:rFonts w:ascii="Arial" w:hAnsi="Arial" w:cs="Arial"/>
          <w:lang w:val="en-US"/>
        </w:rPr>
        <w:t xml:space="preserve">reported neurotoxicity and oxidative stress </w:t>
      </w:r>
      <w:r w:rsidR="00FC6C5F" w:rsidRPr="00CB1C44">
        <w:rPr>
          <w:rFonts w:ascii="Arial" w:hAnsi="Arial" w:cs="Arial"/>
          <w:lang w:val="en-US"/>
        </w:rPr>
        <w:t xml:space="preserve">reduction </w:t>
      </w:r>
      <w:r w:rsidR="00CD7F4A" w:rsidRPr="00CB1C44">
        <w:rPr>
          <w:rFonts w:ascii="Arial" w:hAnsi="Arial" w:cs="Arial"/>
          <w:lang w:val="en-US"/>
        </w:rPr>
        <w:t xml:space="preserve">through </w:t>
      </w:r>
      <w:r w:rsidR="00FC6C5F" w:rsidRPr="00CB1C44">
        <w:rPr>
          <w:rFonts w:ascii="Arial" w:hAnsi="Arial" w:cs="Arial"/>
          <w:lang w:val="en-US"/>
        </w:rPr>
        <w:t>decrease</w:t>
      </w:r>
      <w:r w:rsidR="007036EB" w:rsidRPr="00CB1C44">
        <w:rPr>
          <w:rFonts w:ascii="Arial" w:hAnsi="Arial" w:cs="Arial"/>
          <w:lang w:val="en-US"/>
        </w:rPr>
        <w:t>d</w:t>
      </w:r>
      <w:r w:rsidR="002573ED" w:rsidRPr="00CB1C44">
        <w:rPr>
          <w:rFonts w:ascii="Arial" w:hAnsi="Arial" w:cs="Arial"/>
          <w:lang w:val="en-US"/>
        </w:rPr>
        <w:t xml:space="preserve"> p38 expression </w:t>
      </w:r>
      <w:r w:rsidR="00CD7F4A" w:rsidRPr="00CB1C44">
        <w:rPr>
          <w:rFonts w:ascii="Arial" w:hAnsi="Arial" w:cs="Arial"/>
          <w:lang w:val="en-US"/>
        </w:rPr>
        <w:t xml:space="preserve">and </w:t>
      </w:r>
      <w:r w:rsidR="002573ED" w:rsidRPr="00CB1C44">
        <w:rPr>
          <w:rFonts w:ascii="Arial" w:hAnsi="Arial" w:cs="Arial"/>
          <w:lang w:val="en-US"/>
        </w:rPr>
        <w:t xml:space="preserve">increased </w:t>
      </w:r>
      <w:r w:rsidR="00CD7F4A" w:rsidRPr="00CB1C44">
        <w:rPr>
          <w:rFonts w:ascii="Arial" w:hAnsi="Arial" w:cs="Arial"/>
          <w:lang w:val="en-US"/>
        </w:rPr>
        <w:t xml:space="preserve">Nrf2 and HO-1 protein </w:t>
      </w:r>
      <w:r w:rsidR="00FC6C5F" w:rsidRPr="00CB1C44">
        <w:rPr>
          <w:rFonts w:ascii="Arial" w:hAnsi="Arial" w:cs="Arial"/>
          <w:lang w:val="en-US"/>
        </w:rPr>
        <w:t xml:space="preserve">levels </w:t>
      </w:r>
      <w:r w:rsidR="00F352F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{"citationItems":[{"id":"ITEM-1","itemData":{"DOI":"10.1186/s12951-016-0227-4","ISBN":"1295101602","ISSN":"14773155","abstract":"Background: In order to increase the bioavailability of hydrophilic unstable drugs like anthocyanins, we employed a polymer-based nanoparticles approach due to its unique properties such as high stability, improved bioavailability and high water-soluble drug loading efficiency. Anthocyanins constitute a subfamily of flavonoids that possess anti-oxidative, anti-inflammatory and neuroprotective properties. However, anthocyanins are unstable because their phenolic hydroxyl groups are easily oxidized into quinones, causing a reduced biological activity. To overcome this drawback and improve the free radical scavenging capabilities of anthocyanins, in the current study we for the first time encapsulated the anthocyanins in biodegradable nanoparticle formulation based on poly (lactide-co-glycolide) (PLGA) and a stabilizer polyethylene glycol (PEG)-2000. The biological activity and neuroprotective effect of anthocyanin loaded nanoparticles (An-NPs) were investigated in SH-SY5Y cell lines. Results: Morphological examination under transmission electron microscopy (TEM) showed the formation of smooth spherically shaped nanoparticles. The average particle size and zeta potential of An-NPs were in the range of 120-165 nm and -12 mV respectively, with a low polydispersity index (0.4) and displayed a biphasic release profile in vitro. Anthocyanins encapsulation in PLGA@PEG nanoparticles (NPs) did not destroy its inherent properties and exhibit more potent neuroprotective properties. An-NPs were nontoxic to SH-SY5Y cells and increased their cell viability against Aβ1-42 by its free radical scavenging characteristics and abrogated ROS generation via the p38-MAPK/ JNK pathways accompanied by induction of endogenous nuclear factor erythroid 2-related factor 2 (Nrf2) and heme oxygenase 1 (HO-1). Comparative to native bulk anthocyanins, An-NPs effectively attenuated Alzheimer's markers like APP (amyloid precursor protein), BACE-1 (beta-site amyloid precursor protein cleaving enzyme 1), neuroinflammatory markers such as p-NF-kB (phospho-nuclear factor kappa B), TNF-α (tumor necrosis factor) and iNOS (inducible nitric oxide synthase) and neuroapoptotic markers including Bax, Bcl2, and Caspase-3 protein expressions accompanied by neurodegeneration against Aβ1-42 in SH-SY5Y cell lines. Conclusions: Overall, this data not only confirmed the therapeutic potential of anthocyanins in reducing AD pathology but also offer an effective way to improve the efficiency of anthocyanins th…","author":[{"dropping-particle":"","family":"Amin","given":"Faiz Ul","non-dropping-particle":"","parse-names":false,"suffix":""},{"dropping-particle":"","family":"Shah","given":"Shahid Ali","non-dropping-particle":"","parse-names":false,"suffix":""},{"dropping-particle":"","family":"Badshah","given":"Haroon","non-dropping-particle":"","parse-names":false,"suffix":""},{"dropping-particle":"","family":"Khan","given":"Mehtab","non-dropping-particle":"","parse-names":false,"suffix":""},{"dropping-particle":"","family":"Kim","given":"Myeong Ok","non-dropping-particle":"","parse-names":false,"suffix":""}],"container-title":"Journal of Nanobiotechnology","id":"ITEM-1","issue":"1","issued":{"date-parts":[["2017"]]},"title":"Anthocyanins encapsulated by PLGA@PEG nanoparticles potentially improved its free radical scavenging capabilities via p38/JNK pathway against Aβ1-42-induced oxidative stress","type":"article-journal","volume":"15"},"uris":["http://www.mendeley.com/documents/?uuid=80a1eed8-8765-4718-99ac-c438b11a7bc7"]}],"mendeley":{"formattedCitation":"(Amin et al., 2017a)","plainTextFormattedCitation":"(Amin et al., 2017a)","previouslyFormattedCitation":"(Amin et al., 2017a)"},"properties":{"noteIndex":0},"schema":"https://github.com/citation-style-language/schema/raw/master/csl-citation.json"}</w:instrText>
      </w:r>
      <w:r w:rsidR="00F352F7" w:rsidRPr="00CB1C44">
        <w:rPr>
          <w:rFonts w:ascii="Arial" w:hAnsi="Arial" w:cs="Arial"/>
          <w:lang w:val="en-US"/>
        </w:rPr>
        <w:fldChar w:fldCharType="separate"/>
      </w:r>
      <w:r w:rsidR="00DD645C" w:rsidRPr="00CB1C44">
        <w:rPr>
          <w:rFonts w:ascii="Arial" w:hAnsi="Arial" w:cs="Arial"/>
          <w:noProof/>
          <w:lang w:val="en-US"/>
        </w:rPr>
        <w:t>(Amin et al., 2017a)</w:t>
      </w:r>
      <w:r w:rsidR="00F352F7" w:rsidRPr="00CB1C44">
        <w:rPr>
          <w:rFonts w:ascii="Arial" w:hAnsi="Arial" w:cs="Arial"/>
          <w:lang w:val="en-US"/>
        </w:rPr>
        <w:fldChar w:fldCharType="end"/>
      </w:r>
      <w:r w:rsidR="00CD7F4A" w:rsidRPr="00CB1C44">
        <w:rPr>
          <w:rFonts w:ascii="Arial" w:hAnsi="Arial" w:cs="Arial"/>
          <w:lang w:val="en-US"/>
        </w:rPr>
        <w:t xml:space="preserve">. </w:t>
      </w:r>
      <w:r w:rsidR="007036EB" w:rsidRPr="00CB1C44">
        <w:rPr>
          <w:rFonts w:ascii="Arial" w:hAnsi="Arial" w:cs="Arial"/>
          <w:lang w:val="en-US"/>
        </w:rPr>
        <w:t xml:space="preserve">These </w:t>
      </w:r>
      <w:r w:rsidR="00A01988" w:rsidRPr="00CB1C44">
        <w:rPr>
          <w:rFonts w:ascii="Arial" w:hAnsi="Arial" w:cs="Arial"/>
          <w:lang w:val="en-US"/>
        </w:rPr>
        <w:t xml:space="preserve">data </w:t>
      </w:r>
      <w:r w:rsidR="00C462B4" w:rsidRPr="00CB1C44">
        <w:rPr>
          <w:rFonts w:ascii="Arial" w:hAnsi="Arial" w:cs="Arial"/>
          <w:lang w:val="en-US"/>
        </w:rPr>
        <w:t>highlight the beneficial effect of p38 inhibition, and consequent Nrf2 activation, as potential AD therapeutic target.</w:t>
      </w:r>
      <w:r w:rsidR="004128D0" w:rsidRPr="00CB1C44">
        <w:rPr>
          <w:rFonts w:ascii="Arial" w:hAnsi="Arial" w:cs="Arial"/>
          <w:lang w:val="en-US"/>
        </w:rPr>
        <w:t xml:space="preserve"> </w:t>
      </w:r>
      <w:r w:rsidR="006A6A22" w:rsidRPr="00CB1C44">
        <w:rPr>
          <w:rFonts w:ascii="Arial" w:hAnsi="Arial" w:cs="Arial"/>
          <w:lang w:val="en-US"/>
        </w:rPr>
        <w:t xml:space="preserve">In the same line, </w:t>
      </w:r>
      <w:r w:rsidR="00F52503" w:rsidRPr="00CB1C44">
        <w:rPr>
          <w:rFonts w:ascii="Arial" w:hAnsi="Arial" w:cs="Arial"/>
          <w:lang w:val="en-US"/>
        </w:rPr>
        <w:t>CNI-1493</w:t>
      </w:r>
      <w:r w:rsidR="00D138E4" w:rsidRPr="00CB1C44">
        <w:rPr>
          <w:rFonts w:ascii="Arial" w:hAnsi="Arial" w:cs="Arial"/>
          <w:lang w:val="en-US"/>
        </w:rPr>
        <w:t xml:space="preserve"> (or</w:t>
      </w:r>
      <w:r w:rsidR="00D138E4" w:rsidRPr="00CB1C44">
        <w:rPr>
          <w:lang w:val="en-US"/>
        </w:rPr>
        <w:t xml:space="preserve"> </w:t>
      </w:r>
      <w:proofErr w:type="spellStart"/>
      <w:r w:rsidR="00D138E4" w:rsidRPr="00CB1C44">
        <w:rPr>
          <w:rFonts w:ascii="Arial" w:hAnsi="Arial" w:cs="Arial"/>
          <w:lang w:val="en-US"/>
        </w:rPr>
        <w:t>semapimod</w:t>
      </w:r>
      <w:proofErr w:type="spellEnd"/>
      <w:r w:rsidR="00D138E4" w:rsidRPr="00CB1C44">
        <w:rPr>
          <w:rFonts w:ascii="Arial" w:hAnsi="Arial" w:cs="Arial"/>
          <w:lang w:val="en-US"/>
        </w:rPr>
        <w:t>)</w:t>
      </w:r>
      <w:r w:rsidR="00F52503" w:rsidRPr="00CB1C44">
        <w:rPr>
          <w:rFonts w:ascii="Arial" w:hAnsi="Arial" w:cs="Arial"/>
          <w:lang w:val="en-US"/>
        </w:rPr>
        <w:t xml:space="preserve">, a tetravalent </w:t>
      </w:r>
      <w:proofErr w:type="spellStart"/>
      <w:r w:rsidR="00F52503" w:rsidRPr="00CB1C44">
        <w:rPr>
          <w:rFonts w:ascii="Arial" w:hAnsi="Arial" w:cs="Arial"/>
          <w:lang w:val="en-US"/>
        </w:rPr>
        <w:t>guanylhydrazone</w:t>
      </w:r>
      <w:proofErr w:type="spellEnd"/>
      <w:r w:rsidR="00F52503" w:rsidRPr="00CB1C44">
        <w:rPr>
          <w:rFonts w:ascii="Arial" w:hAnsi="Arial" w:cs="Arial"/>
          <w:lang w:val="en-US"/>
        </w:rPr>
        <w:t xml:space="preserve"> </w:t>
      </w:r>
      <w:r w:rsidR="006A6A22" w:rsidRPr="00CB1C44">
        <w:rPr>
          <w:rFonts w:ascii="Arial" w:hAnsi="Arial" w:cs="Arial"/>
          <w:lang w:val="en-US"/>
        </w:rPr>
        <w:t>inhibitor of</w:t>
      </w:r>
      <w:r w:rsidR="00F52503" w:rsidRPr="00CB1C44">
        <w:rPr>
          <w:rFonts w:ascii="Arial" w:hAnsi="Arial" w:cs="Arial"/>
          <w:lang w:val="en-US"/>
        </w:rPr>
        <w:t xml:space="preserve"> p38 MAPK, enhanced cognitive function and reduced plaque load in TgCRND8 mice, an APP mouse model </w:t>
      </w:r>
      <w:r w:rsidR="00F5250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{"citationItems":[{"id":"ITEM-1","itemData":{"DOI":"10.1084/jem.20060467","ISBN":"1540-9538 (Electronic)\\r0022-1007 (Linking)","ISSN":"0022-1007","PMID":"18573905","abstract":"Alzheimer's disease (AD) is characterized by neuronal atrophy caused by soluble amyloid beta protein (Abeta) peptide \"oligomers\" and a microglial-mediated inflammatory response elicited by extensive amyloid deposition in the brain. We show that CNI-1493, a tetravalent guanylhydrazone with established antiinflammatory properties, interferes with Abeta assembly and protects neuronal cells from the toxic effect of soluble Abeta oligomers. Administration of CNI-1493 to TgCRND8 mice overexpressing human amyloid precursor protein (APP) for a treatment period of 8 wk significantly reduced Abeta deposition. CNI-1493 treatment resulted in 70% reduction of amyloid plaque area in the cortex and 87% reduction in the hippocampus of these animals. Administration of CNI-1493 significantly improved memory performance in a cognition task compared with vehicle-treated mice. In vitro analysis of CNI-1493 on APP processing in an APP-overexpressing cell line revealed a significant dose-dependent decrease of total Abeta accumulation. This study indicates that the antiinflammatory agent CNI-1493 can ameliorate the pathophysiology and cognitive defects in a murine model of AD.","author":[{"dropping-particle":"","family":"Bacher","given":"Michael","non-dropping-particle":"","parse-names":false,"suffix":""},{"dropping-particle":"","family":"Dodel","given":"Richard","non-dropping-particle":"","parse-names":false,"suffix":""},{"dropping-particle":"","family":"Aljabari","given":"Bayan","non-dropping-particle":"","parse-names":false,"suffix":""},{"dropping-particle":"","family":"Keyvani","given":"Kathy","non-dropping-particle":"","parse-names":false,"suffix":""},{"dropping-particle":"","family":"Marambaud","given":"Philippe","non-dropping-particle":"","parse-names":false,"suffix":""},{"dropping-particle":"","family":"Kayed","given":"Rakez","non-dropping-particle":"","parse-names":false,"suffix":""},{"dropping-particle":"","family":"Glabe","given":"Charles","non-dropping-particle":"","parse-names":false,"suffix":""},{"dropping-particle":"","family":"Goertz","given":"Nicole","non-dropping-particle":"","parse-names":false,"suffix":""},{"dropping-particle":"","family":"Hoppmann","given":"Anne","non-dropping-particle":"","parse-names":false,"suffix":""},{"dropping-particle":"","family":"Sachser","given":"Norbert","non-dropping-particle":"","parse-names":false,"suffix":""},{"dropping-particle":"","family":"Klotsche","given":"Jens","non-dropping-particle":"","parse-names":false,"suffix":""},{"dropping-particle":"","family":"Schnell","given":"Susanne","non-dropping-particle":"","parse-names":false,"suffix":""},{"dropping-particle":"","family":"Lewejohann","given":"Lars","non-dropping-particle":"","parse-names":false,"suffix":""},{"dropping-particle":"","family":"Al-Abed","given":"Yousef","non-dropping-particle":"","parse-names":false,"suffix":""}],"container-title":"The Journal of Experimental Medicine","id":"ITEM-1","issue":"7","issued":{"date-parts":[["2008","7","7"]]},"page":"1593-1599","title":"CNI-1493 inhibits Aβ production, plaque formation, and cognitive deterioration in an animal model of Alzheimer's disease","type":"article-journal","volume":"205"},"uris":["http://www.mendeley.com/documents/?uuid=0e8e155b-8e75-4063-906d-a1c8edf20346"]}],"mendeley":{"formattedCitation":"(Bacher et al., 2008)","plainTextFormattedCitation":"(Bacher et al., 2008)","previouslyFormattedCitation":"(Bacher et al., 2008)"},"properties":{"noteIndex":0},"schema":"https://github.com/citation-style-language/schema/raw/master/csl-citation.json"}</w:instrText>
      </w:r>
      <w:r w:rsidR="00F52503" w:rsidRPr="00CB1C44">
        <w:rPr>
          <w:rFonts w:ascii="Arial" w:hAnsi="Arial" w:cs="Arial"/>
          <w:lang w:val="en-US"/>
        </w:rPr>
        <w:fldChar w:fldCharType="separate"/>
      </w:r>
      <w:r w:rsidR="00DD645C" w:rsidRPr="00CB1C44">
        <w:rPr>
          <w:rFonts w:ascii="Arial" w:hAnsi="Arial" w:cs="Arial"/>
          <w:noProof/>
          <w:lang w:val="en-US"/>
        </w:rPr>
        <w:t>(Bacher et al., 2008)</w:t>
      </w:r>
      <w:r w:rsidR="00F52503" w:rsidRPr="00CB1C44">
        <w:rPr>
          <w:rFonts w:ascii="Arial" w:hAnsi="Arial" w:cs="Arial"/>
          <w:lang w:val="en-US"/>
        </w:rPr>
        <w:fldChar w:fldCharType="end"/>
      </w:r>
      <w:r w:rsidR="006A6A22" w:rsidRPr="00CB1C44">
        <w:rPr>
          <w:rFonts w:ascii="Arial" w:hAnsi="Arial" w:cs="Arial"/>
          <w:lang w:val="en-US"/>
        </w:rPr>
        <w:t>; and</w:t>
      </w:r>
      <w:r w:rsidR="00F52503" w:rsidRPr="00CB1C44">
        <w:rPr>
          <w:rFonts w:ascii="Arial" w:hAnsi="Arial" w:cs="Arial"/>
          <w:lang w:val="en-US"/>
        </w:rPr>
        <w:t xml:space="preserve"> prevented Aβ-induced interleukin 6 and tumor necrosis factor (TNF-α) release in primary microglia cells, reducing neuroinflammation and consequent neurodegeneration </w:t>
      </w:r>
      <w:r w:rsidR="00F5250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{"citationItems":[{"id":"ITEM-1","itemData":{"DOI":"10.3233/JAD-2011-110179","ISBN":"1875-8908 (Electronic)\\r1387-2877 (Linking)","ISSN":"1875-8908","PMID":"21593565","abstract":"Amyloid-β (Aβ) oligomer toxicity is a crucial factor in the development of Alzheimer's disease. Therefore, the aim of therapeutic research is to target the modification of secretase activity, increase Aβ degradation, reduce Aβ formation, and modulate Aβ-induced neuroinflammation. Recently, the p38 MAP kinase inhibitor CNI-1493 has been shown to reduce plaque load and has led to an improvement in memory performance in a transgenic mouse model. We examined the role of CNI-1493 in the microglial inflammatory response to Aβ using both a microglia cell line as well as primary microglia isolated from mesocortices. MTT assays were performed to quantify cell viability. FACS analysis was used to measure phagocytosis. We used ELISA to analyse cytokine concentrations in response to CNI-1493 treatment. Western-blot/Dot-blot techniques were used to show the interaction of CNI-1493 with Aβ-oligomers as well as to measure apoptosis in microglia cells. RT-PCR was used to analyze secretase expression, and secretase function was determined using fluorimetric assays. CNI-1493 is able to prevent oligomer formation as well as apoptosis in microglia. A significant reduction was found in the Aβ-induced release of IL-6 and TNF-α in the presence of CNI-1493. Phagocytosis is an essential Aβ removal mechanism and was enhanced by CNI-1493 in primary microglia. CNI-1493 also influenced the α-secretase product C83 with an increase in the treated cells, while a simultaneous reduction in Aβ secretion was also observed. We hypothesize that CNI-1493 not only reduces neuroinflammation and consequent neurodegeneration, but also leads to a shift in AβPP-processing towards the non-amyloidogenic pathway. Therefore, CNI-1493 is a promising candidate for the treatment of AD.","author":[{"dropping-particle":"","family":"Bach","given":"Jan-Philipp","non-dropping-particle":"","parse-names":false,"suffix":""},{"dropping-particle":"","family":"Mengel","given":"David","non-dropping-particle":"","parse-names":false,"suffix":""},{"dropping-particle":"","family":"Wahle","given":"Tina","non-dropping-particle":"","parse-names":false,"suffix":""},{"dropping-particle":"","family":"Kautz","given":"Andreas","non-dropping-particle":"","parse-names":false,"suffix":""},{"dropping-particle":"","family":"Balzer-Geldsetzer","given":"Monika","non-dropping-particle":"","parse-names":false,"suffix":""},{"dropping-particle":"","family":"Al-Abed","given":"Yousef","non-dropping-particle":"","parse-names":false,"suffix":""},{"dropping-particle":"","family":"Dodel","given":"Richard","non-dropping-particle":"","parse-names":false,"suffix":""},{"dropping-particle":"","family":"Bacher","given":"Michael","non-dropping-particle":"","parse-names":false,"suffix":""}],"container-title":"Journal of Alzheimer's disease : JAD","id":"ITEM-1","issue":"1","issued":{"date-parts":[["2011"]]},"page":"69-80","title":"The role of CNI-1493 in the function of primary microglia with respect to amyloid-β.","type":"article-journal","volume":"26"},"uris":["http://www.mendeley.com/documents/?uuid=06b3f074-2781-4ca7-a82f-a53a5d717688"]}],"mendeley":{"formattedCitation":"(Bach et al., 2011)","plainTextFormattedCitation":"(Bach et al., 2011)","previouslyFormattedCitation":"(Bach et al., 2011)"},"properties":{"noteIndex":0},"schema":"https://github.com/citation-style-language/schema/raw/master/csl-citation.json"}</w:instrText>
      </w:r>
      <w:r w:rsidR="00F52503" w:rsidRPr="00CB1C44">
        <w:rPr>
          <w:rFonts w:ascii="Arial" w:hAnsi="Arial" w:cs="Arial"/>
          <w:lang w:val="en-US"/>
        </w:rPr>
        <w:fldChar w:fldCharType="separate"/>
      </w:r>
      <w:r w:rsidR="00DD645C" w:rsidRPr="00CB1C44">
        <w:rPr>
          <w:rFonts w:ascii="Arial" w:hAnsi="Arial" w:cs="Arial"/>
          <w:noProof/>
          <w:lang w:val="en-US"/>
        </w:rPr>
        <w:t>(Bach et al., 2011)</w:t>
      </w:r>
      <w:r w:rsidR="00F52503" w:rsidRPr="00CB1C44">
        <w:rPr>
          <w:rFonts w:ascii="Arial" w:hAnsi="Arial" w:cs="Arial"/>
          <w:lang w:val="en-US"/>
        </w:rPr>
        <w:fldChar w:fldCharType="end"/>
      </w:r>
      <w:r w:rsidR="00F52503" w:rsidRPr="00CB1C44">
        <w:rPr>
          <w:rFonts w:ascii="Arial" w:hAnsi="Arial" w:cs="Arial"/>
          <w:lang w:val="en-US"/>
        </w:rPr>
        <w:t xml:space="preserve">. Other p38 MAPK inhibitors, such as SD-282 </w:t>
      </w:r>
      <w:r w:rsidR="00D138E4" w:rsidRPr="00CB1C44">
        <w:rPr>
          <w:rFonts w:ascii="Arial" w:hAnsi="Arial" w:cs="Arial"/>
          <w:lang w:val="en-US"/>
        </w:rPr>
        <w:t>(indole-5-carboxamide)</w:t>
      </w:r>
      <w:r w:rsidR="00F52503" w:rsidRPr="00CB1C44">
        <w:rPr>
          <w:rFonts w:ascii="Arial" w:hAnsi="Arial" w:cs="Arial"/>
          <w:lang w:val="en-US"/>
        </w:rPr>
        <w:t xml:space="preserve">and MW01-2-069A-SRM, suppressed the increased neuronal vulnerability in APP751 transgenic mice </w:t>
      </w:r>
      <w:r w:rsidR="00F5250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{"citationItems":[{"id":"ITEM-1","itemData":{"DOI":"10.1073/pnas.032670899","ISBN":"0027-8424 (Print)\\r0027-8424 (Linking)","ISSN":"0027-8424 (Print) 0027-8424 (Linking)","PMID":"11818564","abstract":"beta-amyloid (A beta), derived form the beta-amyloid precursor protein (APP), is important for the pathogenesis of Alzheimer's disease (AD), which is characterized by progressive decline of cognitive functions, formation of A beta plaques and neurofibrillary tangles, and loss of neurons. However, introducing a human wild-type or mutant APP gene to rodent models of AD does not result in clear neurodegeneration, suggesting that contributory factors lowering the threshold of neuronal death may be present in AD. Because brain ischemia has recently been recognized to contribute to the pathogenesis of AD, we studied the effect of focal brain ischemia in 8- and 20-month-old mice overexpressing the 751-amino acid isoform of human APP. We found that APP751 mice have higher activity of p38 mitogen-activated protein kinase (p38 MAPK) in microglia, the main immune effector cells within the brain, and increased vulnerability to brain ischemia when compared with age-matched wild-type mice. These characteristics are associated with enhanced microglial activation and inflammation but not with altered regulation of cerebral blood flow, as assessed by MRI and laser Doppler flowmetry. Suppression of inflammation with aspirin or inhibition of p38 MAPK with a selective inhibitor, SD-282, abolishes the increased neuronal vulnerability in APP751 transgenic mice. SD-282 also suppresses the expression of inducible nitric-oxide synthase and the binding activity of activator protein 1. These findings elucidate molecular mechanisms of neuronal injury in AD and suggest that antiinflammatory compounds preventing activation of p38 MAPK in microglia may reduce neuronal vulnerability in AD.","author":[{"dropping-particle":"","family":"Koistinaho","given":"Milla","non-dropping-particle":"","parse-names":false,"suffix":""},{"dropping-particle":"","family":"Kettunen","given":"Mikko I","non-dropping-particle":"","parse-names":false,"suffix":""},{"dropping-particle":"","family":"Goldsteins","given":"Gundars","non-dropping-particle":"","parse-names":false,"suffix":""},{"dropping-particle":"","family":"Keinanen","given":"R","non-dropping-particle":"","parse-names":false,"suffix":""},{"dropping-particle":"","family":"Salminen","given":"Antero","non-dropping-particle":"","parse-names":false,"suffix":""},{"dropping-particle":"","family":"Ort","given":"Michael","non-dropping-particle":"","parse-names":false,"suffix":""},{"dropping-particle":"","family":"Bures","given":"Jan","non-dropping-particle":"","parse-names":false,"suffix":""},{"dropping-particle":"","family":"Liu","given":"David","non-dropping-particle":"","parse-names":false,"suffix":""},{"dropping-particle":"","family":"Kauppinen","given":"Risto A","non-dropping-particle":"","parse-names":false,"suffix":""},{"dropping-particle":"","family":"Higgins","given":"Linda S","non-dropping-particle":"","parse-names":false,"suffix":""},{"dropping-particle":"","family":"Koistinaho","given":"Jari","non-dropping-particle":"","parse-names":false,"suffix":""},{"dropping-particle":"","family":"Keinänen","given":"Riitta","non-dropping-particle":"","parse-names":false,"suffix":""},{"dropping-particle":"","family":"Salminen","given":"Antero","non-dropping-particle":"","parse-names":false,"suffix":""},{"dropping-particle":"","family":"Ort","given":"Michael","non-dropping-particle":"","parse-names":false,"suffix":""},{"dropping-particle":"","family":"Bures","given":"Jan","non-dropping-particle":"","parse-names":false,"suffix":""},{"dropping-particle":"","family":"Liu","given":"David","non-dropping-particle":"","parse-names":false,"suffix":""},{"dropping-particle":"","family":"Kauppinen","given":"Risto A","non-dropping-particle":"","parse-names":false,"suffix":""},{"dropping-particle":"","family":"Higgins","given":"Linda S","non-dropping-particle":"","parse-names":false,"suffix":""},{"dropping-particle":"","family":"Koistinaho","given":"Jari","non-dropping-particle":"","parse-names":false,"suffix":""}],"container-title":"Proc Natl Acad Sci U S A","id":"ITEM-1","issue":"3","issued":{"date-parts":[["2002"]]},"page":"1610-1615","title":"Beta-amyloid precursor protein transgenic mice that harbor diffuse A beta deposits but do not form plaques show increased ischemic vulnerability: role of inflammation","type":"article-journal","volume":"99"},"uris":["http://www.mendeley.com/documents/?uuid=f8034683-d6be-4be0-9518-d5a7d5a04c7c"]}],"mendeley":{"formattedCitation":"(Koistinaho et al., 2002)","plainTextFormattedCitation":"(Koistinaho et al., 2002)","previouslyFormattedCitation":"(Koistinaho et al., 2002)"},"properties":{"noteIndex":0},"schema":"https://github.com/citation-style-language/schema/raw/master/csl-citation.json"}</w:instrText>
      </w:r>
      <w:r w:rsidR="00F52503" w:rsidRPr="00CB1C44">
        <w:rPr>
          <w:rFonts w:ascii="Arial" w:hAnsi="Arial" w:cs="Arial"/>
          <w:lang w:val="en-US"/>
        </w:rPr>
        <w:fldChar w:fldCharType="separate"/>
      </w:r>
      <w:r w:rsidR="00DD645C" w:rsidRPr="00CB1C44">
        <w:rPr>
          <w:rFonts w:ascii="Arial" w:hAnsi="Arial" w:cs="Arial"/>
          <w:noProof/>
          <w:lang w:val="en-US"/>
        </w:rPr>
        <w:t>(Koistinaho et al., 2002)</w:t>
      </w:r>
      <w:r w:rsidR="00F52503" w:rsidRPr="00CB1C44">
        <w:rPr>
          <w:rFonts w:ascii="Arial" w:hAnsi="Arial" w:cs="Arial"/>
          <w:lang w:val="en-US"/>
        </w:rPr>
        <w:fldChar w:fldCharType="end"/>
      </w:r>
      <w:r w:rsidR="00F52503" w:rsidRPr="00CB1C44">
        <w:rPr>
          <w:rFonts w:ascii="Arial" w:hAnsi="Arial" w:cs="Arial"/>
          <w:lang w:val="en-US"/>
        </w:rPr>
        <w:t xml:space="preserve"> and reduced proinflammatory cytokine production </w:t>
      </w:r>
      <w:proofErr w:type="spellStart"/>
      <w:r w:rsidR="009A0D70" w:rsidRPr="00CB1C44">
        <w:rPr>
          <w:rFonts w:ascii="Arial" w:hAnsi="Arial" w:cs="Arial"/>
          <w:lang w:val="en-US"/>
        </w:rPr>
        <w:t>afetr</w:t>
      </w:r>
      <w:proofErr w:type="spellEnd"/>
      <w:r w:rsidR="00F52503" w:rsidRPr="00CB1C44">
        <w:rPr>
          <w:rFonts w:ascii="Arial" w:hAnsi="Arial" w:cs="Arial"/>
          <w:lang w:val="en-US"/>
        </w:rPr>
        <w:t xml:space="preserve"> </w:t>
      </w:r>
      <w:r w:rsidR="009A0D70" w:rsidRPr="00CB1C44">
        <w:rPr>
          <w:rFonts w:ascii="Arial" w:hAnsi="Arial" w:cs="Arial"/>
          <w:lang w:val="en-US"/>
        </w:rPr>
        <w:t>Aβ</w:t>
      </w:r>
      <w:r w:rsidR="009A0D70" w:rsidRPr="00CB1C44">
        <w:rPr>
          <w:rFonts w:ascii="Arial" w:hAnsi="Arial" w:cs="Arial"/>
          <w:vertAlign w:val="subscript"/>
          <w:lang w:val="en-US"/>
        </w:rPr>
        <w:t>1-42</w:t>
      </w:r>
      <w:r w:rsidR="009A0D70" w:rsidRPr="00CB1C44">
        <w:rPr>
          <w:rFonts w:ascii="Arial" w:hAnsi="Arial" w:cs="Arial"/>
          <w:lang w:val="en-US"/>
        </w:rPr>
        <w:t xml:space="preserve"> injection in mouse brain </w:t>
      </w:r>
      <w:r w:rsidR="00F5250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{"citationItems":[{"id":"ITEM-1","itemData":{"DOI":"10.1186/1742-2094-4-21","ISBN":"1742-2094 (Electronic)","ISSN":"17422094","PMID":"17784957","abstract":"BACKGROUND: An accumulating body of evidence is consistent with the hypothesis that excessive or prolonged increases in proinflammatory cytokine production by activated glia is a contributor to the progression of pathophysiology that is causally linked to synaptic dysfunction and hippocampal behavior deficits in neurodegenerative diseases such as Alzheimer's disease (AD). This raises the opportunity for the development of new classes of potentially disease-modifying therapeutics. A logical candidate CNS target is p38 alpha MAPK, a well-established drug discovery molecular target for altering proinflammatory cytokine cascades in peripheral tissue disorders. Activated p38 MAPK is seen in human AD brain tissue and in AD-relevant animal models, and cell culture studies strongly implicate p38 MAPK in the increased production of proinflammatory cytokines by glia activated with human amyloid-beta (A beta) and other disease-relevant stressors. However, the vast majority of small molecule drugs do not have sufficient penetrance of the blood-brain barrier to allow their use as in vivo research tools or as therapeutics for neurodegenerative disorders. The goal of this study was to test the hypothesis that brain p38 alpha MAPK is a potential in vivo target for orally bioavailable, small molecules capable of suppressing excessive cytokine production by activated glia back towards homeostasis, allowing an improvement in neurologic outcomes. METHODS: A novel synthetic small molecule based on a molecular scaffold used previously was designed, synthesized, and subjected to analyses to demonstrate its potential in vivo bioavailability, metabolic stability, safety and brain uptake. Testing for in vivo efficacy used an AD-relevant mouse model. RESULTS: A novel, CNS-penetrant, non-toxic, orally bioavailable, small molecule inhibitor of p38 alpha MAPK (MW01-2-069A-SRM) was developed. Oral administration of the compound at a low dose (2.5 mg/kg) resulted in attenuation of excessive proinflammatory cytokine production in the hippocampus back towards normal in the animal model. Animals with attenuated cytokine production had reductions in synaptic dysfunction and hippocampus-dependent behavioral deficits. CONCLUSION: The p38 alpha MAPK pathway is quantitatively important in the A beta-induced production of proinflammatory cytokines in hippocampus, and brain p38 alpha MAPK is a viable molecular target for future development of potential disease-modifying therapeutics in AD and r…","author":[{"dropping-particle":"","family":"Munoz","given":"Lenka","non-dropping-particle":"","parse-names":false,"suffix":""},{"dropping-particle":"","family":"Ralay Ranaivo","given":"Hantamalala","non-dropping-particle":"","parse-names":false,"suffix":""},{"dropping-particle":"","family":"Roy","given":"Saktimayee M","non-dropping-particle":"","parse-names":false,"suffix":""},{"dropping-particle":"","family":"Hu","given":"Wenhui","non-dropping-particle":"","parse-names":false,"suffix":""},{"dropping-particle":"","family":"Craft","given":"Jeffrey M","non-dropping-particle":"","parse-names":false,"suffix":""},{"dropping-particle":"","family":"McNamara","given":"Laurie K","non-dropping-particle":"","parse-names":false,"suffix":""},{"dropping-particle":"","family":"Chico","given":"Laura Wing","non-dropping-particle":"","parse-names":false,"suffix":""},{"dropping-particle":"","family":"Eldik","given":"Linda J","non-dropping-particle":"Van","parse-names":false,"suffix":""},{"dropping-particle":"","family":"Watterson","given":"D Martin","non-dropping-particle":"","parse-names":false,"suffix":""}],"container-title":"Journal of neuroinflammation","id":"ITEM-1","issued":{"date-parts":[["2007"]]},"page":"21","title":"A novel p38 alpha MAPK inhibitor suppresses brain proinflammatory cytokine up-regulation and attenuates synaptic dysfunction and behavioral deficits in an Alzheimer's disease mouse model.","type":"article-journal","volume":"4"},"uris":["http://www.mendeley.com/documents/?uuid=43e45f04-fe21-4d53-99fa-c8f84f2115f9"]}],"mendeley":{"formattedCitation":"(Munoz et al., 2007)","plainTextFormattedCitation":"(Munoz et al., 2007)","previouslyFormattedCitation":"(Munoz et al., 2007)"},"properties":{"noteIndex":0},"schema":"https://github.com/citation-style-language/schema/raw/master/csl-citation.json"}</w:instrText>
      </w:r>
      <w:r w:rsidR="00F52503" w:rsidRPr="00CB1C44">
        <w:rPr>
          <w:rFonts w:ascii="Arial" w:hAnsi="Arial" w:cs="Arial"/>
          <w:lang w:val="en-US"/>
        </w:rPr>
        <w:fldChar w:fldCharType="separate"/>
      </w:r>
      <w:r w:rsidR="00DD645C" w:rsidRPr="00CB1C44">
        <w:rPr>
          <w:rFonts w:ascii="Arial" w:hAnsi="Arial" w:cs="Arial"/>
          <w:noProof/>
          <w:lang w:val="en-US"/>
        </w:rPr>
        <w:t>(Munoz et al., 2007)</w:t>
      </w:r>
      <w:r w:rsidR="00F52503" w:rsidRPr="00CB1C44">
        <w:rPr>
          <w:rFonts w:ascii="Arial" w:hAnsi="Arial" w:cs="Arial"/>
          <w:lang w:val="en-US"/>
        </w:rPr>
        <w:fldChar w:fldCharType="end"/>
      </w:r>
      <w:r w:rsidR="00F52503" w:rsidRPr="00CB1C44">
        <w:rPr>
          <w:rFonts w:ascii="Arial" w:hAnsi="Arial" w:cs="Arial"/>
          <w:lang w:val="en-US"/>
        </w:rPr>
        <w:t xml:space="preserve">, respectively. </w:t>
      </w:r>
      <w:r w:rsidR="006A6A22" w:rsidRPr="00CB1C44">
        <w:rPr>
          <w:rFonts w:ascii="Arial" w:hAnsi="Arial" w:cs="Arial"/>
          <w:lang w:val="en-US"/>
        </w:rPr>
        <w:t>Although these studies did not assess the Nrf2 pathway, it is wise to think that positive effects may be linked to</w:t>
      </w:r>
      <w:r w:rsidR="001F2527" w:rsidRPr="00CB1C44">
        <w:rPr>
          <w:rFonts w:ascii="Arial" w:hAnsi="Arial" w:cs="Arial"/>
          <w:lang w:val="en-US"/>
        </w:rPr>
        <w:t xml:space="preserve"> further</w:t>
      </w:r>
      <w:r w:rsidR="006A6A22" w:rsidRPr="00CB1C44">
        <w:rPr>
          <w:rFonts w:ascii="Arial" w:hAnsi="Arial" w:cs="Arial"/>
          <w:lang w:val="en-US"/>
        </w:rPr>
        <w:t xml:space="preserve"> Nrf2 regulation. </w:t>
      </w:r>
    </w:p>
    <w:p w14:paraId="67F1BB17" w14:textId="457284A2" w:rsidR="00E803E3" w:rsidRPr="00CB1C44" w:rsidRDefault="001F470D" w:rsidP="004038B5">
      <w:pPr>
        <w:spacing w:after="0" w:line="360" w:lineRule="auto"/>
        <w:jc w:val="both"/>
        <w:rPr>
          <w:rFonts w:ascii="Arial" w:hAnsi="Arial" w:cs="Arial"/>
          <w:lang w:val="en-US"/>
        </w:rPr>
      </w:pPr>
      <w:r w:rsidRPr="00CB1C44">
        <w:rPr>
          <w:rFonts w:ascii="Arial" w:hAnsi="Arial" w:cs="Arial"/>
          <w:lang w:val="en-US"/>
        </w:rPr>
        <w:t>I</w:t>
      </w:r>
      <w:r w:rsidR="00CA7068" w:rsidRPr="00CB1C44">
        <w:rPr>
          <w:rFonts w:ascii="Arial" w:hAnsi="Arial" w:cs="Arial"/>
          <w:lang w:val="en-US"/>
        </w:rPr>
        <w:t xml:space="preserve">n the nucleus, </w:t>
      </w:r>
      <w:r w:rsidR="0099493F" w:rsidRPr="00CB1C44">
        <w:rPr>
          <w:rFonts w:ascii="Arial" w:hAnsi="Arial" w:cs="Arial"/>
          <w:lang w:val="en-US"/>
        </w:rPr>
        <w:t xml:space="preserve">altered </w:t>
      </w:r>
      <w:r w:rsidR="0026705E" w:rsidRPr="00CB1C44">
        <w:rPr>
          <w:rFonts w:ascii="Arial" w:hAnsi="Arial" w:cs="Arial"/>
          <w:lang w:val="en-US"/>
        </w:rPr>
        <w:t xml:space="preserve">NF-kB </w:t>
      </w:r>
      <w:r w:rsidR="00CF7BA6" w:rsidRPr="00CB1C44">
        <w:rPr>
          <w:rFonts w:ascii="Arial" w:hAnsi="Arial" w:cs="Arial"/>
          <w:lang w:val="en-US"/>
        </w:rPr>
        <w:t xml:space="preserve">levels and NF-kB-dependent </w:t>
      </w:r>
      <w:r w:rsidR="0026705E" w:rsidRPr="00CB1C44">
        <w:rPr>
          <w:rFonts w:ascii="Arial" w:hAnsi="Arial" w:cs="Arial"/>
          <w:lang w:val="en-US"/>
        </w:rPr>
        <w:t>repress</w:t>
      </w:r>
      <w:r w:rsidR="00CF7BA6" w:rsidRPr="00CB1C44">
        <w:rPr>
          <w:rFonts w:ascii="Arial" w:hAnsi="Arial" w:cs="Arial"/>
          <w:lang w:val="en-US"/>
        </w:rPr>
        <w:t>ion of</w:t>
      </w:r>
      <w:r w:rsidR="0026705E" w:rsidRPr="00CB1C44">
        <w:rPr>
          <w:rFonts w:ascii="Arial" w:hAnsi="Arial" w:cs="Arial"/>
          <w:lang w:val="en-US"/>
        </w:rPr>
        <w:t xml:space="preserve"> Nrf2 target genes expression</w:t>
      </w:r>
      <w:r w:rsidR="000E447A" w:rsidRPr="00CB1C44">
        <w:rPr>
          <w:rFonts w:ascii="Arial" w:hAnsi="Arial" w:cs="Arial"/>
          <w:lang w:val="en-US"/>
        </w:rPr>
        <w:t>,</w:t>
      </w:r>
      <w:r w:rsidR="00316B3A" w:rsidRPr="00CB1C44">
        <w:rPr>
          <w:rFonts w:ascii="Arial" w:hAnsi="Arial" w:cs="Arial"/>
          <w:lang w:val="en-US"/>
        </w:rPr>
        <w:t xml:space="preserve"> in AD models</w:t>
      </w:r>
      <w:r w:rsidR="000E447A" w:rsidRPr="00CB1C44">
        <w:rPr>
          <w:rFonts w:ascii="Arial" w:hAnsi="Arial" w:cs="Arial"/>
          <w:lang w:val="en-US"/>
        </w:rPr>
        <w:t>,</w:t>
      </w:r>
      <w:r w:rsidR="00316B3A" w:rsidRPr="00CB1C44">
        <w:rPr>
          <w:rFonts w:ascii="Arial" w:hAnsi="Arial" w:cs="Arial"/>
          <w:lang w:val="en-US"/>
        </w:rPr>
        <w:t xml:space="preserve"> suggest the relevance of this protein as </w:t>
      </w:r>
      <w:r w:rsidR="0033180D" w:rsidRPr="00CB1C44">
        <w:rPr>
          <w:rFonts w:ascii="Arial" w:hAnsi="Arial" w:cs="Arial"/>
          <w:lang w:val="en-US"/>
        </w:rPr>
        <w:t xml:space="preserve">an important </w:t>
      </w:r>
      <w:r w:rsidR="00316B3A" w:rsidRPr="00CB1C44">
        <w:rPr>
          <w:rFonts w:ascii="Arial" w:hAnsi="Arial" w:cs="Arial"/>
          <w:lang w:val="en-US"/>
        </w:rPr>
        <w:t>target for AD treatment</w:t>
      </w:r>
      <w:r w:rsidR="001E5B97" w:rsidRPr="00CB1C44">
        <w:rPr>
          <w:rFonts w:ascii="Arial" w:hAnsi="Arial" w:cs="Arial"/>
          <w:lang w:val="en-US"/>
        </w:rPr>
        <w:t xml:space="preserve"> (Figure 4)</w:t>
      </w:r>
      <w:r w:rsidR="006077B0" w:rsidRPr="00CB1C44">
        <w:rPr>
          <w:rFonts w:ascii="Arial" w:hAnsi="Arial" w:cs="Arial"/>
          <w:lang w:val="en-US"/>
        </w:rPr>
        <w:t>.</w:t>
      </w:r>
      <w:r w:rsidR="009D4C6F" w:rsidRPr="00CB1C44">
        <w:rPr>
          <w:rFonts w:ascii="Arial" w:hAnsi="Arial" w:cs="Arial"/>
          <w:lang w:val="en-US"/>
        </w:rPr>
        <w:t xml:space="preserve"> </w:t>
      </w:r>
      <w:r w:rsidR="00DC1F54" w:rsidRPr="00CB1C44">
        <w:rPr>
          <w:rFonts w:ascii="Arial" w:hAnsi="Arial" w:cs="Arial"/>
          <w:lang w:val="en-US"/>
        </w:rPr>
        <w:t xml:space="preserve">Importantly, human AD brain showed increased staining for NF-kB-p65 in hippocampal and cortical neurons </w:t>
      </w:r>
      <w:r w:rsidR="00DC1F5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{"citationItems":[{"id":"ITEM-1","itemData":{"DOI":"10.1016/0006-8993(96)00310-1","ISSN":"00068993","PMID":"8905182","abstract":"The distribution of nuclear factor-kappa B (NF-??B) was investigated immunohistochemically in the hippocampal formation, entorhinal cortex, middle temporal gyrus and visual cortex of Alzheimer's disease (AD) and control postmortem cases using a polyclonal antibody against the NF-??B p65 subunit. In AD cases, prominent staining for NF-??B was seen in neurons and their processes, neurofibrillary tangles and dystrophic neurites. In control cases, only weak staining of some neurons was obtained. The neuronal staining observed in AD was strongest in the hippocampal formation and entorhinal cortex, less in the middle temporal gyrus and least in the visual cortex. There was no difference between AD and control cases in the staining of glial cells and vascular walls. These results suggest that enhanced expression of neuronal NF-??B occurs in areas affected by AD pathology.","author":[{"dropping-particle":"","family":"Terai","given":"Kazuhiro","non-dropping-particle":"","parse-names":false,"suffix":""},{"dropping-particle":"","family":"Matsuo","given":"Akinori","non-dropping-particle":"","parse-names":false,"suffix":""},{"dropping-particle":"","family":"McGeer","given":"Patrick L.","non-dropping-particle":"","parse-names":false,"suffix":""}],"container-title":"Brain Research","id":"ITEM-1","issue":"1","issued":{"date-parts":[["1996"]]},"page":"159-168","title":"Enhancement of immunoreactivity for NF-??B in the hippocampal formation and cerebral cortex of Alzheimer's disease","type":"article-journal","volume":"735"},"uris":["http://www.mendeley.com/documents/?uuid=c22c5559-9df2-4af6-ae35-254c0e8d0132"]}],"mendeley":{"formattedCitation":"(Terai et al., 1996)","plainTextFormattedCitation":"(Terai et al., 1996)","previouslyFormattedCitation":"(Terai et al., 1996)"},"properties":{"noteIndex":0},"schema":"https://github.com/citation-style-language/schema/raw/master/csl-citation.json"}</w:instrText>
      </w:r>
      <w:r w:rsidR="00DC1F54" w:rsidRPr="00CB1C44">
        <w:rPr>
          <w:rFonts w:ascii="Arial" w:hAnsi="Arial" w:cs="Arial"/>
          <w:lang w:val="en-US"/>
        </w:rPr>
        <w:fldChar w:fldCharType="separate"/>
      </w:r>
      <w:r w:rsidR="00DD645C" w:rsidRPr="00CB1C44">
        <w:rPr>
          <w:rFonts w:ascii="Arial" w:hAnsi="Arial" w:cs="Arial"/>
          <w:noProof/>
          <w:lang w:val="en-US"/>
        </w:rPr>
        <w:t>(Terai et al., 1996)</w:t>
      </w:r>
      <w:r w:rsidR="00DC1F54" w:rsidRPr="00CB1C44">
        <w:rPr>
          <w:rFonts w:ascii="Arial" w:hAnsi="Arial" w:cs="Arial"/>
          <w:lang w:val="en-US"/>
        </w:rPr>
        <w:fldChar w:fldCharType="end"/>
      </w:r>
      <w:r w:rsidR="00DC1F54" w:rsidRPr="00CB1C44">
        <w:rPr>
          <w:rFonts w:ascii="Arial" w:hAnsi="Arial" w:cs="Arial"/>
          <w:lang w:val="en-US"/>
        </w:rPr>
        <w:t xml:space="preserve">. </w:t>
      </w:r>
      <w:r w:rsidR="0033180D" w:rsidRPr="00CB1C44">
        <w:rPr>
          <w:rFonts w:ascii="Arial" w:hAnsi="Arial" w:cs="Arial"/>
          <w:lang w:val="en-US"/>
        </w:rPr>
        <w:t>Aβ</w:t>
      </w:r>
      <w:r w:rsidR="0033180D" w:rsidRPr="00CB1C44">
        <w:rPr>
          <w:rFonts w:ascii="Arial" w:hAnsi="Arial" w:cs="Arial"/>
          <w:vertAlign w:val="subscript"/>
          <w:lang w:val="en-US"/>
        </w:rPr>
        <w:t>1-42</w:t>
      </w:r>
      <w:r w:rsidR="0033180D" w:rsidRPr="00CB1C44">
        <w:rPr>
          <w:rFonts w:ascii="Arial" w:hAnsi="Arial" w:cs="Arial"/>
          <w:lang w:val="en-US"/>
        </w:rPr>
        <w:t xml:space="preserve"> exposure </w:t>
      </w:r>
      <w:r w:rsidR="006077B0" w:rsidRPr="00CB1C44">
        <w:rPr>
          <w:rFonts w:ascii="Arial" w:hAnsi="Arial" w:cs="Arial"/>
          <w:lang w:val="en-US"/>
        </w:rPr>
        <w:t>induce</w:t>
      </w:r>
      <w:r w:rsidR="002573ED" w:rsidRPr="00CB1C44">
        <w:rPr>
          <w:rFonts w:ascii="Arial" w:hAnsi="Arial" w:cs="Arial"/>
          <w:lang w:val="en-US"/>
        </w:rPr>
        <w:t>d</w:t>
      </w:r>
      <w:r w:rsidR="0059097C" w:rsidRPr="00CB1C44">
        <w:rPr>
          <w:rFonts w:ascii="Arial" w:hAnsi="Arial" w:cs="Arial"/>
          <w:lang w:val="en-US"/>
        </w:rPr>
        <w:t xml:space="preserve"> </w:t>
      </w:r>
      <w:r w:rsidR="0033180D" w:rsidRPr="00CB1C44">
        <w:rPr>
          <w:rFonts w:ascii="Arial" w:hAnsi="Arial" w:cs="Arial"/>
          <w:lang w:val="en-US"/>
        </w:rPr>
        <w:t>the activation of NF-kB</w:t>
      </w:r>
      <w:r w:rsidR="006077B0" w:rsidRPr="00CB1C44">
        <w:rPr>
          <w:rFonts w:ascii="Arial" w:hAnsi="Arial" w:cs="Arial"/>
          <w:lang w:val="en-US"/>
        </w:rPr>
        <w:t xml:space="preserve"> subunit </w:t>
      </w:r>
      <w:r w:rsidR="0059097C" w:rsidRPr="00CB1C44">
        <w:rPr>
          <w:rFonts w:ascii="Arial" w:hAnsi="Arial" w:cs="Arial"/>
          <w:lang w:val="en-US"/>
        </w:rPr>
        <w:t xml:space="preserve">p65 </w:t>
      </w:r>
      <w:r w:rsidR="00687F08" w:rsidRPr="00CB1C44">
        <w:rPr>
          <w:rFonts w:ascii="Arial" w:hAnsi="Arial" w:cs="Arial"/>
          <w:lang w:val="en-US"/>
        </w:rPr>
        <w:t xml:space="preserve">in primary neuronal cultures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{"citationItems":[{"id":"ITEM-1","itemData":{"DOI":"10.1517/14728222.2014.989834","ISSN":"1472-8222","PMID":"25652642","abstract":"INTRODUCTION: Advances in molecular pathogenesis suggest that the chronic inflammation is a shared mechanism in the initiation and progression of multiple neurodegenerative diseases with diverse clinical manifestations such as Alzheimer's disease (AD) and Multiple sclerosis (MS). Restricted cell renewal and regenerative capacity make the neural tissues extremely vulnerable to the uncontrolled inflammatory process leading to irreversible tissue damage. AREAS COVERED: A predominant consequence of increased inflammatory signaling is the upregulation of the transcription factor, NF-κB with subsequent neuroprotective or deleterious effects depending on the strength of the signal and the type of NF-κB dimers activated. We discuss the interplay between neuroinflammation and neurodegeneration keeping in focus NF-κB signaling as the point of convergence of multiple pathways associated with the development of the neurodegenerative pathologies, AD and MS. EXPERT OPINION: Considerable interest exists in developing efficient NF-κB inhibitors for neurodegenerative diseases. The review includes an overview of natural compounds and rationally designed agents that inhibit NF-κB and mediate neuroprotection in AD and MS. The key chemical moieties of the natural and the synthetic compounds provide efficient leads for the development of effective small molecule inhibitors that selectively target NF-κB activation; this would result in the desired benefit to risk therapeutic effects.","author":[{"dropping-particle":"","family":"Srinivasan","given":"Mythily","non-dropping-particle":"","parse-names":false,"suffix":""},{"dropping-particle":"","family":"Lahiri","given":"Debomoy K","non-dropping-particle":"","parse-names":false,"suffix":""}],"container-title":"Expert Opinion on Therapeutic Targets","id":"ITEM-1","issue":"4","issued":{"date-parts":[["2015","4","3"]]},"page":"471-487","title":"Significance of NF-κB as a pivotal therapeutic target in the neurodegenerative pathologies of Alzheimer’s disease and multiple sclerosis","type":"article-journal","volume":"19"},"uris":["http://www.mendeley.com/documents/?uuid=62e5005c-a953-4399-bf67-5a70fd79b528"]}],"mendeley":{"formattedCitation":"(Srinivasan and Lahiri, 2015)","plainTextFormattedCitation":"(Srinivasan and Lahiri, 2015)","previouslyFormattedCitation":"(Srinivasan and Lahiri,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(Srinivasan and Lahiri, 2015)</w:t>
      </w:r>
      <w:r w:rsidR="00844011" w:rsidRPr="00CB1C44">
        <w:rPr>
          <w:rFonts w:ascii="Arial" w:hAnsi="Arial" w:cs="Arial"/>
          <w:lang w:val="en-US"/>
        </w:rPr>
        <w:fldChar w:fldCharType="end"/>
      </w:r>
      <w:r w:rsidR="00687F08" w:rsidRPr="00CB1C44">
        <w:rPr>
          <w:rFonts w:ascii="Arial" w:hAnsi="Arial" w:cs="Arial"/>
          <w:lang w:val="en-US"/>
        </w:rPr>
        <w:t xml:space="preserve"> and in NG108-15 neural cells </w:t>
      </w:r>
      <w:r w:rsidR="00687F0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{"citationItems":[{"id":"ITEM-1","itemData":{"DOI":"10.1016/j.intimp.2013.09.016","ISBN":"1878-1705 (Electronic)\\r1567-5769 (Linking)","ISSN":"1878-1705 (Electronic)","PMID":"24126115","abstract":"The TLR2-mediated neuroinflammatory activation has been involved in the pathogenesis of Alzheimer's disease (AD) associated with amyloid beta(Abeta) deposition. In neuronal damage, JNK and NF-kappaB pathways contribute to TLR2-dependent secretion of proinflammatory cytokines. However, the role of TLR2/JNK/NF-kappaB pathway on Abeta-induced inflammatory response in nerve cell damage remains unclear. In the present study, Abeta1-42 was used to induce mouse NG108-15 neural cell injury. The cell viability was detected by methylthiazolyldiphenyl-tetrazolium bromide (MTT). The levels of tumor necrosis factor (TNF)-alpha, monocyte chemoattractant protein(MCP)-1 and interleukin (IL)-10 in culture supernatant were measured by ELISA. western blot analysis was performed to detect the expressions of JNK and p-65 NF-kappaB proteins. Immunofluorescence assay was also performed to examine the p-JNK and p-65 NF-kappaB activation. As a result, Abeta1-42 incubation for 36 h inhibited remarkedly the cell viability of NG108-15, and increased significantly the levels of inflammatory cytokines TNF-alpha, MCP-1 and IL-10, as well as enhanced the expressions of JNK and p-65 NF-kappaB in western blot analysis and immunofluorescence assay. However, the pre-incubation with anti-TLR2 (OPN301, 1 mug/ml) or JNK inhibitor SP600125 (10 mug/ml) prior to Abeta1-42 administration, these upregulation events were all reduced. These results suggested that the induction of Abeta1-42 on proinflammatory cytokine generation might be associated with TLR2-dependent JNK/NF-kappaB signal pathway, at least partially. Our findings indicated that blockade of TLR2/JNK/NF-kappaB pathway could be beneficial in the pathogenesis of AD.","author":[{"dropping-particle":"","family":"Lin","given":"Wei","non-dropping-particle":"","parse-names":false,"suffix":""},{"dropping-particle":"","family":"Ding","given":"Ming","non-dropping-particle":"","parse-names":false,"suffix":""},{"dropping-particle":"","family":"Xue","given":"Jianqin","non-dropping-particle":"","parse-names":false,"suffix":""},{"dropping-particle":"","family":"Leng","given":"Wenhui","non-dropping-particle":"","parse-names":false,"suffix":""}],"container-title":"International immunopharmacology","id":"ITEM-1","issue":"3","issued":{"date-parts":[["2013"]]},"page":"880-884","title":"The role of TLR2/JNK/NF-kappaB pathway in amyloid beta peptide-induced inflammatory response in mouse NG108-15 neural cells.","type":"article-journal","volume":"17"},"uris":["http://www.mendeley.com/documents/?uuid=9c2947db-cb74-4f3d-972f-36d865565dad"]}],"mendeley":{"formattedCitation":"(Lin et al., 2013)","plainTextFormattedCitation":"(Lin et al., 2013)","previouslyFormattedCitation":"(Lin et al., 2013)"},"properties":{"noteIndex":0},"schema":"https://github.com/citation-style-language/schema/raw/master/csl-citation.json"}</w:instrText>
      </w:r>
      <w:r w:rsidR="00687F08" w:rsidRPr="00CB1C44">
        <w:rPr>
          <w:rFonts w:ascii="Arial" w:hAnsi="Arial" w:cs="Arial"/>
          <w:lang w:val="en-US"/>
        </w:rPr>
        <w:fldChar w:fldCharType="separate"/>
      </w:r>
      <w:r w:rsidR="00DD645C" w:rsidRPr="00CB1C44">
        <w:rPr>
          <w:rFonts w:ascii="Arial" w:hAnsi="Arial" w:cs="Arial"/>
          <w:noProof/>
          <w:lang w:val="en-US"/>
        </w:rPr>
        <w:t>(Lin et al., 2013)</w:t>
      </w:r>
      <w:r w:rsidR="00687F08" w:rsidRPr="00CB1C44">
        <w:rPr>
          <w:rFonts w:ascii="Arial" w:hAnsi="Arial" w:cs="Arial"/>
          <w:lang w:val="en-US"/>
        </w:rPr>
        <w:fldChar w:fldCharType="end"/>
      </w:r>
      <w:r w:rsidR="00687F08" w:rsidRPr="00CB1C44">
        <w:rPr>
          <w:rFonts w:ascii="Arial" w:hAnsi="Arial" w:cs="Arial"/>
          <w:lang w:val="en-US"/>
        </w:rPr>
        <w:t>.</w:t>
      </w:r>
      <w:r w:rsidR="00F544BC" w:rsidRPr="00CB1C44">
        <w:rPr>
          <w:rFonts w:ascii="Arial" w:hAnsi="Arial" w:cs="Arial"/>
          <w:lang w:val="en-US"/>
        </w:rPr>
        <w:t xml:space="preserve"> </w:t>
      </w:r>
      <w:r w:rsidR="002C5D33" w:rsidRPr="00CB1C44">
        <w:rPr>
          <w:rFonts w:ascii="Arial" w:hAnsi="Arial" w:cs="Arial"/>
          <w:lang w:val="en-US"/>
        </w:rPr>
        <w:t>Aβ</w:t>
      </w:r>
      <w:r w:rsidR="00320B23" w:rsidRPr="00CB1C44">
        <w:rPr>
          <w:rFonts w:ascii="Arial" w:hAnsi="Arial" w:cs="Arial"/>
          <w:vertAlign w:val="subscript"/>
          <w:lang w:val="en-US"/>
        </w:rPr>
        <w:t>1-</w:t>
      </w:r>
      <w:r w:rsidR="002C5D33" w:rsidRPr="00CB1C44">
        <w:rPr>
          <w:rFonts w:ascii="Arial" w:hAnsi="Arial" w:cs="Arial"/>
          <w:vertAlign w:val="subscript"/>
          <w:lang w:val="en-US"/>
        </w:rPr>
        <w:t>40</w:t>
      </w:r>
      <w:r w:rsidR="001E161A" w:rsidRPr="00CB1C44">
        <w:rPr>
          <w:rFonts w:ascii="Arial" w:hAnsi="Arial" w:cs="Arial"/>
          <w:lang w:val="en-US"/>
        </w:rPr>
        <w:t xml:space="preserve"> </w:t>
      </w:r>
      <w:r w:rsidR="00E9251A" w:rsidRPr="00CB1C44">
        <w:rPr>
          <w:rFonts w:ascii="Arial" w:hAnsi="Arial" w:cs="Arial"/>
          <w:lang w:val="en-US"/>
        </w:rPr>
        <w:t>also</w:t>
      </w:r>
      <w:r w:rsidR="00687F08" w:rsidRPr="00CB1C44">
        <w:rPr>
          <w:rFonts w:ascii="Arial" w:hAnsi="Arial" w:cs="Arial"/>
          <w:lang w:val="en-US"/>
        </w:rPr>
        <w:t xml:space="preserve"> </w:t>
      </w:r>
      <w:r w:rsidR="001E161A" w:rsidRPr="00CB1C44">
        <w:rPr>
          <w:rFonts w:ascii="Arial" w:hAnsi="Arial" w:cs="Arial"/>
          <w:lang w:val="en-US"/>
        </w:rPr>
        <w:t>i</w:t>
      </w:r>
      <w:r w:rsidR="002C5D33" w:rsidRPr="00CB1C44">
        <w:rPr>
          <w:rFonts w:ascii="Arial" w:hAnsi="Arial" w:cs="Arial"/>
          <w:lang w:val="en-US"/>
        </w:rPr>
        <w:t>nduce</w:t>
      </w:r>
      <w:r w:rsidR="002573ED" w:rsidRPr="00CB1C44">
        <w:rPr>
          <w:rFonts w:ascii="Arial" w:hAnsi="Arial" w:cs="Arial"/>
          <w:lang w:val="en-US"/>
        </w:rPr>
        <w:t>d</w:t>
      </w:r>
      <w:r w:rsidR="009C000E" w:rsidRPr="00CB1C44">
        <w:rPr>
          <w:rFonts w:ascii="Arial" w:hAnsi="Arial" w:cs="Arial"/>
          <w:lang w:val="en-US"/>
        </w:rPr>
        <w:t xml:space="preserve"> </w:t>
      </w:r>
      <w:r w:rsidR="008820FB" w:rsidRPr="00CB1C44">
        <w:rPr>
          <w:rFonts w:ascii="Arial" w:hAnsi="Arial" w:cs="Arial"/>
          <w:lang w:val="en-US"/>
        </w:rPr>
        <w:t>increased NF-kB binding activity in primary neurons</w:t>
      </w:r>
      <w:r w:rsidR="001E161A" w:rsidRPr="00CB1C44">
        <w:rPr>
          <w:rFonts w:ascii="Arial" w:hAnsi="Arial" w:cs="Arial"/>
          <w:lang w:val="en-US"/>
        </w:rPr>
        <w:t xml:space="preserve"> of cerebellar granule cells</w:t>
      </w:r>
      <w:r w:rsidR="008820FB" w:rsidRPr="00CB1C44">
        <w:rPr>
          <w:rFonts w:ascii="Arial" w:hAnsi="Arial" w:cs="Arial"/>
          <w:lang w:val="en-US"/>
        </w:rPr>
        <w:t xml:space="preserve"> and</w:t>
      </w:r>
      <w:r w:rsidR="001E161A" w:rsidRPr="00CB1C44">
        <w:rPr>
          <w:rFonts w:ascii="Arial" w:hAnsi="Arial" w:cs="Arial"/>
          <w:lang w:val="en-US"/>
        </w:rPr>
        <w:t xml:space="preserve"> in</w:t>
      </w:r>
      <w:r w:rsidR="008820FB" w:rsidRPr="00CB1C44">
        <w:rPr>
          <w:rFonts w:ascii="Arial" w:hAnsi="Arial" w:cs="Arial"/>
          <w:lang w:val="en-US"/>
        </w:rPr>
        <w:t xml:space="preserve"> NT2N cells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{"citationItems":[{"id":"ITEM-1","itemData":{"DOI":"10.1111/j.1460-9568.2006.04722.x","ISSN":"0953816X","abstract":"Beta-amyloid (Aβ) peptides are key proteins in the pathophysiology of Alzheimer&amp;apos;s disease (AD). While Aβ42 aggregates very rapidly to form early diffuse plaques, supplemental Aβ40 deposition is required to form mature neuritic plaques. We here investigated the role of nuclear factor-κB (NF-κB) pathway in Aβ40-mediated neuronal damage and amyloid pathology. In rat primary neurons and human postmitotic neuronal cells, the Aβ peptide induced a dose-dependent neuronal death, reduced the levels of the anti-apoptotic protein Bcl-XL, enhanced the cytosolic release of cytochrome c, and elicited the intracellular accumulation and secretion of Aβ42 oligomers. Moreover, Aβ40 activated the NF-κB pathway by selectively inducing the nuclear translocation of p65 and p50 subunits, and promoted an apoptotic profile of gene expression. As inhibitors of the NF-κB pathway, we tested the capability of a double-stranded κB decoy oligonucleotide, the anti-inflammatory drug aspirin and the selective IκB kinase 2 inhibitor, AS602868, to modify the Aβ40-mediated effects. These treatments, transiently applied before Aβ exposure, completely inhibited p50/p65 nuclear translocation and neuronal damage. The κB decoy also inhibited the Aβ-induced release of cytochrome c, restored the levels of Bcl-XL, and prevented intraneuronal accumulation and secretion of Aβ42. These results open up interesting perspectives on the development of novel strategies targeting out NF-κB p50/p65 dimers for pharmacological intervention in AD.","author":[{"dropping-particle":"","family":"Valerio","given":"Alessandra","non-dropping-particle":"","parse-names":false,"suffix":""},{"dropping-particle":"","family":"Boroni","given":"Flora","non-dropping-particle":"","parse-names":false,"suffix":""},{"dropping-particle":"","family":"Benarese","given":"Marina","non-dropping-particle":"","parse-names":false,"suffix":""},{"dropping-particle":"","family":"Sarnico","given":"Ilenia","non-dropping-particle":"","parse-names":false,"suffix":""},{"dropping-particle":"","family":"Ghisi","given":"Valentina","non-dropping-particle":"","parse-names":false,"suffix":""},{"dropping-particle":"","family":"Bresciani","given":"Laura Grazia","non-dropping-particle":"","parse-names":false,"suffix":""},{"dropping-particle":"","family":"Ferrario","given":"Marina","non-dropping-particle":"","parse-names":false,"suffix":""},{"dropping-particle":"","family":"Borsani","given":"Giuseppe","non-dropping-particle":"","parse-names":false,"suffix":""},{"dropping-particle":"","family":"Spano","given":"Pierfranco","non-dropping-particle":"","parse-names":false,"suffix":""},{"dropping-particle":"","family":"Pizzi","given":"Marina","non-dropping-particle":"","parse-names":false,"suffix":""}],"container-title":"European Journal of Neuroscience","id":"ITEM-1","issue":"7","issued":{"date-parts":[["2006","4"]]},"page":"1711-1720","title":"NF-κB pathway: a target for preventing β-amyloid (Aβ)-induced neuronal damage and Aβ42 production","type":"article-journal","volume":"23"},"uris":["http://www.mendeley.com/documents/?uuid=79cfdf6e-6292-4a20-ad79-a6a75c5da8f2"]}],"mendeley":{"formattedCitation":"(Valerio et al., 2006)","plainTextFormattedCitation":"(Valerio et al., 2006)","previouslyFormattedCitation":"(Valerio et al., 2006)"},"properties":{"noteIndex":0},"schema":"https://github.com/citation-style-language/schema/raw/master/csl-citation.json"}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(Valerio et al., 2006)</w:t>
      </w:r>
      <w:r w:rsidR="00844011" w:rsidRPr="00CB1C44">
        <w:rPr>
          <w:rFonts w:ascii="Arial" w:hAnsi="Arial" w:cs="Arial"/>
          <w:lang w:val="en-US"/>
        </w:rPr>
        <w:fldChar w:fldCharType="end"/>
      </w:r>
      <w:r w:rsidR="00687F08" w:rsidRPr="00CB1C44">
        <w:rPr>
          <w:rFonts w:ascii="Arial" w:hAnsi="Arial" w:cs="Arial"/>
          <w:lang w:val="en-US"/>
        </w:rPr>
        <w:t>.</w:t>
      </w:r>
      <w:r w:rsidR="00E46AF7" w:rsidRPr="00CB1C44">
        <w:rPr>
          <w:rFonts w:ascii="Arial" w:hAnsi="Arial" w:cs="Arial"/>
          <w:lang w:val="en-US"/>
        </w:rPr>
        <w:t xml:space="preserve"> </w:t>
      </w:r>
      <w:r w:rsidR="00A86B2F" w:rsidRPr="00CB1C44">
        <w:rPr>
          <w:rFonts w:ascii="Arial" w:hAnsi="Arial" w:cs="Arial"/>
          <w:lang w:val="en-US"/>
        </w:rPr>
        <w:t xml:space="preserve">Thus, </w:t>
      </w:r>
      <w:r w:rsidR="00CD1B23" w:rsidRPr="00CB1C44">
        <w:rPr>
          <w:rFonts w:ascii="Arial" w:hAnsi="Arial" w:cs="Arial"/>
          <w:lang w:val="en-US"/>
        </w:rPr>
        <w:t xml:space="preserve">NF-kB inhibitors </w:t>
      </w:r>
      <w:r w:rsidR="0075495A" w:rsidRPr="00CB1C44">
        <w:rPr>
          <w:rFonts w:ascii="Arial" w:hAnsi="Arial" w:cs="Arial"/>
          <w:lang w:val="en-US"/>
        </w:rPr>
        <w:t>were</w:t>
      </w:r>
      <w:r w:rsidR="00CD1B23" w:rsidRPr="00CB1C44">
        <w:rPr>
          <w:rFonts w:ascii="Arial" w:hAnsi="Arial" w:cs="Arial"/>
          <w:lang w:val="en-US"/>
        </w:rPr>
        <w:t xml:space="preserve"> studied as AD therapeutic strategies. </w:t>
      </w:r>
      <w:r w:rsidR="00617D8E" w:rsidRPr="00CB1C44">
        <w:rPr>
          <w:rFonts w:ascii="Arial" w:hAnsi="Arial" w:cs="Arial"/>
          <w:lang w:val="en-US"/>
        </w:rPr>
        <w:t>L-</w:t>
      </w:r>
      <w:r w:rsidR="00E9251A" w:rsidRPr="00CB1C44">
        <w:rPr>
          <w:rFonts w:ascii="Arial" w:hAnsi="Arial" w:cs="Arial"/>
          <w:lang w:val="en-US"/>
        </w:rPr>
        <w:t>t</w:t>
      </w:r>
      <w:r w:rsidR="00617D8E" w:rsidRPr="00CB1C44">
        <w:rPr>
          <w:rFonts w:ascii="Arial" w:hAnsi="Arial" w:cs="Arial"/>
          <w:lang w:val="en-US"/>
        </w:rPr>
        <w:t>heanine</w:t>
      </w:r>
      <w:r w:rsidR="00C33731" w:rsidRPr="00CB1C44">
        <w:rPr>
          <w:rFonts w:ascii="Arial" w:hAnsi="Arial" w:cs="Arial"/>
          <w:lang w:val="en-US"/>
        </w:rPr>
        <w:t xml:space="preserve"> </w:t>
      </w:r>
      <w:r w:rsidR="00617D8E" w:rsidRPr="00CB1C44">
        <w:rPr>
          <w:rFonts w:ascii="Arial" w:hAnsi="Arial" w:cs="Arial"/>
          <w:lang w:val="en-US"/>
        </w:rPr>
        <w:t xml:space="preserve">is </w:t>
      </w:r>
      <w:r w:rsidR="00C33731" w:rsidRPr="00CB1C44">
        <w:rPr>
          <w:rFonts w:ascii="Arial" w:hAnsi="Arial" w:cs="Arial"/>
          <w:lang w:val="en-US"/>
        </w:rPr>
        <w:t xml:space="preserve">an amino acid </w:t>
      </w:r>
      <w:r w:rsidR="00617D8E" w:rsidRPr="00CB1C44">
        <w:rPr>
          <w:rFonts w:ascii="Arial" w:hAnsi="Arial" w:cs="Arial"/>
          <w:lang w:val="en-US"/>
        </w:rPr>
        <w:t>present in green tea</w:t>
      </w:r>
      <w:r w:rsidR="0090473F" w:rsidRPr="00CB1C44">
        <w:rPr>
          <w:rFonts w:ascii="Arial" w:hAnsi="Arial" w:cs="Arial"/>
          <w:lang w:val="en-US"/>
        </w:rPr>
        <w:t xml:space="preserve"> that was</w:t>
      </w:r>
      <w:r w:rsidR="007C1762" w:rsidRPr="00CB1C44">
        <w:rPr>
          <w:rFonts w:ascii="Arial" w:hAnsi="Arial" w:cs="Arial"/>
          <w:lang w:val="en-US"/>
        </w:rPr>
        <w:t xml:space="preserve"> shown to suppress NF-kB</w:t>
      </w:r>
      <w:r w:rsidR="008B0AF4" w:rsidRPr="00CB1C44">
        <w:rPr>
          <w:rFonts w:ascii="Arial" w:hAnsi="Arial" w:cs="Arial"/>
          <w:lang w:val="en-US"/>
        </w:rPr>
        <w:t xml:space="preserve"> activity</w:t>
      </w:r>
      <w:r w:rsidR="007C1762" w:rsidRPr="00CB1C44">
        <w:rPr>
          <w:rFonts w:ascii="Arial" w:hAnsi="Arial" w:cs="Arial"/>
          <w:lang w:val="en-US"/>
        </w:rPr>
        <w:t xml:space="preserve">. </w:t>
      </w:r>
      <w:r w:rsidR="00970E45" w:rsidRPr="00CB1C44">
        <w:rPr>
          <w:rFonts w:ascii="Arial" w:hAnsi="Arial" w:cs="Arial"/>
          <w:lang w:val="en-US"/>
        </w:rPr>
        <w:t xml:space="preserve">Thus, </w:t>
      </w:r>
      <w:r w:rsidR="004F3930" w:rsidRPr="00CB1C44">
        <w:rPr>
          <w:rFonts w:ascii="Arial" w:hAnsi="Arial" w:cs="Arial"/>
          <w:lang w:val="en-US"/>
        </w:rPr>
        <w:t>Aβ</w:t>
      </w:r>
      <w:r w:rsidR="004F3930" w:rsidRPr="00CB1C44">
        <w:rPr>
          <w:rFonts w:ascii="Arial" w:hAnsi="Arial" w:cs="Arial"/>
          <w:vertAlign w:val="subscript"/>
          <w:lang w:val="en-US"/>
        </w:rPr>
        <w:t>1-42</w:t>
      </w:r>
      <w:r w:rsidR="004F3930" w:rsidRPr="00CB1C44">
        <w:rPr>
          <w:rFonts w:ascii="Arial" w:hAnsi="Arial" w:cs="Arial"/>
          <w:lang w:val="en-US"/>
        </w:rPr>
        <w:t xml:space="preserve">-infused mouse model </w:t>
      </w:r>
      <w:r w:rsidR="007C1762" w:rsidRPr="00CB1C44">
        <w:rPr>
          <w:rFonts w:ascii="Arial" w:hAnsi="Arial" w:cs="Arial"/>
          <w:lang w:val="en-US"/>
        </w:rPr>
        <w:t>treated with this compound attenuate</w:t>
      </w:r>
      <w:r w:rsidR="002573ED" w:rsidRPr="00CB1C44">
        <w:rPr>
          <w:rFonts w:ascii="Arial" w:hAnsi="Arial" w:cs="Arial"/>
          <w:lang w:val="en-US"/>
        </w:rPr>
        <w:t>d</w:t>
      </w:r>
      <w:r w:rsidR="007C1762" w:rsidRPr="00CB1C44">
        <w:rPr>
          <w:rFonts w:ascii="Arial" w:hAnsi="Arial" w:cs="Arial"/>
          <w:lang w:val="en-US"/>
        </w:rPr>
        <w:t xml:space="preserve"> Aβ</w:t>
      </w:r>
      <w:r w:rsidR="007C1762" w:rsidRPr="00CB1C44">
        <w:rPr>
          <w:rFonts w:ascii="Arial" w:hAnsi="Arial" w:cs="Arial"/>
          <w:vertAlign w:val="subscript"/>
          <w:lang w:val="en-US"/>
        </w:rPr>
        <w:t>1-42</w:t>
      </w:r>
      <w:r w:rsidR="007C1762" w:rsidRPr="00CB1C44">
        <w:rPr>
          <w:rFonts w:ascii="Arial" w:hAnsi="Arial" w:cs="Arial"/>
          <w:lang w:val="en-US"/>
        </w:rPr>
        <w:t>-induced memory impairment</w:t>
      </w:r>
      <w:r w:rsidR="00617D8E" w:rsidRPr="00CB1C44">
        <w:rPr>
          <w:rFonts w:ascii="Arial" w:hAnsi="Arial" w:cs="Arial"/>
          <w:lang w:val="en-US"/>
        </w:rPr>
        <w:t xml:space="preserve"> </w:t>
      </w:r>
      <w:r w:rsidR="007C1762" w:rsidRPr="00CB1C44">
        <w:rPr>
          <w:rFonts w:ascii="Arial" w:hAnsi="Arial" w:cs="Arial"/>
          <w:lang w:val="en-US"/>
        </w:rPr>
        <w:t xml:space="preserve">and </w:t>
      </w:r>
      <w:r w:rsidR="00617D8E" w:rsidRPr="00CB1C44">
        <w:rPr>
          <w:rFonts w:ascii="Arial" w:hAnsi="Arial" w:cs="Arial"/>
          <w:lang w:val="en-US"/>
        </w:rPr>
        <w:t>decreas</w:t>
      </w:r>
      <w:r w:rsidR="00C33731" w:rsidRPr="00CB1C44">
        <w:rPr>
          <w:rFonts w:ascii="Arial" w:hAnsi="Arial" w:cs="Arial"/>
          <w:lang w:val="en-US"/>
        </w:rPr>
        <w:t>ed Aβ</w:t>
      </w:r>
      <w:r w:rsidR="00496FC6" w:rsidRPr="00CB1C44">
        <w:rPr>
          <w:rFonts w:ascii="Arial" w:hAnsi="Arial" w:cs="Arial"/>
          <w:vertAlign w:val="subscript"/>
          <w:lang w:val="en-US"/>
        </w:rPr>
        <w:t>1-</w:t>
      </w:r>
      <w:r w:rsidR="00C33731" w:rsidRPr="00CB1C44">
        <w:rPr>
          <w:rFonts w:ascii="Arial" w:hAnsi="Arial" w:cs="Arial"/>
          <w:vertAlign w:val="subscript"/>
          <w:lang w:val="en-US"/>
        </w:rPr>
        <w:t>42</w:t>
      </w:r>
      <w:r w:rsidR="00C33731" w:rsidRPr="00CB1C44">
        <w:rPr>
          <w:rFonts w:ascii="Arial" w:hAnsi="Arial" w:cs="Arial"/>
          <w:lang w:val="en-US"/>
        </w:rPr>
        <w:t xml:space="preserve"> levels in the cortex and hippocampus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{"citationItems":[{"id":"ITEM-1","itemData":{"DOI":"10.1016/j.freeradbiomed.2009.09.008","ISSN":"08915849","abstract":"Amyloid beta (Abeta)-induced neurotoxicity is a major pathological mechanism of Alzheimer's disease (AD). In this study, we investigated the inhibitory effect of L-theanine, a component of green tea (Camellia sinensis), on Abeta(1-42)-induced neuronal cell death and memory impairment. Oral treatment of L-theanine (2 and 4 mg/kg) in drinking water for 5 weeks in mice, followed by injection of Abeta(1-42) (2 mug/mouse, i.c.v.) significantly attenuated Abeta(1-42)-induced memory impairment. Furthermore, L-theanine reduced Abeta(1-42) levels accompanied with the Abeta(1-42)-induced neuronal cell death in cortex and hippocampus of the brain. Moreover, L-theanine inhibited Abeta(1-42)-induced extracellular signal-regulated kinase (ERK) and p38 mitogenic activated protein kinase (p38 MAPK) as well as the activity of nuclear factor kappa-B (NF-kappaB). L-theanine also significantly reduced oxidative protein and lipid damage, and elevation of glutathione level in the brain. These data suggest that the positive effects of L-theanine on memory may be mediated by suppression of ERK/p38 and NF-kappaB as well as the reduction of macromolecular oxidative damage. Thus, L-theanine may be useful in the prevention and treatment of AD.","author":[{"dropping-particle":"Il","family":"Kim","given":"Tae","non-dropping-particle":"","parse-names":false,"suffix":""},{"dropping-particle":"","family":"Lee","given":"Yong Kyung","non-dropping-particle":"","parse-names":false,"suffix":""},{"dropping-particle":"","family":"Park","given":"Sang Gi","non-dropping-particle":"","parse-names":false,"suffix":""},{"dropping-particle":"","family":"Choi","given":"Im Seop","non-dropping-particle":"","parse-names":false,"suffix":""},{"dropping-particle":"","family":"Ban","given":"Jung Ok","non-dropping-particle":"","parse-names":false,"suffix":""},{"dropping-particle":"","family":"Park","given":"Hyoung Kook","non-dropping-particle":"","parse-names":false,"suffix":""},{"dropping-particle":"","family":"Nam","given":"Sang-Yoon","non-dropping-particle":"","parse-names":false,"suffix":""},{"dropping-particle":"","family":"Yun","given":"Young Won","non-dropping-particle":"","parse-names":false,"suffix":""},{"dropping-particle":"","family":"Han","given":"Sang Bae","non-dropping-particle":"","parse-names":false,"suffix":""},{"dropping-particle":"","family":"Oh","given":"Ki Wan","non-dropping-particle":"","parse-names":false,"suffix":""},{"dropping-particle":"","family":"Hong","given":"Jin Tae","non-dropping-particle":"","parse-names":false,"suffix":""}],"container-title":"Free Radical Biology and Medicine","id":"ITEM-1","issue":"11","issued":{"date-parts":[["2009","12"]]},"page":"1601-1610","title":"l-Theanine, an amino acid in green tea, attenuates β-amyloid-induced cognitive dysfunction and neurotoxicity: Reduction in oxidative damage and inactivation of ERK/p38 kinase and NF-κB pathways","type":"article-journal","volume":"47"},"uris":["http://www.mendeley.com/documents/?uuid=dfe6bcab-385d-478d-9c89-8fcdfaeb6dcf"]}],"mendeley":{"formattedCitation":"(Kim et al., 2009)","plainTextFormattedCitation":"(Kim et al., 2009)","previouslyFormattedCitation":"(Kim et al., 2009)"},"properties":{"noteIndex":0},"schema":"https://github.com/citation-style-language/schema/raw/master/csl-citation.json"}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(Kim et al., 2009)</w:t>
      </w:r>
      <w:r w:rsidR="00844011" w:rsidRPr="00CB1C44">
        <w:rPr>
          <w:rFonts w:ascii="Arial" w:hAnsi="Arial" w:cs="Arial"/>
          <w:lang w:val="en-US"/>
        </w:rPr>
        <w:fldChar w:fldCharType="end"/>
      </w:r>
      <w:r w:rsidR="00EA5FB6" w:rsidRPr="00CB1C44">
        <w:rPr>
          <w:rFonts w:ascii="Arial" w:hAnsi="Arial" w:cs="Arial"/>
          <w:lang w:val="en-US"/>
        </w:rPr>
        <w:t xml:space="preserve">. </w:t>
      </w:r>
      <w:r w:rsidR="009A7B9D" w:rsidRPr="00CB1C44">
        <w:rPr>
          <w:rFonts w:ascii="Arial" w:hAnsi="Arial" w:cs="Arial"/>
          <w:lang w:val="en-US"/>
        </w:rPr>
        <w:t>Nevertheless, in</w:t>
      </w:r>
      <w:r w:rsidR="004F3930" w:rsidRPr="00CB1C44">
        <w:rPr>
          <w:rFonts w:ascii="Arial" w:hAnsi="Arial" w:cs="Arial"/>
          <w:lang w:val="en-US"/>
        </w:rPr>
        <w:t xml:space="preserve"> this</w:t>
      </w:r>
      <w:r w:rsidR="009A7B9D" w:rsidRPr="00CB1C44">
        <w:rPr>
          <w:rFonts w:ascii="Arial" w:hAnsi="Arial" w:cs="Arial"/>
          <w:lang w:val="en-US"/>
        </w:rPr>
        <w:t xml:space="preserve"> </w:t>
      </w:r>
      <w:r w:rsidR="004F3930" w:rsidRPr="00CB1C44">
        <w:rPr>
          <w:rFonts w:ascii="Arial" w:hAnsi="Arial" w:cs="Arial"/>
          <w:lang w:val="en-US"/>
        </w:rPr>
        <w:t>study</w:t>
      </w:r>
      <w:r w:rsidR="009A7B9D" w:rsidRPr="00CB1C44">
        <w:rPr>
          <w:rFonts w:ascii="Arial" w:hAnsi="Arial" w:cs="Arial"/>
          <w:lang w:val="en-US"/>
        </w:rPr>
        <w:t xml:space="preserve">, Nrf2 activity </w:t>
      </w:r>
      <w:r w:rsidR="009A7B9D" w:rsidRPr="00CB1C44">
        <w:rPr>
          <w:rFonts w:ascii="Arial" w:hAnsi="Arial" w:cs="Arial"/>
          <w:lang w:val="en-US"/>
        </w:rPr>
        <w:lastRenderedPageBreak/>
        <w:t xml:space="preserve">or </w:t>
      </w:r>
      <w:r w:rsidR="00970E45" w:rsidRPr="00CB1C44">
        <w:rPr>
          <w:rFonts w:ascii="Arial" w:hAnsi="Arial" w:cs="Arial"/>
          <w:lang w:val="en-US"/>
        </w:rPr>
        <w:t xml:space="preserve">genes </w:t>
      </w:r>
      <w:r w:rsidR="009A7B9D" w:rsidRPr="00CB1C44">
        <w:rPr>
          <w:rFonts w:ascii="Arial" w:hAnsi="Arial" w:cs="Arial"/>
          <w:lang w:val="en-US"/>
        </w:rPr>
        <w:t xml:space="preserve">target levels were not measured. </w:t>
      </w:r>
      <w:r w:rsidR="001E2F55" w:rsidRPr="00CB1C44">
        <w:rPr>
          <w:rFonts w:ascii="Arial" w:hAnsi="Arial" w:cs="Arial"/>
          <w:lang w:val="en-US"/>
        </w:rPr>
        <w:t xml:space="preserve">Sulforaphane, a well-known Nrf2 activator, </w:t>
      </w:r>
      <w:r w:rsidR="006A19F9" w:rsidRPr="00CB1C44">
        <w:rPr>
          <w:rFonts w:ascii="Arial" w:hAnsi="Arial" w:cs="Arial"/>
          <w:lang w:val="en-US"/>
        </w:rPr>
        <w:t>upregulated Nrf2 expression and increased Nrf2 nuclear translocation through reduced DNA methylation levels of the Nrf2 promoter in the N2a cells stably expressing human Swedish mutant amyloid precursor protein (N2a/</w:t>
      </w:r>
      <w:proofErr w:type="spellStart"/>
      <w:r w:rsidR="006A19F9" w:rsidRPr="00CB1C44">
        <w:rPr>
          <w:rFonts w:ascii="Arial" w:hAnsi="Arial" w:cs="Arial"/>
          <w:lang w:val="en-US"/>
        </w:rPr>
        <w:t>APPswe</w:t>
      </w:r>
      <w:proofErr w:type="spellEnd"/>
      <w:r w:rsidR="006A19F9" w:rsidRPr="00CB1C44">
        <w:rPr>
          <w:rFonts w:ascii="Arial" w:hAnsi="Arial" w:cs="Arial"/>
          <w:lang w:val="en-US"/>
        </w:rPr>
        <w:t xml:space="preserve"> cells)</w:t>
      </w:r>
      <w:r w:rsidR="007B379F" w:rsidRPr="00CB1C44">
        <w:rPr>
          <w:rFonts w:ascii="Arial" w:hAnsi="Arial" w:cs="Arial"/>
          <w:lang w:val="en-US"/>
        </w:rPr>
        <w:t xml:space="preserve"> </w:t>
      </w:r>
      <w:r w:rsidR="00CE543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{"citationItems":[{"id":"ITEM-1","itemData":{"DOI":"10.1016/j.ejphar.2018.01.046","ISSN":"00142999","PMID":"29382536","abstract":"Sulforaphane was reported to exert neuroprotective effects via upregulating expression of nuclear factor erythroid 2-related factor 2 (Nrf2) and has received increasing attention as an alternative candidate for treatment of Alzheimer's disease (AD). However, the mechanism to account for Nrf2 upregulation by sulforaphane in AD remains unknown. Herein, we found that sulforaphane upregulated Nrf2 expression and promoted Nrf2 nuclear translocation via decreasing DNA methylation levels of the Nrf2 promoter in mouse neuroblastoma N2a cells stably expressing human Swedish mutant amyloid precursor protein (N2a/APPswe cells), a cellular model of AD. Furthermore, sulforaphane (1.25 and 2.5 μM) decreased the levels of amyloid β 1-40 (Aβ1-40) (21.7% and 33.4% decrease for intracellular Aβ1-40; 22.0% and 30.2% decrease in culture medium), Aβ1-42 (26.4% and 42.9% decrease for intracellular Aβ1-42; 25.8% and 43.8% decrease in culture medium), reactive oxygen species (15.0% and 28.5% decrease), and malondialdehyde (MDA) (34.4% and 39.2% decrease) and increased superoxide dismutase (SOD) (60.0% and 89.3% increase) activity in N2a/APPswe cells. Sulforaphane also decreased the levels of pro-inflammatory cytokines interleukin 1β (IL-1β) (16.5% and 33.6% decrease) and IL-6 (15.6% and 26.1% decrease) and reduced phosphorylated nuclear factor-κB (NF-κB) p65 (19.2% and 32.2% decrease), cyclooxygenase-2 (COX-2) (20.5% and 28.6% decrease), and iNOS protein (40.2% and 54.7% decrease) expression levels in N2a/APPswe cells. Our study suggested that sulforaphane upregulated the expression of Nrf2 and promoted the nuclear translocation of Nrf2 by decreasing DNA demethylation levels of the Nrf2 promoter, thus leading to antioxidative and anti-inflammatory effects in a cellular model of AD.","author":[{"dropping-particle":"","family":"Zhao","given":"Fangfang","non-dropping-particle":"","parse-names":false,"suffix":""},{"dropping-particle":"","family":"Zhang","given":"Jianlei","non-dropping-particle":"","parse-names":false,"suffix":""},{"dropping-particle":"","family":"Chang","given":"Na","non-dropping-particle":"","parse-names":false,"suffix":""}],"container-title":"European Journal of Pharmacology","id":"ITEM-1","issue":"115","issued":{"date-parts":[["2018","4"]]},"page":"1-10","publisher":"Elsevier B.V.","title":"Epigenetic modification of Nrf2 by sulforaphane increases the antioxidative and anti-inflammatory capacity in a cellular model of Alzheimer's disease","type":"article-journal","volume":"824"},"uris":["http://www.mendeley.com/documents/?uuid=f2e50025-68f8-43ad-b519-f967e85b9079"]}],"mendeley":{"formattedCitation":"(Zhao et al., 2018)","plainTextFormattedCitation":"(Zhao et al., 2018)","previouslyFormattedCitation":"(Zhao et al., 2018)"},"properties":{"noteIndex":0},"schema":"https://github.com/citation-style-language/schema/raw/master/csl-citation.json"}</w:instrText>
      </w:r>
      <w:r w:rsidR="00CE5430" w:rsidRPr="00CB1C44">
        <w:rPr>
          <w:rFonts w:ascii="Arial" w:hAnsi="Arial" w:cs="Arial"/>
          <w:lang w:val="en-US"/>
        </w:rPr>
        <w:fldChar w:fldCharType="separate"/>
      </w:r>
      <w:r w:rsidR="00DD645C" w:rsidRPr="00CB1C44">
        <w:rPr>
          <w:rFonts w:ascii="Arial" w:hAnsi="Arial" w:cs="Arial"/>
          <w:noProof/>
          <w:lang w:val="en-US"/>
        </w:rPr>
        <w:t>(Zhao et al., 2018)</w:t>
      </w:r>
      <w:r w:rsidR="00CE5430" w:rsidRPr="00CB1C44">
        <w:rPr>
          <w:rFonts w:ascii="Arial" w:hAnsi="Arial" w:cs="Arial"/>
          <w:lang w:val="en-US"/>
        </w:rPr>
        <w:fldChar w:fldCharType="end"/>
      </w:r>
      <w:r w:rsidR="006A19F9" w:rsidRPr="00CB1C44">
        <w:rPr>
          <w:rFonts w:ascii="Arial" w:hAnsi="Arial" w:cs="Arial"/>
          <w:lang w:val="en-US"/>
        </w:rPr>
        <w:t>.</w:t>
      </w:r>
      <w:r w:rsidR="001E2F55" w:rsidRPr="00CB1C44">
        <w:rPr>
          <w:rFonts w:ascii="Arial" w:hAnsi="Arial" w:cs="Arial"/>
          <w:lang w:val="en-US"/>
        </w:rPr>
        <w:t xml:space="preserve"> </w:t>
      </w:r>
      <w:r w:rsidR="006A19F9" w:rsidRPr="00CB1C44">
        <w:rPr>
          <w:rFonts w:ascii="Arial" w:hAnsi="Arial" w:cs="Arial"/>
          <w:lang w:val="en-US"/>
        </w:rPr>
        <w:t>Sulforaphane decreased the levels of Aβ</w:t>
      </w:r>
      <w:r w:rsidR="006A19F9" w:rsidRPr="00CB1C44">
        <w:rPr>
          <w:rFonts w:ascii="Arial" w:hAnsi="Arial" w:cs="Arial"/>
          <w:vertAlign w:val="subscript"/>
          <w:lang w:val="en-US"/>
        </w:rPr>
        <w:t>1-42</w:t>
      </w:r>
      <w:r w:rsidR="006A19F9" w:rsidRPr="00CB1C44">
        <w:rPr>
          <w:rFonts w:ascii="Arial" w:hAnsi="Arial" w:cs="Arial"/>
          <w:lang w:val="en-US"/>
        </w:rPr>
        <w:t xml:space="preserve"> and ROS formation, and </w:t>
      </w:r>
      <w:r w:rsidR="00E03BCA" w:rsidRPr="00CB1C44">
        <w:rPr>
          <w:rFonts w:ascii="Arial" w:hAnsi="Arial" w:cs="Arial"/>
          <w:lang w:val="en-US"/>
        </w:rPr>
        <w:t xml:space="preserve">reduced pro-inflammatory cytokines expression and p65 activation, resulting in augmented </w:t>
      </w:r>
      <w:r w:rsidR="00416978" w:rsidRPr="00CB1C44">
        <w:rPr>
          <w:rFonts w:ascii="Arial" w:hAnsi="Arial" w:cs="Arial"/>
          <w:lang w:val="en-US"/>
        </w:rPr>
        <w:t xml:space="preserve">NQO1 and HO-1 protein expression levels </w:t>
      </w:r>
      <w:r w:rsidR="007B379F"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{"citationItems":[{"id":"ITEM-1","itemData":{"DOI":"10.1016/j.ejphar.2018.01.046","ISSN":"00142999","PMID":"29382536","abstract":"Sulforaphane was reported to exert neuroprotective effects via upregulating expression of nuclear factor erythroid 2-related factor 2 (Nrf2) and has received increasing attention as an alternative candidate for treatment of Alzheimer's disease (AD). However, the mechanism to account for Nrf2 upregulation by sulforaphane in AD remains unknown. Herein, we found that sulforaphane upregulated Nrf2 expression and promoted Nrf2 nuclear translocation via decreasing DNA methylation levels of the Nrf2 promoter in mouse neuroblastoma N2a cells stably expressing human Swedish mutant amyloid precursor protein (N2a/APPswe cells), a cellular model of AD. Furthermore, sulforaphane (1.25 and 2.5 μM) decreased the levels of amyloid β 1-40 (Aβ1-40) (21.7% and 33.4% decrease for intracellular Aβ1-40; 22.0% and 30.2% decrease in culture medium), Aβ1-42 (26.4% and 42.9% decrease for intracellular Aβ1-42; 25.8% and 43.8% decrease in culture medium), reactive oxygen species (15.0% and 28.5% decrease), and malondialdehyde (MDA) (34.4% and 39.2% decrease) and increased superoxide dismutase (SOD) (60.0% and 89.3% increase) activity in N2a/APPswe cells. Sulforaphane also decreased the levels of pro-inflammatory cytokines interleukin 1β (IL-1β) (16.5% and 33.6% decrease) and IL-6 (15.6% and 26.1% decrease) and reduced phosphorylated nuclear factor-κB (NF-κB) p65 (19.2% and 32.2% decrease), cyclooxygenase-2 (COX-2) (20.5% and 28.6% decrease), and iNOS protein (40.2% and 54.7% decrease) expression levels in N2a/APPswe cells. Our study suggested that sulforaphane upregulated the expression of Nrf2 and promoted the nuclear translocation of Nrf2 by decreasing DNA demethylation levels of the Nrf2 promoter, thus leading to antioxidative and anti-inflammatory effects in a cellular model of AD.","author":[{"dropping-particle":"","family":"Zhao","given":"Fangfang","non-dropping-particle":"","parse-names":false,"suffix":""},{"dropping-particle":"","family":"Zhang","given":"Jianlei","non-dropping-particle":"","parse-names":false,"suffix":""},{"dropping-particle":"","family":"Chang","given":"Na","non-dropping-particle":"","parse-names":false,"suffix":""}],"container-title":"European Journal of Pharmacology","id":"ITEM-1","issue":"115","issued":{"date-parts":[["2018","4"]]},"page":"1-10","publisher":"Elsevier B.V.","title":"Epigenetic modification of Nrf2 by sulforaphane increases the antioxidative and anti-inflammatory capacity in a cellular model of Alzheimer's disease","type":"article-journal","volume":"824"},"uris":["http://www.mendeley.com/documents/?uuid=f2e50025-68f8-43ad-b519-f967e85b9079"]}],"mendeley":{"formattedCitation":"(Zhao et al., 2018)","plainTextFormattedCitation":"(Zhao et al., 2018)","previouslyFormattedCitation":"(Zhao et al., 2018)"},"properties":{"noteIndex":0},"schema":"https://github.com/citation-style-language/schema/raw/master/csl-citation.json"}</w:instrText>
      </w:r>
      <w:r w:rsidR="007B379F" w:rsidRPr="00CB1C44">
        <w:rPr>
          <w:rFonts w:ascii="Arial" w:hAnsi="Arial" w:cs="Arial"/>
          <w:lang w:val="en-US"/>
        </w:rPr>
        <w:fldChar w:fldCharType="separate"/>
      </w:r>
      <w:r w:rsidR="00DD645C" w:rsidRPr="00CB1C44">
        <w:rPr>
          <w:rFonts w:ascii="Arial" w:hAnsi="Arial" w:cs="Arial"/>
          <w:noProof/>
          <w:lang w:val="en-US"/>
        </w:rPr>
        <w:t>(Zhao et al., 2018)</w:t>
      </w:r>
      <w:r w:rsidR="007B379F" w:rsidRPr="00CB1C44">
        <w:rPr>
          <w:rFonts w:ascii="Arial" w:hAnsi="Arial" w:cs="Arial"/>
          <w:lang w:val="en-US"/>
        </w:rPr>
        <w:fldChar w:fldCharType="end"/>
      </w:r>
      <w:r w:rsidR="00416978" w:rsidRPr="00CB1C44">
        <w:rPr>
          <w:rFonts w:ascii="Arial" w:hAnsi="Arial" w:cs="Arial"/>
          <w:lang w:val="en-US"/>
        </w:rPr>
        <w:t xml:space="preserve">. </w:t>
      </w:r>
      <w:r w:rsidR="007C1F6A" w:rsidRPr="00CB1C44">
        <w:rPr>
          <w:rFonts w:ascii="Arial" w:hAnsi="Arial" w:cs="Arial"/>
          <w:lang w:val="en-US"/>
        </w:rPr>
        <w:t xml:space="preserve">Additionally, </w:t>
      </w:r>
      <w:r w:rsidR="0071421F" w:rsidRPr="00CB1C44">
        <w:rPr>
          <w:rFonts w:ascii="Arial" w:hAnsi="Arial" w:cs="Arial"/>
          <w:lang w:val="en-US"/>
        </w:rPr>
        <w:t xml:space="preserve">Hong and colleagues </w:t>
      </w:r>
      <w:r w:rsidR="00A72B66" w:rsidRPr="00CB1C44">
        <w:rPr>
          <w:rFonts w:ascii="Arial" w:hAnsi="Arial" w:cs="Arial"/>
          <w:lang w:val="en-US"/>
        </w:rPr>
        <w:t>studied the effect</w:t>
      </w:r>
      <w:r w:rsidR="00F33C40" w:rsidRPr="00CB1C44">
        <w:rPr>
          <w:rFonts w:ascii="Arial" w:hAnsi="Arial" w:cs="Arial"/>
          <w:lang w:val="en-US"/>
        </w:rPr>
        <w:t xml:space="preserve"> </w:t>
      </w:r>
      <w:r w:rsidR="00A72B66" w:rsidRPr="00CB1C44">
        <w:rPr>
          <w:rFonts w:ascii="Arial" w:hAnsi="Arial" w:cs="Arial"/>
          <w:lang w:val="en-US"/>
        </w:rPr>
        <w:t>of</w:t>
      </w:r>
      <w:r w:rsidR="00F33C40" w:rsidRPr="00CB1C44">
        <w:rPr>
          <w:rFonts w:ascii="Arial" w:hAnsi="Arial" w:cs="Arial"/>
          <w:lang w:val="en-US"/>
        </w:rPr>
        <w:t xml:space="preserve"> </w:t>
      </w:r>
      <w:r w:rsidR="00A72B66" w:rsidRPr="00CB1C44">
        <w:rPr>
          <w:rFonts w:ascii="Arial" w:hAnsi="Arial" w:cs="Arial"/>
          <w:lang w:val="en-US"/>
        </w:rPr>
        <w:t>hesperidin</w:t>
      </w:r>
      <w:r w:rsidR="006D5072" w:rsidRPr="00CB1C44">
        <w:rPr>
          <w:rFonts w:ascii="Arial" w:hAnsi="Arial" w:cs="Arial"/>
          <w:lang w:val="en-US"/>
        </w:rPr>
        <w:t xml:space="preserve"> (HP)</w:t>
      </w:r>
      <w:r w:rsidR="00A72B66" w:rsidRPr="00CB1C44">
        <w:rPr>
          <w:rFonts w:ascii="Arial" w:hAnsi="Arial" w:cs="Arial"/>
          <w:lang w:val="en-US"/>
        </w:rPr>
        <w:t>, an</w:t>
      </w:r>
      <w:r w:rsidR="006D5072" w:rsidRPr="00CB1C44">
        <w:rPr>
          <w:rFonts w:ascii="Arial" w:hAnsi="Arial" w:cs="Arial"/>
          <w:lang w:val="en-US"/>
        </w:rPr>
        <w:t xml:space="preserve"> antioxidant present in citrus,</w:t>
      </w:r>
      <w:r w:rsidR="00F33C40" w:rsidRPr="00CB1C44">
        <w:rPr>
          <w:rFonts w:ascii="Arial" w:hAnsi="Arial" w:cs="Arial"/>
          <w:lang w:val="en-US"/>
        </w:rPr>
        <w:t xml:space="preserve"> </w:t>
      </w:r>
      <w:r w:rsidR="00A72B66" w:rsidRPr="00CB1C44">
        <w:rPr>
          <w:rFonts w:ascii="Arial" w:hAnsi="Arial" w:cs="Arial"/>
          <w:lang w:val="en-US"/>
        </w:rPr>
        <w:t>in APP/PS1 mice</w:t>
      </w:r>
      <w:r w:rsidR="002A5E88" w:rsidRPr="00CB1C44">
        <w:rPr>
          <w:rFonts w:ascii="Arial" w:hAnsi="Arial" w:cs="Arial"/>
          <w:lang w:val="en-US"/>
        </w:rPr>
        <w:t xml:space="preserve"> </w:t>
      </w:r>
      <w:r w:rsidR="002A5E8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{"citationItems":[{"id":"ITEM-1","itemData":{"DOI":"10.1007/s12272-015-0662-z","ISSN":"0253-6269","PMID":"26391026","abstract":"Numerous studies have demonstrated that oxidative stress and inflammation play a pivotal role in the pathophysiology of Alzheimer disease (AD). Hesperidin (HP) has various pharmacological effects including anti-oxidative, anti-inflammatory and neuroprotective properties. In this study, APP/PS1 mice were used to evaluate the neuroprotective effects of HP. We reported that intragastric administration of HP (40 mg/kg) for 90 days significantly attenuated cognitive impairment in APP/PS1 mice. HP treatment suppressed oxidative stress by reducing the levels of ROS, LPO, protein carbonyl and 8-OHdG and increasing the activity of HO-1, SOD, catalase, and GSH-Px. HP treatment also inhibited inflammation by decreasing the levels of TNF-α, C-reactive protein and MCP-1 and reducing the activity of NF-κB. Moreover, HP could reverse the decreased phosphorylation of Akt, the decreased phosphorylation of GSK-3β, the lessened Nrf2 and the reduced expression of HO-1. HP could also inhibit the increased the RAGE expression, the enhanced phosphorylation of IκBα, and the augmented nuclear translocation of NF-κB/p65 in cortex of APP/PS1 mice. Taken together, HP suppresses oxidative stress and inflammation via activation of Akt/Nrf2 signaling and inhibition of RAGE/NF-κB signaling and further confers neuroprotection.","author":[{"dropping-particle":"","family":"Hong","given":"Yan","non-dropping-particle":"","parse-names":false,"suffix":""},{"dropping-particle":"","family":"An","given":"Zhongping","non-dropping-particle":"","parse-names":false,"suffix":""}],"container-title":"Archives of pharmacal research","id":"ITEM-1","issue":"122","issued":{"date-parts":[["2015","9","21"]]},"publisher":"Pharmaceutical Society of Korea","title":"Hesperidin attenuates learning and memory deficits in APP/PS1 mice through activation of Akt/Nrf2 signaling and inhibition of RAGE/NF-κB signaling.","type":"article-journal"},"uris":["http://www.mendeley.com/documents/?uuid=548ff525-e19a-4013-91a0-d3c6394af8f9"]}],"mendeley":{"formattedCitation":"(Hong and An, 2015)","plainTextFormattedCitation":"(Hong and An, 2015)","previouslyFormattedCitation":"(Hong and An, 2015)"},"properties":{"noteIndex":0},"schema":"https://github.com/citation-style-language/schema/raw/master/csl-citation.json"}</w:instrText>
      </w:r>
      <w:r w:rsidR="002A5E88" w:rsidRPr="00CB1C44">
        <w:rPr>
          <w:rFonts w:ascii="Arial" w:hAnsi="Arial" w:cs="Arial"/>
          <w:lang w:val="en-US"/>
        </w:rPr>
        <w:fldChar w:fldCharType="separate"/>
      </w:r>
      <w:r w:rsidR="00DD645C" w:rsidRPr="00CB1C44">
        <w:rPr>
          <w:rFonts w:ascii="Arial" w:hAnsi="Arial" w:cs="Arial"/>
          <w:noProof/>
          <w:lang w:val="en-US"/>
        </w:rPr>
        <w:t>(Hong and An, 2015)</w:t>
      </w:r>
      <w:r w:rsidR="002A5E88" w:rsidRPr="00CB1C44">
        <w:rPr>
          <w:rFonts w:ascii="Arial" w:hAnsi="Arial" w:cs="Arial"/>
          <w:lang w:val="en-US"/>
        </w:rPr>
        <w:fldChar w:fldCharType="end"/>
      </w:r>
      <w:r w:rsidR="00A72B66" w:rsidRPr="00CB1C44">
        <w:rPr>
          <w:rFonts w:ascii="Arial" w:hAnsi="Arial" w:cs="Arial"/>
          <w:lang w:val="en-US"/>
        </w:rPr>
        <w:t>. Interestingly</w:t>
      </w:r>
      <w:r w:rsidR="006D5072" w:rsidRPr="00CB1C44">
        <w:rPr>
          <w:rFonts w:ascii="Arial" w:hAnsi="Arial" w:cs="Arial"/>
          <w:lang w:val="en-US"/>
        </w:rPr>
        <w:t>,</w:t>
      </w:r>
      <w:r w:rsidR="00A72B66" w:rsidRPr="00CB1C44">
        <w:rPr>
          <w:rFonts w:ascii="Arial" w:hAnsi="Arial" w:cs="Arial"/>
          <w:lang w:val="en-US"/>
        </w:rPr>
        <w:t xml:space="preserve"> </w:t>
      </w:r>
      <w:r w:rsidR="006D5072" w:rsidRPr="00CB1C44">
        <w:rPr>
          <w:rFonts w:ascii="Arial" w:hAnsi="Arial" w:cs="Arial"/>
          <w:lang w:val="en-US"/>
        </w:rPr>
        <w:t>HP reduced activity of NF-</w:t>
      </w:r>
      <w:proofErr w:type="spellStart"/>
      <w:r w:rsidR="006D5072" w:rsidRPr="00CB1C44">
        <w:rPr>
          <w:rFonts w:ascii="Arial" w:hAnsi="Arial" w:cs="Arial"/>
          <w:lang w:val="en-US"/>
        </w:rPr>
        <w:t>κB</w:t>
      </w:r>
      <w:proofErr w:type="spellEnd"/>
      <w:r w:rsidR="006D5072" w:rsidRPr="00CB1C44">
        <w:rPr>
          <w:rFonts w:ascii="Arial" w:hAnsi="Arial" w:cs="Arial"/>
          <w:lang w:val="en-US"/>
        </w:rPr>
        <w:t xml:space="preserve"> and enhanced the expression of Nrf2 related proteins, such as HO-1, catalase, and GSH-Px, whereas cognitive impairment w</w:t>
      </w:r>
      <w:r w:rsidR="00017A19" w:rsidRPr="00CB1C44">
        <w:rPr>
          <w:rFonts w:ascii="Arial" w:hAnsi="Arial" w:cs="Arial"/>
          <w:lang w:val="en-US"/>
        </w:rPr>
        <w:t>as</w:t>
      </w:r>
      <w:r w:rsidR="006D5072" w:rsidRPr="00CB1C44">
        <w:rPr>
          <w:rFonts w:ascii="Arial" w:hAnsi="Arial" w:cs="Arial"/>
          <w:lang w:val="en-US"/>
        </w:rPr>
        <w:t xml:space="preserve"> attenuated</w:t>
      </w:r>
      <w:r w:rsidR="005776BF"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{"citationItems":[{"id":"ITEM-1","itemData":{"DOI":"10.1007/s12272-015-0662-z","ISSN":"0253-6269","PMID":"26391026","abstract":"Numerous studies have demonstrated that oxidative stress and inflammation play a pivotal role in the pathophysiology of Alzheimer disease (AD). Hesperidin (HP) has various pharmacological effects including anti-oxidative, anti-inflammatory and neuroprotective properties. In this study, APP/PS1 mice were used to evaluate the neuroprotective effects of HP. We reported that intragastric administration of HP (40 mg/kg) for 90 days significantly attenuated cognitive impairment in APP/PS1 mice. HP treatment suppressed oxidative stress by reducing the levels of ROS, LPO, protein carbonyl and 8-OHdG and increasing the activity of HO-1, SOD, catalase, and GSH-Px. HP treatment also inhibited inflammation by decreasing the levels of TNF-α, C-reactive protein and MCP-1 and reducing the activity of NF-κB. Moreover, HP could reverse the decreased phosphorylation of Akt, the decreased phosphorylation of GSK-3β, the lessened Nrf2 and the reduced expression of HO-1. HP could also inhibit the increased the RAGE expression, the enhanced phosphorylation of IκBα, and the augmented nuclear translocation of NF-κB/p65 in cortex of APP/PS1 mice. Taken together, HP suppresses oxidative stress and inflammation via activation of Akt/Nrf2 signaling and inhibition of RAGE/NF-κB signaling and further confers neuroprotection.","author":[{"dropping-particle":"","family":"Hong","given":"Yan","non-dropping-particle":"","parse-names":false,"suffix":""},{"dropping-particle":"","family":"An","given":"Zhongping","non-dropping-particle":"","parse-names":false,"suffix":""}],"container-title":"Archives of pharmacal research","id":"ITEM-1","issue":"122","issued":{"date-parts":[["2015","9","21"]]},"publisher":"Pharmaceutical Society of Korea","title":"Hesperidin attenuates learning and memory deficits in APP/PS1 mice through activation of Akt/Nrf2 signaling and inhibition of RAGE/NF-κB signaling.","type":"article-journal"},"uris":["http://www.mendeley.com/documents/?uuid=548ff525-e19a-4013-91a0-d3c6394af8f9"]}],"mendeley":{"formattedCitation":"(Hong and An, 2015)","plainTextFormattedCitation":"(Hong and An, 2015)","previouslyFormattedCitation":"(Hong and An,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(Hong and An, 2015)</w:t>
      </w:r>
      <w:r w:rsidR="00844011" w:rsidRPr="00CB1C44">
        <w:rPr>
          <w:rFonts w:ascii="Arial" w:hAnsi="Arial" w:cs="Arial"/>
          <w:lang w:val="en-US"/>
        </w:rPr>
        <w:fldChar w:fldCharType="end"/>
      </w:r>
      <w:r w:rsidR="006D5072" w:rsidRPr="00CB1C44">
        <w:rPr>
          <w:rFonts w:ascii="Arial" w:hAnsi="Arial" w:cs="Arial"/>
          <w:lang w:val="en-US"/>
        </w:rPr>
        <w:t>, suggesting that NF-</w:t>
      </w:r>
      <w:proofErr w:type="spellStart"/>
      <w:r w:rsidR="006D5072" w:rsidRPr="00CB1C44">
        <w:rPr>
          <w:rFonts w:ascii="Arial" w:hAnsi="Arial" w:cs="Arial"/>
          <w:lang w:val="en-US"/>
        </w:rPr>
        <w:t>κB</w:t>
      </w:r>
      <w:proofErr w:type="spellEnd"/>
      <w:r w:rsidR="006D5072" w:rsidRPr="00CB1C44">
        <w:rPr>
          <w:rFonts w:ascii="Arial" w:hAnsi="Arial" w:cs="Arial"/>
          <w:lang w:val="en-US"/>
        </w:rPr>
        <w:t xml:space="preserve"> signaling inhibition confers neuroprotection in AD</w:t>
      </w:r>
      <w:r w:rsidR="00F33C40" w:rsidRPr="00CB1C44">
        <w:rPr>
          <w:rFonts w:ascii="Arial" w:hAnsi="Arial" w:cs="Arial"/>
          <w:lang w:val="en-US"/>
        </w:rPr>
        <w:t>.</w:t>
      </w:r>
      <w:r w:rsidR="00AA46EF" w:rsidRPr="00CB1C44">
        <w:rPr>
          <w:rFonts w:ascii="Arial" w:hAnsi="Arial" w:cs="Arial"/>
          <w:lang w:val="en-US"/>
        </w:rPr>
        <w:t xml:space="preserve"> </w:t>
      </w:r>
    </w:p>
    <w:p w14:paraId="750E743A" w14:textId="38BCF885" w:rsidR="00630CF3" w:rsidRPr="00CB1C44" w:rsidRDefault="005E095A" w:rsidP="004038B5">
      <w:pPr>
        <w:spacing w:after="0" w:line="360" w:lineRule="auto"/>
        <w:jc w:val="both"/>
        <w:rPr>
          <w:rFonts w:ascii="Arial" w:hAnsi="Arial" w:cs="Arial"/>
          <w:lang w:val="en-US"/>
        </w:rPr>
      </w:pPr>
      <w:r w:rsidRPr="00CB1C44">
        <w:rPr>
          <w:rFonts w:ascii="Arial" w:hAnsi="Arial" w:cs="Arial"/>
          <w:lang w:val="en-US"/>
        </w:rPr>
        <w:t>Regarding the proteins and pathways</w:t>
      </w:r>
      <w:r w:rsidR="000E7B9C" w:rsidRPr="00CB1C44">
        <w:rPr>
          <w:rFonts w:ascii="Arial" w:hAnsi="Arial" w:cs="Arial"/>
          <w:lang w:val="en-US"/>
        </w:rPr>
        <w:t xml:space="preserve"> referred above</w:t>
      </w:r>
      <w:r w:rsidRPr="00CB1C44">
        <w:rPr>
          <w:rFonts w:ascii="Arial" w:hAnsi="Arial" w:cs="Arial"/>
          <w:lang w:val="en-US"/>
        </w:rPr>
        <w:t>, which positively regulate Nrf2 activity, the PI3K/</w:t>
      </w:r>
      <w:proofErr w:type="spellStart"/>
      <w:r w:rsidR="0026569F" w:rsidRPr="00CB1C44">
        <w:rPr>
          <w:rFonts w:ascii="Arial" w:hAnsi="Arial" w:cs="Arial"/>
          <w:lang w:val="en-US"/>
        </w:rPr>
        <w:t>Akt</w:t>
      </w:r>
      <w:proofErr w:type="spellEnd"/>
      <w:r w:rsidRPr="00CB1C44">
        <w:rPr>
          <w:rFonts w:ascii="Arial" w:hAnsi="Arial" w:cs="Arial"/>
          <w:lang w:val="en-US"/>
        </w:rPr>
        <w:t xml:space="preserve">/GSK-3β pathway appears </w:t>
      </w:r>
      <w:r w:rsidR="001E4D21" w:rsidRPr="00CB1C44">
        <w:rPr>
          <w:rFonts w:ascii="Arial" w:hAnsi="Arial" w:cs="Arial"/>
          <w:lang w:val="en-US"/>
        </w:rPr>
        <w:t xml:space="preserve">to be </w:t>
      </w:r>
      <w:r w:rsidRPr="00CB1C44">
        <w:rPr>
          <w:rFonts w:ascii="Arial" w:hAnsi="Arial" w:cs="Arial"/>
          <w:lang w:val="en-US"/>
        </w:rPr>
        <w:t>the most studied</w:t>
      </w:r>
      <w:r w:rsidR="006D413C" w:rsidRPr="00CB1C44">
        <w:rPr>
          <w:rFonts w:ascii="Arial" w:hAnsi="Arial" w:cs="Arial"/>
          <w:lang w:val="en-US"/>
        </w:rPr>
        <w:t xml:space="preserve"> (Table 1)</w:t>
      </w:r>
      <w:r w:rsidR="001E4D21" w:rsidRPr="00CB1C44">
        <w:rPr>
          <w:rFonts w:ascii="Arial" w:hAnsi="Arial" w:cs="Arial"/>
          <w:lang w:val="en-US"/>
        </w:rPr>
        <w:t>. S</w:t>
      </w:r>
      <w:r w:rsidR="00F82CF7" w:rsidRPr="00CB1C44">
        <w:rPr>
          <w:rFonts w:ascii="Arial" w:hAnsi="Arial" w:cs="Arial"/>
          <w:lang w:val="en-US"/>
        </w:rPr>
        <w:t>ince all GSK-3β</w:t>
      </w:r>
      <w:r w:rsidR="0020277D" w:rsidRPr="00CB1C44">
        <w:rPr>
          <w:rFonts w:ascii="Arial" w:hAnsi="Arial" w:cs="Arial"/>
          <w:lang w:val="en-US"/>
        </w:rPr>
        <w:t>-inhibitors and</w:t>
      </w:r>
      <w:r w:rsidR="00F82CF7" w:rsidRPr="00CB1C44">
        <w:rPr>
          <w:rFonts w:ascii="Arial" w:hAnsi="Arial" w:cs="Arial"/>
          <w:lang w:val="en-US"/>
        </w:rPr>
        <w:t xml:space="preserve"> PI3K/</w:t>
      </w:r>
      <w:proofErr w:type="spellStart"/>
      <w:r w:rsidR="0026569F" w:rsidRPr="00CB1C44">
        <w:rPr>
          <w:rFonts w:ascii="Arial" w:hAnsi="Arial" w:cs="Arial"/>
          <w:lang w:val="en-US"/>
        </w:rPr>
        <w:t>Akt</w:t>
      </w:r>
      <w:proofErr w:type="spellEnd"/>
      <w:r w:rsidR="00F82CF7" w:rsidRPr="00CB1C44">
        <w:rPr>
          <w:rFonts w:ascii="Arial" w:hAnsi="Arial" w:cs="Arial"/>
          <w:lang w:val="en-US"/>
        </w:rPr>
        <w:t>-activators compounds were very encouraging</w:t>
      </w:r>
      <w:r w:rsidR="00725998" w:rsidRPr="00CB1C44">
        <w:rPr>
          <w:rFonts w:ascii="Arial" w:hAnsi="Arial" w:cs="Arial"/>
          <w:lang w:val="en-US"/>
        </w:rPr>
        <w:t xml:space="preserve"> in</w:t>
      </w:r>
      <w:r w:rsidR="00673779" w:rsidRPr="00CB1C44">
        <w:rPr>
          <w:rFonts w:ascii="Arial" w:hAnsi="Arial" w:cs="Arial"/>
          <w:lang w:val="en-US"/>
        </w:rPr>
        <w:t xml:space="preserve"> alleviating</w:t>
      </w:r>
      <w:r w:rsidR="00725998" w:rsidRPr="00CB1C44">
        <w:rPr>
          <w:rFonts w:ascii="Arial" w:hAnsi="Arial" w:cs="Arial"/>
          <w:lang w:val="en-US"/>
        </w:rPr>
        <w:t xml:space="preserve"> AD</w:t>
      </w:r>
      <w:r w:rsidR="001808A5" w:rsidRPr="00CB1C44">
        <w:rPr>
          <w:rFonts w:ascii="Arial" w:hAnsi="Arial" w:cs="Arial"/>
          <w:lang w:val="en-US"/>
        </w:rPr>
        <w:t xml:space="preserve"> features, enhancing Nrf2 activity</w:t>
      </w:r>
      <w:r w:rsidR="001E4D21" w:rsidRPr="00CB1C44">
        <w:rPr>
          <w:rFonts w:ascii="Arial" w:hAnsi="Arial" w:cs="Arial"/>
          <w:lang w:val="en-US"/>
        </w:rPr>
        <w:t xml:space="preserve"> through</w:t>
      </w:r>
      <w:r w:rsidR="001808A5" w:rsidRPr="00CB1C44">
        <w:rPr>
          <w:rFonts w:ascii="Arial" w:hAnsi="Arial" w:cs="Arial"/>
          <w:lang w:val="en-US"/>
        </w:rPr>
        <w:t xml:space="preserve"> </w:t>
      </w:r>
      <w:r w:rsidR="0020277D" w:rsidRPr="00CB1C44">
        <w:rPr>
          <w:rFonts w:ascii="Arial" w:hAnsi="Arial" w:cs="Arial"/>
          <w:lang w:val="en-US"/>
        </w:rPr>
        <w:t>this pathway</w:t>
      </w:r>
      <w:r w:rsidR="001E4D21" w:rsidRPr="00CB1C44">
        <w:rPr>
          <w:rFonts w:ascii="Arial" w:hAnsi="Arial" w:cs="Arial"/>
          <w:lang w:val="en-US"/>
        </w:rPr>
        <w:t xml:space="preserve"> regulation</w:t>
      </w:r>
      <w:r w:rsidR="0020277D" w:rsidRPr="00CB1C44">
        <w:rPr>
          <w:rFonts w:ascii="Arial" w:hAnsi="Arial" w:cs="Arial"/>
          <w:lang w:val="en-US"/>
        </w:rPr>
        <w:t xml:space="preserve"> should be seriously considered</w:t>
      </w:r>
      <w:r w:rsidR="00040303" w:rsidRPr="00CB1C44">
        <w:rPr>
          <w:rFonts w:ascii="Arial" w:hAnsi="Arial" w:cs="Arial"/>
          <w:lang w:val="en-US"/>
        </w:rPr>
        <w:t xml:space="preserve">. </w:t>
      </w:r>
      <w:r w:rsidR="00B927F2" w:rsidRPr="00CB1C44">
        <w:rPr>
          <w:rFonts w:ascii="Arial" w:hAnsi="Arial" w:cs="Arial"/>
          <w:lang w:val="en-US"/>
        </w:rPr>
        <w:t xml:space="preserve">Although </w:t>
      </w:r>
      <w:r w:rsidR="00442575" w:rsidRPr="00CB1C44">
        <w:rPr>
          <w:rFonts w:ascii="Arial" w:hAnsi="Arial" w:cs="Arial"/>
          <w:lang w:val="en-US"/>
        </w:rPr>
        <w:t>studies using PKC activators revealed to be promising, t</w:t>
      </w:r>
      <w:r w:rsidR="00A733E9" w:rsidRPr="00CB1C44">
        <w:rPr>
          <w:rFonts w:ascii="Arial" w:hAnsi="Arial" w:cs="Arial"/>
          <w:lang w:val="en-US"/>
        </w:rPr>
        <w:t xml:space="preserve">here is a lack of knowledge regarding the real impact of these treatments in Nrf2 pathway. </w:t>
      </w:r>
      <w:r w:rsidR="00B927F2" w:rsidRPr="00CB1C44">
        <w:rPr>
          <w:rFonts w:ascii="Arial" w:hAnsi="Arial" w:cs="Arial"/>
          <w:lang w:val="en-US"/>
        </w:rPr>
        <w:t>On</w:t>
      </w:r>
      <w:r w:rsidR="00D237C2" w:rsidRPr="00CB1C44">
        <w:rPr>
          <w:rFonts w:ascii="Arial" w:hAnsi="Arial" w:cs="Arial"/>
          <w:lang w:val="en-US"/>
        </w:rPr>
        <w:t xml:space="preserve"> the</w:t>
      </w:r>
      <w:r w:rsidR="00B927F2" w:rsidRPr="00CB1C44">
        <w:rPr>
          <w:rFonts w:ascii="Arial" w:hAnsi="Arial" w:cs="Arial"/>
          <w:lang w:val="en-US"/>
        </w:rPr>
        <w:t xml:space="preserve"> other hand,</w:t>
      </w:r>
      <w:r w:rsidR="00673779" w:rsidRPr="00CB1C44">
        <w:rPr>
          <w:rFonts w:ascii="Arial" w:hAnsi="Arial" w:cs="Arial"/>
          <w:lang w:val="en-US"/>
        </w:rPr>
        <w:t xml:space="preserve"> inhibition of</w:t>
      </w:r>
      <w:r w:rsidR="00B927F2" w:rsidRPr="00CB1C44">
        <w:rPr>
          <w:rFonts w:ascii="Arial" w:hAnsi="Arial" w:cs="Arial"/>
          <w:lang w:val="en-US"/>
        </w:rPr>
        <w:t xml:space="preserve"> </w:t>
      </w:r>
      <w:r w:rsidR="00A733E9" w:rsidRPr="00CB1C44">
        <w:rPr>
          <w:rFonts w:ascii="Arial" w:hAnsi="Arial" w:cs="Arial"/>
          <w:lang w:val="en-US"/>
        </w:rPr>
        <w:t>p38 MAPK and NF-</w:t>
      </w:r>
      <w:proofErr w:type="spellStart"/>
      <w:r w:rsidR="00A733E9" w:rsidRPr="00CB1C44">
        <w:rPr>
          <w:rFonts w:ascii="Arial" w:hAnsi="Arial" w:cs="Arial"/>
          <w:lang w:val="en-US"/>
        </w:rPr>
        <w:t>κB</w:t>
      </w:r>
      <w:proofErr w:type="spellEnd"/>
      <w:r w:rsidR="007B119E" w:rsidRPr="00CB1C44">
        <w:rPr>
          <w:rFonts w:ascii="Arial" w:hAnsi="Arial" w:cs="Arial"/>
          <w:lang w:val="en-US"/>
        </w:rPr>
        <w:t xml:space="preserve"> pathways, which </w:t>
      </w:r>
      <w:r w:rsidR="00B176FB" w:rsidRPr="00CB1C44">
        <w:rPr>
          <w:rFonts w:ascii="Arial" w:hAnsi="Arial" w:cs="Arial"/>
          <w:lang w:val="en-US"/>
        </w:rPr>
        <w:t>result in augmented</w:t>
      </w:r>
      <w:r w:rsidR="007B119E" w:rsidRPr="00CB1C44">
        <w:rPr>
          <w:rFonts w:ascii="Arial" w:hAnsi="Arial" w:cs="Arial"/>
          <w:lang w:val="en-US"/>
        </w:rPr>
        <w:t xml:space="preserve"> Nrf2 activation, </w:t>
      </w:r>
      <w:r w:rsidR="000B500B" w:rsidRPr="00CB1C44">
        <w:rPr>
          <w:rFonts w:ascii="Arial" w:hAnsi="Arial" w:cs="Arial"/>
          <w:lang w:val="en-US"/>
        </w:rPr>
        <w:t xml:space="preserve">also </w:t>
      </w:r>
      <w:r w:rsidR="007B119E" w:rsidRPr="00CB1C44">
        <w:rPr>
          <w:rFonts w:ascii="Arial" w:hAnsi="Arial" w:cs="Arial"/>
          <w:lang w:val="en-US"/>
        </w:rPr>
        <w:t xml:space="preserve">appear as </w:t>
      </w:r>
      <w:r w:rsidR="000B500B" w:rsidRPr="00CB1C44">
        <w:rPr>
          <w:rFonts w:ascii="Arial" w:hAnsi="Arial" w:cs="Arial"/>
          <w:lang w:val="en-US"/>
        </w:rPr>
        <w:t xml:space="preserve">promising </w:t>
      </w:r>
      <w:r w:rsidR="007B119E" w:rsidRPr="00CB1C44">
        <w:rPr>
          <w:rFonts w:ascii="Arial" w:hAnsi="Arial" w:cs="Arial"/>
          <w:lang w:val="en-US"/>
        </w:rPr>
        <w:t>targets for AD treatment</w:t>
      </w:r>
      <w:r w:rsidR="00B176FB" w:rsidRPr="00CB1C44">
        <w:rPr>
          <w:rFonts w:ascii="Arial" w:hAnsi="Arial" w:cs="Arial"/>
          <w:lang w:val="en-US"/>
        </w:rPr>
        <w:t>.</w:t>
      </w:r>
    </w:p>
    <w:p w14:paraId="60EF2C18" w14:textId="529DEE82" w:rsidR="001E5B97" w:rsidRPr="00CB1C44" w:rsidRDefault="00FC4D96" w:rsidP="001E5B97">
      <w:pPr>
        <w:spacing w:after="0" w:line="360" w:lineRule="auto"/>
        <w:jc w:val="center"/>
        <w:rPr>
          <w:rFonts w:ascii="Arial" w:hAnsi="Arial" w:cs="Arial"/>
          <w:lang w:val="en-US"/>
        </w:rPr>
      </w:pPr>
      <w:r w:rsidRPr="00CB1C44">
        <w:rPr>
          <w:rFonts w:ascii="Arial" w:hAnsi="Arial" w:cs="Arial"/>
          <w:noProof/>
          <w:lang w:eastAsia="pt-PT"/>
        </w:rPr>
        <w:lastRenderedPageBreak/>
        <w:drawing>
          <wp:inline distT="0" distB="0" distL="0" distR="0" wp14:anchorId="0FD3D602" wp14:editId="2277E09A">
            <wp:extent cx="5167423" cy="4391247"/>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o_Figure4.tiff"/>
                    <pic:cNvPicPr/>
                  </pic:nvPicPr>
                  <pic:blipFill rotWithShape="1">
                    <a:blip r:embed="rId11" cstate="print">
                      <a:extLst>
                        <a:ext uri="{28A0092B-C50C-407E-A947-70E740481C1C}">
                          <a14:useLocalDpi xmlns:a14="http://schemas.microsoft.com/office/drawing/2010/main" val="0"/>
                        </a:ext>
                      </a:extLst>
                    </a:blip>
                    <a:srcRect r="3952" b="8222"/>
                    <a:stretch/>
                  </pic:blipFill>
                  <pic:spPr bwMode="auto">
                    <a:xfrm>
                      <a:off x="0" y="0"/>
                      <a:ext cx="5167423" cy="4391247"/>
                    </a:xfrm>
                    <a:prstGeom prst="rect">
                      <a:avLst/>
                    </a:prstGeom>
                    <a:ln>
                      <a:noFill/>
                    </a:ln>
                    <a:extLst>
                      <a:ext uri="{53640926-AAD7-44D8-BBD7-CCE9431645EC}">
                        <a14:shadowObscured xmlns:a14="http://schemas.microsoft.com/office/drawing/2010/main"/>
                      </a:ext>
                    </a:extLst>
                  </pic:spPr>
                </pic:pic>
              </a:graphicData>
            </a:graphic>
          </wp:inline>
        </w:drawing>
      </w:r>
    </w:p>
    <w:p w14:paraId="2E0E3C6C" w14:textId="0BDFE88F" w:rsidR="002B22B8" w:rsidRPr="00CB1C44" w:rsidRDefault="00C670E7" w:rsidP="006E761F">
      <w:pPr>
        <w:spacing w:after="0"/>
        <w:jc w:val="both"/>
        <w:rPr>
          <w:rFonts w:ascii="Arial" w:hAnsi="Arial" w:cs="Arial"/>
          <w:sz w:val="20"/>
          <w:szCs w:val="20"/>
          <w:lang w:val="en-US"/>
        </w:rPr>
      </w:pPr>
      <w:r w:rsidRPr="00CB1C44">
        <w:rPr>
          <w:rFonts w:ascii="Arial" w:hAnsi="Arial" w:cs="Arial"/>
          <w:b/>
          <w:sz w:val="20"/>
          <w:szCs w:val="20"/>
          <w:lang w:val="en-US"/>
        </w:rPr>
        <w:t>Figure 4</w:t>
      </w:r>
      <w:r w:rsidR="006E761F" w:rsidRPr="00CB1C44">
        <w:rPr>
          <w:rFonts w:ascii="Arial" w:hAnsi="Arial" w:cs="Arial"/>
          <w:b/>
          <w:sz w:val="20"/>
          <w:szCs w:val="20"/>
          <w:lang w:val="en-US"/>
        </w:rPr>
        <w:t xml:space="preserve">: </w:t>
      </w:r>
      <w:r w:rsidRPr="00CB1C44">
        <w:rPr>
          <w:rFonts w:ascii="Arial" w:hAnsi="Arial" w:cs="Arial"/>
          <w:b/>
          <w:sz w:val="20"/>
          <w:szCs w:val="20"/>
          <w:lang w:val="en-US"/>
        </w:rPr>
        <w:t>Altered m</w:t>
      </w:r>
      <w:r w:rsidR="006E761F" w:rsidRPr="00CB1C44">
        <w:rPr>
          <w:rFonts w:ascii="Arial" w:hAnsi="Arial" w:cs="Arial"/>
          <w:b/>
          <w:sz w:val="20"/>
          <w:szCs w:val="20"/>
          <w:lang w:val="en-US"/>
        </w:rPr>
        <w:t>echanisms of Nrf2 regulation</w:t>
      </w:r>
      <w:r w:rsidRPr="00CB1C44">
        <w:rPr>
          <w:rFonts w:ascii="Arial" w:hAnsi="Arial" w:cs="Arial"/>
          <w:b/>
          <w:sz w:val="20"/>
          <w:szCs w:val="20"/>
          <w:lang w:val="en-US"/>
        </w:rPr>
        <w:t xml:space="preserve"> in AD and some </w:t>
      </w:r>
      <w:r w:rsidR="007F1E16" w:rsidRPr="00CB1C44">
        <w:rPr>
          <w:rFonts w:ascii="Arial" w:hAnsi="Arial" w:cs="Arial"/>
          <w:b/>
          <w:sz w:val="20"/>
          <w:szCs w:val="20"/>
          <w:lang w:val="en-US"/>
        </w:rPr>
        <w:t>drugs</w:t>
      </w:r>
      <w:r w:rsidR="00E05CB7" w:rsidRPr="00CB1C44">
        <w:rPr>
          <w:rFonts w:ascii="Arial" w:hAnsi="Arial" w:cs="Arial"/>
          <w:b/>
          <w:sz w:val="20"/>
          <w:szCs w:val="20"/>
          <w:lang w:val="en-US"/>
        </w:rPr>
        <w:t xml:space="preserve"> shown</w:t>
      </w:r>
      <w:r w:rsidR="00251381" w:rsidRPr="00CB1C44">
        <w:rPr>
          <w:rFonts w:ascii="Arial" w:hAnsi="Arial" w:cs="Arial"/>
          <w:b/>
          <w:sz w:val="20"/>
          <w:szCs w:val="20"/>
          <w:lang w:val="en-US"/>
        </w:rPr>
        <w:t xml:space="preserve"> to be p</w:t>
      </w:r>
      <w:r w:rsidR="007F1E16" w:rsidRPr="00CB1C44">
        <w:rPr>
          <w:rFonts w:ascii="Arial" w:hAnsi="Arial" w:cs="Arial"/>
          <w:b/>
          <w:sz w:val="20"/>
          <w:szCs w:val="20"/>
          <w:lang w:val="en-US"/>
        </w:rPr>
        <w:t>rotective</w:t>
      </w:r>
      <w:r w:rsidRPr="00CB1C44">
        <w:rPr>
          <w:rFonts w:ascii="Arial" w:hAnsi="Arial" w:cs="Arial"/>
          <w:b/>
          <w:sz w:val="20"/>
          <w:szCs w:val="20"/>
          <w:lang w:val="en-US"/>
        </w:rPr>
        <w:t xml:space="preserve"> in AD</w:t>
      </w:r>
      <w:r w:rsidR="006E761F" w:rsidRPr="00CB1C44">
        <w:rPr>
          <w:rFonts w:ascii="Arial" w:hAnsi="Arial" w:cs="Arial"/>
          <w:b/>
          <w:sz w:val="20"/>
          <w:szCs w:val="20"/>
          <w:lang w:val="en-US"/>
        </w:rPr>
        <w:t>.</w:t>
      </w:r>
      <w:r w:rsidR="006E761F" w:rsidRPr="00CB1C44">
        <w:rPr>
          <w:rFonts w:ascii="Arial" w:hAnsi="Arial" w:cs="Arial"/>
          <w:sz w:val="20"/>
          <w:szCs w:val="20"/>
          <w:lang w:val="en-US"/>
        </w:rPr>
        <w:t xml:space="preserve"> Nrf2 </w:t>
      </w:r>
      <w:r w:rsidR="00251381" w:rsidRPr="00CB1C44">
        <w:rPr>
          <w:rFonts w:ascii="Arial" w:hAnsi="Arial" w:cs="Arial"/>
          <w:sz w:val="20"/>
          <w:szCs w:val="20"/>
          <w:lang w:val="en-US"/>
        </w:rPr>
        <w:t xml:space="preserve">activity and related proteins are decreased in AD. </w:t>
      </w:r>
      <w:r w:rsidR="002B22B8" w:rsidRPr="00CB1C44">
        <w:rPr>
          <w:rFonts w:ascii="Arial" w:hAnsi="Arial" w:cs="Arial"/>
          <w:sz w:val="20"/>
          <w:szCs w:val="20"/>
          <w:lang w:val="en-US"/>
        </w:rPr>
        <w:t>PKC and PI3K/</w:t>
      </w:r>
      <w:proofErr w:type="spellStart"/>
      <w:r w:rsidR="0026569F" w:rsidRPr="00CB1C44">
        <w:rPr>
          <w:rFonts w:ascii="Arial" w:hAnsi="Arial" w:cs="Arial"/>
          <w:sz w:val="20"/>
          <w:szCs w:val="20"/>
          <w:lang w:val="en-US"/>
        </w:rPr>
        <w:t>Akt</w:t>
      </w:r>
      <w:proofErr w:type="spellEnd"/>
      <w:r w:rsidR="002B22B8" w:rsidRPr="00CB1C44">
        <w:rPr>
          <w:rFonts w:ascii="Arial" w:hAnsi="Arial" w:cs="Arial"/>
          <w:sz w:val="20"/>
          <w:szCs w:val="20"/>
          <w:lang w:val="en-US"/>
        </w:rPr>
        <w:t xml:space="preserve"> were shown to be diminished</w:t>
      </w:r>
      <w:r w:rsidR="002A140B" w:rsidRPr="00CB1C44">
        <w:rPr>
          <w:rFonts w:ascii="Arial" w:hAnsi="Arial" w:cs="Arial"/>
          <w:sz w:val="20"/>
          <w:szCs w:val="20"/>
          <w:lang w:val="en-US"/>
        </w:rPr>
        <w:t xml:space="preserve"> in AD, </w:t>
      </w:r>
      <w:r w:rsidR="004C59FB" w:rsidRPr="00CB1C44">
        <w:rPr>
          <w:rFonts w:ascii="Arial" w:hAnsi="Arial" w:cs="Arial"/>
          <w:sz w:val="20"/>
          <w:szCs w:val="20"/>
          <w:lang w:val="en-US"/>
        </w:rPr>
        <w:t>whereas inducer agents referred in the dashed boxes, in green and orange, respectively, were shown to have positive effects in different AD models,</w:t>
      </w:r>
      <w:r w:rsidR="00034D69" w:rsidRPr="00CB1C44">
        <w:rPr>
          <w:rFonts w:ascii="Arial" w:hAnsi="Arial" w:cs="Arial"/>
          <w:sz w:val="20"/>
          <w:szCs w:val="20"/>
          <w:lang w:val="en-US"/>
        </w:rPr>
        <w:t xml:space="preserve"> most</w:t>
      </w:r>
      <w:r w:rsidR="004C59FB" w:rsidRPr="00CB1C44">
        <w:rPr>
          <w:rFonts w:ascii="Arial" w:hAnsi="Arial" w:cs="Arial"/>
          <w:sz w:val="20"/>
          <w:szCs w:val="20"/>
          <w:lang w:val="en-US"/>
        </w:rPr>
        <w:t xml:space="preserve"> of them through augmented Nrf2 activity.</w:t>
      </w:r>
      <w:r w:rsidR="00034D69" w:rsidRPr="00CB1C44">
        <w:rPr>
          <w:rFonts w:ascii="Arial" w:hAnsi="Arial" w:cs="Arial"/>
          <w:sz w:val="20"/>
          <w:szCs w:val="20"/>
          <w:lang w:val="en-US"/>
        </w:rPr>
        <w:t xml:space="preserve"> Conversely, p38 MAPK, GSK-3</w:t>
      </w:r>
      <w:r w:rsidR="00034D69" w:rsidRPr="00CB1C44">
        <w:rPr>
          <w:rFonts w:ascii="Arial" w:hAnsi="Arial" w:cs="Arial"/>
          <w:sz w:val="20"/>
          <w:szCs w:val="20"/>
          <w:lang w:val="en-US"/>
        </w:rPr>
        <w:sym w:font="Symbol" w:char="F062"/>
      </w:r>
      <w:r w:rsidR="00034D69" w:rsidRPr="00CB1C44">
        <w:rPr>
          <w:rFonts w:ascii="Arial" w:hAnsi="Arial" w:cs="Arial"/>
          <w:sz w:val="20"/>
          <w:szCs w:val="20"/>
          <w:lang w:val="en-US"/>
        </w:rPr>
        <w:t xml:space="preserve"> and NF-kB p65 are increased in several AD models. Thus, their inhibition </w:t>
      </w:r>
      <w:r w:rsidR="003B4217" w:rsidRPr="00CB1C44">
        <w:rPr>
          <w:rFonts w:ascii="Arial" w:hAnsi="Arial" w:cs="Arial"/>
          <w:sz w:val="20"/>
          <w:szCs w:val="20"/>
          <w:lang w:val="en-US"/>
        </w:rPr>
        <w:t>through the agents presented, significantly improved AD features in different AD models.</w:t>
      </w:r>
    </w:p>
    <w:p w14:paraId="5027C74D" w14:textId="77777777" w:rsidR="006E761F" w:rsidRPr="00CB1C44" w:rsidRDefault="006E761F" w:rsidP="006E761F">
      <w:pPr>
        <w:spacing w:after="0" w:line="360" w:lineRule="auto"/>
        <w:rPr>
          <w:rFonts w:ascii="Arial" w:hAnsi="Arial" w:cs="Arial"/>
          <w:lang w:val="en-US"/>
        </w:rPr>
      </w:pPr>
    </w:p>
    <w:p w14:paraId="6C35FE4E" w14:textId="77777777" w:rsidR="00ED1FD2" w:rsidRPr="00CB1C44" w:rsidRDefault="00ED1FD2" w:rsidP="004038B5">
      <w:pPr>
        <w:spacing w:after="0" w:line="360" w:lineRule="auto"/>
        <w:jc w:val="both"/>
        <w:rPr>
          <w:rFonts w:ascii="Arial" w:hAnsi="Arial" w:cs="Arial"/>
          <w:lang w:val="en-US"/>
        </w:rPr>
      </w:pPr>
    </w:p>
    <w:p w14:paraId="468DDC2A" w14:textId="5F3F4358" w:rsidR="00DA4974" w:rsidRPr="00CB1C44" w:rsidRDefault="0040451A" w:rsidP="004038B5">
      <w:pPr>
        <w:spacing w:after="0" w:line="360" w:lineRule="auto"/>
        <w:jc w:val="both"/>
        <w:outlineLvl w:val="0"/>
        <w:rPr>
          <w:rFonts w:ascii="Arial" w:hAnsi="Arial" w:cs="Arial"/>
          <w:b/>
          <w:lang w:val="en-US"/>
        </w:rPr>
      </w:pPr>
      <w:r w:rsidRPr="00CB1C44">
        <w:rPr>
          <w:rFonts w:ascii="Arial" w:hAnsi="Arial" w:cs="Arial"/>
          <w:b/>
          <w:lang w:val="en-US"/>
        </w:rPr>
        <w:t>3</w:t>
      </w:r>
      <w:r w:rsidR="00AF2F6B" w:rsidRPr="00CB1C44">
        <w:rPr>
          <w:rFonts w:ascii="Arial" w:hAnsi="Arial" w:cs="Arial"/>
          <w:b/>
          <w:lang w:val="en-US"/>
        </w:rPr>
        <w:t>.2</w:t>
      </w:r>
      <w:r w:rsidR="00E03D20" w:rsidRPr="00CB1C44">
        <w:rPr>
          <w:rFonts w:ascii="Arial" w:hAnsi="Arial" w:cs="Arial"/>
          <w:b/>
          <w:lang w:val="en-US"/>
        </w:rPr>
        <w:t xml:space="preserve"> </w:t>
      </w:r>
      <w:r w:rsidR="00702526" w:rsidRPr="00CB1C44">
        <w:rPr>
          <w:rFonts w:ascii="Arial" w:hAnsi="Arial" w:cs="Arial"/>
          <w:b/>
          <w:lang w:val="en-US"/>
        </w:rPr>
        <w:t>Parkinson</w:t>
      </w:r>
      <w:r w:rsidR="00E03D20" w:rsidRPr="00CB1C44">
        <w:rPr>
          <w:rFonts w:ascii="Arial" w:hAnsi="Arial" w:cs="Arial"/>
          <w:b/>
          <w:lang w:val="en-US"/>
        </w:rPr>
        <w:t xml:space="preserve">’s disease and </w:t>
      </w:r>
      <w:r w:rsidR="00EE31A3" w:rsidRPr="00CB1C44">
        <w:rPr>
          <w:rFonts w:ascii="Arial" w:hAnsi="Arial" w:cs="Arial"/>
          <w:b/>
          <w:lang w:val="en-US"/>
        </w:rPr>
        <w:t>Oxidative Stress</w:t>
      </w:r>
    </w:p>
    <w:p w14:paraId="4B442447" w14:textId="7E9F3CF2" w:rsidR="00CB175D" w:rsidRPr="00CB1C44" w:rsidRDefault="00A2646E" w:rsidP="004038B5">
      <w:pPr>
        <w:spacing w:after="0" w:line="360" w:lineRule="auto"/>
        <w:jc w:val="both"/>
        <w:rPr>
          <w:rFonts w:ascii="Arial" w:hAnsi="Arial" w:cs="Arial"/>
          <w:lang w:val="en-US"/>
        </w:rPr>
      </w:pPr>
      <w:r w:rsidRPr="00CB1C44">
        <w:rPr>
          <w:rFonts w:ascii="Arial" w:hAnsi="Arial" w:cs="Arial"/>
          <w:lang w:val="en-US"/>
        </w:rPr>
        <w:t xml:space="preserve">PD is the most prevalent </w:t>
      </w:r>
      <w:r w:rsidR="00533E70" w:rsidRPr="00CB1C44">
        <w:rPr>
          <w:rFonts w:ascii="Arial" w:hAnsi="Arial" w:cs="Arial"/>
          <w:lang w:val="en-US"/>
        </w:rPr>
        <w:t xml:space="preserve">neurodegenerative disease affecting </w:t>
      </w:r>
      <w:r w:rsidRPr="00CB1C44">
        <w:rPr>
          <w:rFonts w:ascii="Arial" w:hAnsi="Arial" w:cs="Arial"/>
          <w:lang w:val="en-US"/>
        </w:rPr>
        <w:t>movement</w:t>
      </w:r>
      <w:r w:rsidR="00533E70" w:rsidRPr="00CB1C44">
        <w:rPr>
          <w:rFonts w:ascii="Arial" w:hAnsi="Arial" w:cs="Arial"/>
          <w:lang w:val="en-US"/>
        </w:rPr>
        <w:t xml:space="preserve">. PD prevalence is </w:t>
      </w:r>
      <w:r w:rsidRPr="00CB1C44">
        <w:rPr>
          <w:rFonts w:ascii="Arial" w:hAnsi="Arial" w:cs="Arial"/>
          <w:lang w:val="en-US"/>
        </w:rPr>
        <w:t xml:space="preserve">160 per 100.000 in Western world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{"citationItems":[{"id":"ITEM-1","itemData":{"DOI":"10.1126/science.1087753","ISBN":"1095-9203 (Electronic) 0036-8075 (Linking)","ISSN":"0036-8075","PMID":"14593166","abstract":"Parkinson's disease (PD) is a complex disorder with many different causes, yet they may intersect in common pathways, raising the possibility that neuroprotective agents may have broad applicability in the treatment of PD. Current evidence suggests that mitochondrial complex I inhibition may be the central cause of sporadic PD and that derangements in complex I cause alpha-synuclein aggregation, which contributes to the demise of dopamine neurons. Accumulation and aggregation of alpha-synuclein may further contribute to the death of dopamine neurons through impairments in protein handling and detoxification. Dysfunction of parkin (a ubiquitin E3 ligase) and DJ-1 could contribute to these deficits. Strategies aimed at restoring complex I activity, reducing oxidative stress and alpha-synuclein aggregation, and enhancing protein degradation may hold particular promise as powerful neuroprotective agents in the treatment of PD.","author":[{"dropping-particle":"","family":"Dawson","given":"Ted M","non-dropping-particle":"","parse-names":false,"suffix":""},{"dropping-particle":"","family":"Dawson","given":"Valina L","non-dropping-particle":"","parse-names":false,"suffix":""}],"container-title":"Science (New York, N.Y.)","id":"ITEM-1","issue":"5646","issued":{"date-parts":[["2003"]]},"page":"819-822","title":"Molecular pathways of neurodegeneration in Parkinson's disease.","type":"article-journal","volume":"302"},"uris":["http://www.mendeley.com/documents/?uuid=85cffd0f-43d4-40ee-8e66-a2a7afe4de2c"]},{"id":"ITEM-2","itemData":{"DOI":"10.1007/s00415-008-5004-3","ISBN":"9780444519009","ISSN":"03405354","PMID":"18787879","abstract":"Epidemiological research aims to provide information on the development, prevalence and progression of diseases, and their associated risk factors. Epidemiological research is thus the basis of increasing our understanding on the aetiology of diseases and as a consequence the starting point for identifying at risk groups in the population, development for novel prevention and treatment strategies, and health care planning. This review provides an overview of the epidemiology of Parkinson's disease, the second most common neurodegenerative disorder, with special emphasis on population-based data on the clinical progression of motor and non-motor features of the disease.","author":[{"dropping-particle":"","family":"Alves","given":"Guido","non-dropping-particle":"","parse-names":false,"suffix":""},{"dropping-particle":"","family":"Forsaa","given":"Elin Bjelland","non-dropping-particle":"","parse-names":false,"suffix":""},{"dropping-particle":"","family":"Pedersen","given":"Kenn Freddy","non-dropping-particle":"","parse-names":false,"suffix":""},{"dropping-particle":"","family":"Dreetz Gjerstad","given":"Michaela","non-dropping-particle":"","parse-names":false,"suffix":""},{"dropping-particle":"","family":"Larsen","given":"Jan Petter","non-dropping-particle":"","parse-names":false,"suffix":""}],"container-title":"Journal of Neurology","id":"ITEM-2","issue":"SUPPL. 5","issued":{"date-parts":[["2008"]]},"page":"18-32","title":"Epidemiology of Parkinson's disease","type":"paper-conference","volume":"255"},"uris":["http://www.mendeley.com/documents/?uuid=33da37d6-829a-4e44-92f3-5e73dd09c8ab"]}],"mendeley":{"formattedCitation":"(Alves et al., 2008; Dawson and Dawson, 2003)","plainTextFormattedCitation":"(Alves et al., 2008; Dawson and Dawson, 2003)","previouslyFormattedCitation":"(Alves et al., 2008; Dawson and Dawson, 2003)"},"properties":{"noteIndex":0},"schema":"https://github.com/citation-style-language/schema/raw/master/csl-citation.json"}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(Alves et al., 2008; Dawson and Dawson, 2003)</w:t>
      </w:r>
      <w:r w:rsidR="00844011" w:rsidRPr="00CB1C44">
        <w:rPr>
          <w:rFonts w:ascii="Arial" w:hAnsi="Arial" w:cs="Arial"/>
          <w:lang w:val="en-US"/>
        </w:rPr>
        <w:fldChar w:fldCharType="end"/>
      </w:r>
      <w:r w:rsidR="00652197" w:rsidRPr="00CB1C44">
        <w:rPr>
          <w:rFonts w:ascii="Arial" w:hAnsi="Arial" w:cs="Arial"/>
          <w:lang w:val="en-US"/>
        </w:rPr>
        <w:t xml:space="preserve"> and</w:t>
      </w:r>
      <w:r w:rsidRPr="00CB1C44">
        <w:rPr>
          <w:rFonts w:ascii="Arial" w:hAnsi="Arial" w:cs="Arial"/>
          <w:lang w:val="en-US"/>
        </w:rPr>
        <w:t xml:space="preserve"> is characterized by motor symptoms such as rest tr</w:t>
      </w:r>
      <w:r w:rsidR="00161811" w:rsidRPr="00CB1C44">
        <w:rPr>
          <w:rFonts w:ascii="Arial" w:hAnsi="Arial" w:cs="Arial"/>
          <w:lang w:val="en-US"/>
        </w:rPr>
        <w:t>emor, rigidity, bradykinesia,</w:t>
      </w:r>
      <w:r w:rsidRPr="00CB1C44">
        <w:rPr>
          <w:rFonts w:ascii="Arial" w:hAnsi="Arial" w:cs="Arial"/>
          <w:lang w:val="en-US"/>
        </w:rPr>
        <w:t xml:space="preserve"> loss of postural reflexes</w:t>
      </w:r>
      <w:r w:rsidR="007A47BE" w:rsidRPr="00CB1C44">
        <w:rPr>
          <w:rFonts w:ascii="Arial" w:hAnsi="Arial" w:cs="Arial"/>
          <w:lang w:val="en-US"/>
        </w:rPr>
        <w:t>,</w:t>
      </w:r>
      <w:r w:rsidRPr="00CB1C44">
        <w:rPr>
          <w:rFonts w:ascii="Arial" w:hAnsi="Arial" w:cs="Arial"/>
          <w:lang w:val="en-US"/>
        </w:rPr>
        <w:t xml:space="preserve"> and non-motor </w:t>
      </w:r>
      <w:r w:rsidR="00636556" w:rsidRPr="00CB1C44">
        <w:rPr>
          <w:rFonts w:ascii="Arial" w:hAnsi="Arial" w:cs="Arial"/>
          <w:lang w:val="en-US"/>
        </w:rPr>
        <w:t xml:space="preserve">problems </w:t>
      </w:r>
      <w:r w:rsidR="000D24BC" w:rsidRPr="00CB1C44">
        <w:rPr>
          <w:rFonts w:ascii="Arial" w:hAnsi="Arial" w:cs="Arial"/>
          <w:lang w:val="en-US"/>
        </w:rPr>
        <w:t>including</w:t>
      </w:r>
      <w:r w:rsidR="000A55C0" w:rsidRPr="00CB1C44">
        <w:rPr>
          <w:rFonts w:ascii="Arial" w:hAnsi="Arial" w:cs="Arial"/>
          <w:lang w:val="en-US"/>
        </w:rPr>
        <w:t xml:space="preserve"> </w:t>
      </w:r>
      <w:r w:rsidR="00DC0CC0" w:rsidRPr="00CB1C44">
        <w:rPr>
          <w:rFonts w:ascii="Arial" w:hAnsi="Arial" w:cs="Arial"/>
          <w:lang w:val="en-US"/>
        </w:rPr>
        <w:t>a</w:t>
      </w:r>
      <w:r w:rsidR="000A55C0" w:rsidRPr="00CB1C44">
        <w:rPr>
          <w:rFonts w:ascii="Arial" w:hAnsi="Arial" w:cs="Arial"/>
          <w:lang w:val="en-US"/>
        </w:rPr>
        <w:t>utonomic failure</w:t>
      </w:r>
      <w:r w:rsidR="00DC0CC0" w:rsidRPr="00CB1C44">
        <w:rPr>
          <w:rFonts w:ascii="Arial" w:hAnsi="Arial" w:cs="Arial"/>
          <w:lang w:val="en-US"/>
        </w:rPr>
        <w:t>, sleep abnormalities,</w:t>
      </w:r>
      <w:r w:rsidR="00636556" w:rsidRPr="00CB1C44">
        <w:rPr>
          <w:rFonts w:ascii="Arial" w:hAnsi="Arial" w:cs="Arial"/>
          <w:lang w:val="en-US"/>
        </w:rPr>
        <w:t xml:space="preserve"> </w:t>
      </w:r>
      <w:r w:rsidR="00DC0CC0" w:rsidRPr="00CB1C44">
        <w:rPr>
          <w:rFonts w:ascii="Arial" w:hAnsi="Arial" w:cs="Arial"/>
          <w:lang w:val="en-US"/>
        </w:rPr>
        <w:t>cognitive/neurobehavioral disorders</w:t>
      </w:r>
      <w:r w:rsidR="00636556" w:rsidRPr="00CB1C44">
        <w:rPr>
          <w:rFonts w:ascii="Arial" w:hAnsi="Arial" w:cs="Arial"/>
          <w:lang w:val="en-US"/>
        </w:rPr>
        <w:t xml:space="preserve"> and dementia</w:t>
      </w:r>
      <w:r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{"citationItems":[{"id":"ITEM-1","itemData":{"DOI":"10.1136/jnnp.2007.131045","ISBN":"1468-330X (Electronic) 0022-3050 (Linking)","ISSN":"1468-330X","PMID":"18344392","abstract":"OBJECTIVE Parkinson's disease (PD) is a progressive neurological disorder characterised by a large number of motor and non-motor features that can impact on function to a variable degree. This review describes the clinical characteristics of PD with emphasis on those features that differentiate the disease from other parkinsonian disorders. METHODS A MedLine search was performed to identify studies that assess the clinical characteristics of PD. Search terms included \"Parkinson's disease\", \"diagnosis\" and \"signs and symptoms\". RESULTS Because there is no definitive test for the diagnosis of PD, the disease must be diagnosed based on clinical criteria. Rest tremor, bradykinesia, rigidity and loss of postural reflexes are generally considered the cardinal signs of PD. The presence and specific presentation of these features are used to differentiate PD from related parkinsonian disorders. Other clinical features include secondary motor symptoms (eg, hypomimia, dysarthria, dysphagia, sialorrhoea, micrographia, shuffling gait, festination, freezing, dystonia, glabellar reflexes), non-motor symptoms (eg, autonomic dysfunction, cognitive/neurobehavioral abnormalities, sleep disorders and sensory abnormalities such as anosmia, paresthesias and pain). Absence of rest tremor, early occurrence of gait difficulty, postural instability, dementia, hallucinations, and the presence of dysautonomia, ophthalmoparesis, ataxia and other atypical features, coupled with poor or no response to levodopa, suggest diagnoses other than PD. CONCLUSIONS A thorough understanding of the broad spectrum of clinical manifestations of PD is essential to the proper diagnosis of the disease. Genetic mutations or variants, neuroimaging abnormalities and other tests are potential biomarkers that may improve diagnosis and allow the identification of persons at risk.","author":[{"dropping-particle":"","family":"Jankovic","given":"J","non-dropping-particle":"","parse-names":false,"suffix":""}],"container-title":"Journal of neurology, neurosurgery, and psychiatry","id":"ITEM-1","issue":"4","issued":{"date-parts":[["2008"]]},"page":"368-76","title":"Parkinson's disease: clinical features and diagnosis.","type":"article-journal","volume":"79"},"uris":["http://www.mendeley.com/documents/?uuid=e08b9b4f-8df0-4a4b-852d-e4f3d26973fd"]}],"mendeley":{"formattedCitation":"(Jankovic, 2008)","plainTextFormattedCitation":"(Jankovic, 2008)","previouslyFormattedCitation":"(Jankovic,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(Jankovic, 2008)</w:t>
      </w:r>
      <w:r w:rsidR="00844011" w:rsidRPr="00CB1C44">
        <w:rPr>
          <w:rFonts w:ascii="Arial" w:hAnsi="Arial" w:cs="Arial"/>
          <w:lang w:val="en-US"/>
        </w:rPr>
        <w:fldChar w:fldCharType="end"/>
      </w:r>
      <w:r w:rsidRPr="00CB1C44">
        <w:rPr>
          <w:rFonts w:ascii="Arial" w:hAnsi="Arial" w:cs="Arial"/>
          <w:lang w:val="en-US"/>
        </w:rPr>
        <w:t xml:space="preserve">. </w:t>
      </w:r>
      <w:r w:rsidR="000D24BC" w:rsidRPr="00CB1C44">
        <w:rPr>
          <w:rFonts w:ascii="Arial" w:hAnsi="Arial" w:cs="Arial"/>
          <w:lang w:val="en-US"/>
        </w:rPr>
        <w:t xml:space="preserve">An important </w:t>
      </w:r>
      <w:r w:rsidR="00636556" w:rsidRPr="00CB1C44">
        <w:rPr>
          <w:rFonts w:ascii="Arial" w:hAnsi="Arial" w:cs="Arial"/>
          <w:lang w:val="en-US"/>
        </w:rPr>
        <w:t xml:space="preserve">hallmark of PD is the loss of dopaminergic neurons </w:t>
      </w:r>
      <w:r w:rsidR="00D237C2" w:rsidRPr="00CB1C44">
        <w:rPr>
          <w:rFonts w:ascii="Arial" w:hAnsi="Arial" w:cs="Arial"/>
          <w:lang w:val="en-US"/>
        </w:rPr>
        <w:t>in</w:t>
      </w:r>
      <w:r w:rsidR="00636556" w:rsidRPr="00CB1C44">
        <w:rPr>
          <w:rFonts w:ascii="Arial" w:hAnsi="Arial" w:cs="Arial"/>
          <w:lang w:val="en-US"/>
        </w:rPr>
        <w:t xml:space="preserve"> </w:t>
      </w:r>
      <w:r w:rsidR="00636556" w:rsidRPr="00CB1C44">
        <w:rPr>
          <w:rFonts w:ascii="Arial" w:hAnsi="Arial" w:cs="Arial"/>
          <w:i/>
          <w:lang w:val="en-US"/>
        </w:rPr>
        <w:t xml:space="preserve">substantia </w:t>
      </w:r>
      <w:proofErr w:type="spellStart"/>
      <w:r w:rsidR="00636556" w:rsidRPr="00CB1C44">
        <w:rPr>
          <w:rFonts w:ascii="Arial" w:hAnsi="Arial" w:cs="Arial"/>
          <w:i/>
          <w:lang w:val="en-US"/>
        </w:rPr>
        <w:t>nigra</w:t>
      </w:r>
      <w:proofErr w:type="spellEnd"/>
      <w:r w:rsidR="00636556" w:rsidRPr="00CB1C44">
        <w:rPr>
          <w:rFonts w:ascii="Arial" w:hAnsi="Arial" w:cs="Arial"/>
          <w:lang w:val="en-US"/>
        </w:rPr>
        <w:t xml:space="preserve"> </w:t>
      </w:r>
      <w:r w:rsidR="00636556" w:rsidRPr="00CB1C44">
        <w:rPr>
          <w:rFonts w:ascii="Arial" w:hAnsi="Arial" w:cs="Arial"/>
          <w:i/>
          <w:lang w:val="en-US"/>
        </w:rPr>
        <w:t>pars compacta</w:t>
      </w:r>
      <w:r w:rsidR="00AA3E13" w:rsidRPr="00CB1C44">
        <w:rPr>
          <w:rFonts w:ascii="Arial" w:hAnsi="Arial" w:cs="Arial"/>
          <w:lang w:val="en-US"/>
        </w:rPr>
        <w:t xml:space="preserve"> (</w:t>
      </w:r>
      <w:proofErr w:type="spellStart"/>
      <w:r w:rsidR="00AA3E13" w:rsidRPr="00CB1C44">
        <w:rPr>
          <w:rFonts w:ascii="Arial" w:hAnsi="Arial" w:cs="Arial"/>
          <w:lang w:val="en-US"/>
        </w:rPr>
        <w:t>SN</w:t>
      </w:r>
      <w:r w:rsidR="00833ED5" w:rsidRPr="00CB1C44">
        <w:rPr>
          <w:rFonts w:ascii="Arial" w:hAnsi="Arial" w:cs="Arial"/>
          <w:lang w:val="en-US"/>
        </w:rPr>
        <w:t>p</w:t>
      </w:r>
      <w:r w:rsidR="00AA3E13" w:rsidRPr="00CB1C44">
        <w:rPr>
          <w:rFonts w:ascii="Arial" w:hAnsi="Arial" w:cs="Arial"/>
          <w:lang w:val="en-US"/>
        </w:rPr>
        <w:t>c</w:t>
      </w:r>
      <w:proofErr w:type="spellEnd"/>
      <w:r w:rsidR="00AA3E13" w:rsidRPr="00CB1C44">
        <w:rPr>
          <w:rFonts w:ascii="Arial" w:hAnsi="Arial" w:cs="Arial"/>
          <w:lang w:val="en-US"/>
        </w:rPr>
        <w:t>)</w:t>
      </w:r>
      <w:r w:rsidR="00636556" w:rsidRPr="00CB1C44">
        <w:rPr>
          <w:rFonts w:ascii="Arial" w:hAnsi="Arial" w:cs="Arial"/>
          <w:lang w:val="en-US"/>
        </w:rPr>
        <w:t>, which result</w:t>
      </w:r>
      <w:r w:rsidR="00D237C2" w:rsidRPr="00CB1C44">
        <w:rPr>
          <w:rFonts w:ascii="Arial" w:hAnsi="Arial" w:cs="Arial"/>
          <w:lang w:val="en-US"/>
        </w:rPr>
        <w:t>s</w:t>
      </w:r>
      <w:r w:rsidR="00636556" w:rsidRPr="00CB1C44">
        <w:rPr>
          <w:rFonts w:ascii="Arial" w:hAnsi="Arial" w:cs="Arial"/>
          <w:lang w:val="en-US"/>
        </w:rPr>
        <w:t xml:space="preserve"> in decreased dopamine</w:t>
      </w:r>
      <w:r w:rsidR="00AA3E13" w:rsidRPr="00CB1C44">
        <w:rPr>
          <w:rFonts w:ascii="Arial" w:hAnsi="Arial" w:cs="Arial"/>
          <w:lang w:val="en-US"/>
        </w:rPr>
        <w:t xml:space="preserve"> (DA)</w:t>
      </w:r>
      <w:r w:rsidR="00636556" w:rsidRPr="00CB1C44">
        <w:rPr>
          <w:rFonts w:ascii="Arial" w:hAnsi="Arial" w:cs="Arial"/>
          <w:lang w:val="en-US"/>
        </w:rPr>
        <w:t xml:space="preserve"> nerve terminals projecting to the striatum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{"citationItems":[{"id":"ITEM-1","itemData":{"DOI":"10.1056/NEJM199810083391506","ISBN":"0028-4793 (Print)","ISSN":"0028-4793","PMID":"9761807","abstract":"At no time in the past have the basic and clinical sciences applied to Parkinson's disease been so active. Experimental therapies under study at present promise to improve on the limitations of existing treatments. Future progress in understanding the causation and pathogenesis of the disorder will permit the development of new treatments that will slow, halt, or even reverse the currently inexorable progressive course of Parkinson's disease.","author":[{"dropping-particle":"","family":"Lang","given":"A E","non-dropping-particle":"","parse-names":false,"suffix":""},{"dropping-particle":"","family":"Lozano","given":"A M","non-dropping-particle":"","parse-names":false,"suffix":""}],"container-title":"The New England journal of medicine","id":"ITEM-1","issue":"15","issued":{"date-parts":[["1998"]]},"page":"1044-1053","title":"Parkinson's disease. First of two parts.","type":"article-journal","volume":"339"},"uris":["http://www.mendeley.com/documents/?uuid=3a541427-d89c-44ae-8b2c-4d33f5d9d022"]},{"id":"ITEM-2","itemData":{"DOI":"10.1016/j.expneurol.2017.10.002","ISBN":"1090-2430 (Electronic) 0014-4886 (Linking)","ISSN":"00144886","PMID":"12417671","abstract":"The motor features of Parkinson's disease (PD) are well known to manifest only when striatal dopaminergic deficit reaches 60–70%. Thus, PD has a long pre-symptomatic and pre-motor evolution during which compensatory mechanisms take place to delay the clinical onset of disabling manifestations. Classic compensatory mechanisms have been attributed to changes and adjustments in the nigro-striatal system, such as increased neuronal activity in the substantia nigra pars compacta and enhanced dopamine synthesis and release in the striatum. However, it is not so clear currently that such changes occur early enough to account for the pre-symptomatic period. Other possible mechanisms relate to changes in basal ganglia and motor cortical circuits including the cerebellum. However, data from early PD patients are difficult to obtain as most studies have been carried out once the diagnosis and treatments have been established. Likewise, putative compensatory mechanisms taking place throughout disease evolution are nearly impossible to distinguish by themselves. Here, we review the evidence for the role of the best known and other possible compensatory mechanisms in PD. We also discuss the possibility that, although beneficial in practical terms, compensation could also play a deleterious role in disease progression.","author":[{"dropping-particle":"","family":"Blesa","given":"Javier","non-dropping-particle":"","parse-names":false,"suffix":""},{"dropping-particle":"","family":"Trigo-Damas","given":"Inés","non-dropping-particle":"","parse-names":false,"suffix":""},{"dropping-particle":"","family":"Dileone","given":"Michele","non-dropping-particle":"","parse-names":false,"suffix":""},{"dropping-particle":"","family":"Rey","given":"Natalia Lopez-Gonzalez","non-dropping-particle":"del","parse-names":false,"suffix":""},{"dropping-particle":"","family":"Hernandez","given":"Ledia F.","non-dropping-particle":"","parse-names":false,"suffix":""},{"dropping-particle":"","family":"Obeso","given":"José A.","non-dropping-particle":"","parse-names":false,"suffix":""}],"container-title":"Experimental Neurology","id":"ITEM-2","issue":"October","issued":{"date-parts":[["2017","12"]]},"page":"148-161","title":"Compensatory mechanisms in Parkinson's disease: Circuits adaptations and role in disease modification","type":"article-journal","volume":"298"},"uris":["http://www.mendeley.com/documents/?uuid=c398a84f-e44a-4513-93a1-62e6955e61da"]}],"mendeley":{"formattedCitation":"(Blesa et al., 2017; Lang and Lozano, 1998)","plainTextFormattedCitation":"(Blesa et al., 2017; Lang and Lozano, 1998)","previouslyFormattedCitation":"(Blesa et al., 2017; Lang and Lozano, 1998)"},"properties":{"noteIndex":0},"schema":"https://github.com/citation-style-language/schema/raw/master/csl-citation.json"}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(Blesa et al., 2017; Lang and Lozano, 1998)</w:t>
      </w:r>
      <w:r w:rsidR="00844011" w:rsidRPr="00CB1C44">
        <w:rPr>
          <w:rFonts w:ascii="Arial" w:hAnsi="Arial" w:cs="Arial"/>
          <w:lang w:val="en-US"/>
        </w:rPr>
        <w:fldChar w:fldCharType="end"/>
      </w:r>
      <w:r w:rsidR="00636556" w:rsidRPr="00CB1C44">
        <w:rPr>
          <w:rFonts w:ascii="Arial" w:hAnsi="Arial" w:cs="Arial"/>
          <w:lang w:val="en-US"/>
        </w:rPr>
        <w:t xml:space="preserve">. </w:t>
      </w:r>
      <w:r w:rsidR="000D24BC" w:rsidRPr="00CB1C44">
        <w:rPr>
          <w:rFonts w:ascii="Arial" w:hAnsi="Arial" w:cs="Arial"/>
          <w:lang w:val="en-US"/>
        </w:rPr>
        <w:t>The main feature of PD is the presence of intracellular</w:t>
      </w:r>
      <w:r w:rsidR="00DE5EB7" w:rsidRPr="00CB1C44">
        <w:rPr>
          <w:rFonts w:ascii="Arial" w:hAnsi="Arial" w:cs="Arial"/>
          <w:lang w:val="en-US"/>
        </w:rPr>
        <w:t xml:space="preserve"> inclusion bodies, formed by α-</w:t>
      </w:r>
      <w:r w:rsidR="00D237C2" w:rsidRPr="00CB1C44">
        <w:rPr>
          <w:rFonts w:ascii="Arial" w:hAnsi="Arial" w:cs="Arial"/>
          <w:lang w:val="en-US"/>
        </w:rPr>
        <w:t>s</w:t>
      </w:r>
      <w:r w:rsidR="000D24BC" w:rsidRPr="00CB1C44">
        <w:rPr>
          <w:rFonts w:ascii="Arial" w:hAnsi="Arial" w:cs="Arial"/>
          <w:lang w:val="en-US"/>
        </w:rPr>
        <w:t>ynuclein</w:t>
      </w:r>
      <w:r w:rsidR="0027226A" w:rsidRPr="00CB1C44">
        <w:rPr>
          <w:rFonts w:ascii="Arial" w:hAnsi="Arial" w:cs="Arial"/>
          <w:lang w:val="en-US"/>
        </w:rPr>
        <w:t xml:space="preserve"> (α-Syn)</w:t>
      </w:r>
      <w:r w:rsidR="000D24BC" w:rsidRPr="00CB1C44">
        <w:rPr>
          <w:rFonts w:ascii="Arial" w:hAnsi="Arial" w:cs="Arial"/>
          <w:lang w:val="en-US"/>
        </w:rPr>
        <w:t>, also known as Lewy bodies, in different regions of the brain such as</w:t>
      </w:r>
      <w:r w:rsidR="00176BE3" w:rsidRPr="00CB1C44">
        <w:rPr>
          <w:rFonts w:ascii="Arial" w:hAnsi="Arial" w:cs="Arial"/>
          <w:lang w:val="en-US"/>
        </w:rPr>
        <w:t xml:space="preserve"> </w:t>
      </w:r>
      <w:proofErr w:type="spellStart"/>
      <w:r w:rsidR="00833ED5" w:rsidRPr="00CB1C44">
        <w:rPr>
          <w:rFonts w:ascii="Arial" w:hAnsi="Arial" w:cs="Arial"/>
          <w:lang w:val="en-US"/>
        </w:rPr>
        <w:lastRenderedPageBreak/>
        <w:t>SNpc</w:t>
      </w:r>
      <w:proofErr w:type="spellEnd"/>
      <w:r w:rsidR="00176BE3" w:rsidRPr="00CB1C44">
        <w:rPr>
          <w:rFonts w:ascii="Arial" w:hAnsi="Arial" w:cs="Arial"/>
          <w:lang w:val="en-US"/>
        </w:rPr>
        <w:t xml:space="preserve">, </w:t>
      </w:r>
      <w:r w:rsidR="000D24BC" w:rsidRPr="00CB1C44">
        <w:rPr>
          <w:rFonts w:ascii="Arial" w:hAnsi="Arial" w:cs="Arial"/>
          <w:lang w:val="en-US"/>
        </w:rPr>
        <w:t xml:space="preserve">olfactory bulb and neocortex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{"citationItems":[{"id":"ITEM-1","itemData":{"DOI":"10.1016/j.cnr.2006.09.006","ISBN":"0882-7974","ISSN":"15662772","PMID":"18060039","abstract":"Neuroinflammatory processes play a significant role in the pathogenesis of Parkinson's disease (PD). Epidemiologic, animal, human, and therapeutic studies all support the presence of a neuroinflammatory cascade in disease. This is highlighted by the neurotoxic potential of microglia. In steady-state, microglia serve to protect the nervous system by acting as debris scavengers, killers of microbial pathogens, and regulators of innate and adaptive immune responses. In neurodegenerative diseases, activated microglia affect neuronal injury and death through production of glutamate, pro-inflammatory factors, reactive oxygen species, quinolinic acid among others and by mobilization of adaptive immune responses and cell chemotaxis leading to transendothelial migration of immunocytes across the blood-brain barrier and perpetuation of neural damage. As disease progresses, inflammatory secretions engage neighboring glial cells, including astrocytes and endothelial cells, resulting in a vicious cycle of autocrine and paracrine amplification of inflammation perpetuating tissue injury. Such pathogenic processes contribute to neurodegeneration in PD. Research from others and our own laboratories seek to harness such inflammatory processes with the singular goal of developing therapeutic interventions that positively affect the tempo and progression of human disease. ?? 2006 Association for Research in Nervous and Mental Disease.","author":[{"dropping-particle":"","family":"Lee Mosley","given":"R.","non-dropping-particle":"","parse-names":false,"suffix":""},{"dropping-particle":"","family":"Benner","given":"Eric J.","non-dropping-particle":"","parse-names":false,"suffix":""},{"dropping-particle":"","family":"Kadiu","given":"Irena","non-dropping-particle":"","parse-names":false,"suffix":""},{"dropping-particle":"","family":"Thomas","given":"Mark","non-dropping-particle":"","parse-names":false,"suffix":""},{"dropping-particle":"","family":"Boska","given":"Michael D.","non-dropping-particle":"","parse-names":false,"suffix":""},{"dropping-particle":"","family":"Hasan","given":"Khader","non-dropping-particle":"","parse-names":false,"suffix":""},{"dropping-particle":"","family":"Laurie","given":"Chad","non-dropping-particle":"","parse-names":false,"suffix":""},{"dropping-particle":"","family":"Gendelman","given":"Howard E.","non-dropping-particle":"","parse-names":false,"suffix":""}],"container-title":"Clinical Neuroscience Research","id":"ITEM-1","issue":"5","issued":{"date-parts":[["2006"]]},"page":"261-281","title":"Neuroinflammation, oxidative stress, and the pathogenesis of Parkinson's disease","type":"article-journal","volume":"6"},"uris":["http://www.mendeley.com/documents/?uuid=d0403611-d939-43bb-b699-b46b4b29ebd5"]}],"mendeley":{"formattedCitation":"(Lee Mosley et al., 2006)","plainTextFormattedCitation":"(Lee Mosley et al., 2006)","previouslyFormattedCitation":"(Lee Mosley et al., 2006)"},"properties":{"noteIndex":0},"schema":"https://github.com/citation-style-language/schema/raw/master/csl-citation.json"}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(Lee Mosley et al., 2006)</w:t>
      </w:r>
      <w:r w:rsidR="00844011" w:rsidRPr="00CB1C44">
        <w:rPr>
          <w:rFonts w:ascii="Arial" w:hAnsi="Arial" w:cs="Arial"/>
          <w:lang w:val="en-US"/>
        </w:rPr>
        <w:fldChar w:fldCharType="end"/>
      </w:r>
      <w:r w:rsidR="000D24BC" w:rsidRPr="00CB1C44">
        <w:rPr>
          <w:rFonts w:ascii="Arial" w:hAnsi="Arial" w:cs="Arial"/>
          <w:lang w:val="en-US"/>
        </w:rPr>
        <w:t xml:space="preserve">. </w:t>
      </w:r>
      <w:r w:rsidR="00B942C2" w:rsidRPr="00CB1C44">
        <w:rPr>
          <w:rFonts w:ascii="Arial" w:hAnsi="Arial" w:cs="Arial"/>
          <w:lang w:val="en-US"/>
        </w:rPr>
        <w:t>The m</w:t>
      </w:r>
      <w:r w:rsidR="00C36D3C" w:rsidRPr="00CB1C44">
        <w:rPr>
          <w:rFonts w:ascii="Arial" w:hAnsi="Arial" w:cs="Arial"/>
          <w:lang w:val="en-US"/>
        </w:rPr>
        <w:t>ajori</w:t>
      </w:r>
      <w:r w:rsidR="00DB185C" w:rsidRPr="00CB1C44">
        <w:rPr>
          <w:rFonts w:ascii="Arial" w:hAnsi="Arial" w:cs="Arial"/>
          <w:lang w:val="en-US"/>
        </w:rPr>
        <w:t>ty of PD cases are sporadic</w:t>
      </w:r>
      <w:r w:rsidR="0098025A" w:rsidRPr="00CB1C44">
        <w:rPr>
          <w:rFonts w:ascii="Arial" w:hAnsi="Arial" w:cs="Arial"/>
          <w:lang w:val="en-US"/>
        </w:rPr>
        <w:t xml:space="preserve"> with unknown etiology</w:t>
      </w:r>
      <w:r w:rsidR="00DB185C"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{"citationItems":[{"id":"ITEM-1","itemData":{"DOI":"10.1016/S0140-6736(04)16305-8","ISBN":"0140-6736","ISSN":"01406736","PMID":"15172778","abstract":"Parkinson's disease is the most common serious movement disorder in the world, affecting about 1% of adults older than 60 years. The disease is attributed to selective loss of neurons in the substantia nigra, and its cause is enigmatic in most individuals. Symptoms of Parkinson's disease respond in varying degrees to drugs, and surgery offers hope for patients no longer adequately controlled in this manner. The high prevalence of the disease, and important advances in its management, mean that generalists need to have a working knowledge of this disorder. This Seminar covers the basics, from terminology to aspects of diagnosis, treatment, and pathogenesis.","author":[{"dropping-particle":"","family":"Samii","given":"Ali","non-dropping-particle":"","parse-names":false,"suffix":""},{"dropping-particle":"","family":"Nutt","given":"John G.","non-dropping-particle":"","parse-names":false,"suffix":""},{"dropping-particle":"","family":"Ransom","given":"Bruce R.","non-dropping-particle":"","parse-names":false,"suffix":""}],"container-title":"Lancet","id":"ITEM-1","issue":"9423","issued":{"date-parts":[["2004"]]},"page":"1783-1793","title":"Parkinson's disease","type":"paper-conference","volume":"363"},"uris":["http://www.mendeley.com/documents/?uuid=3d4d470a-3f78-4299-bbe3-4e044fc80c25"]}],"mendeley":{"formattedCitation":"(Samii et al., 2004)","plainTextFormattedCitation":"(Samii et al., 2004)","previouslyFormattedCitation":"(Samii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(Samii et al., 2004)</w:t>
      </w:r>
      <w:r w:rsidR="00844011" w:rsidRPr="00CB1C44">
        <w:rPr>
          <w:rFonts w:ascii="Arial" w:hAnsi="Arial" w:cs="Arial"/>
          <w:lang w:val="en-US"/>
        </w:rPr>
        <w:fldChar w:fldCharType="end"/>
      </w:r>
      <w:r w:rsidR="003C25FD" w:rsidRPr="00CB1C44">
        <w:rPr>
          <w:rFonts w:ascii="Arial" w:hAnsi="Arial" w:cs="Arial"/>
          <w:lang w:val="en-US"/>
        </w:rPr>
        <w:t xml:space="preserve">, </w:t>
      </w:r>
      <w:r w:rsidR="00937B7B" w:rsidRPr="00CB1C44">
        <w:rPr>
          <w:rFonts w:ascii="Arial" w:hAnsi="Arial" w:cs="Arial"/>
          <w:lang w:val="en-US"/>
        </w:rPr>
        <w:t xml:space="preserve">however 15% of PD patients have family history. </w:t>
      </w:r>
      <w:r w:rsidR="002D239D" w:rsidRPr="00CB1C44">
        <w:rPr>
          <w:rFonts w:ascii="Arial" w:hAnsi="Arial" w:cs="Arial"/>
          <w:lang w:val="en-US"/>
        </w:rPr>
        <w:t>HUGO Gene Nomenclature Committee identified and related the f</w:t>
      </w:r>
      <w:r w:rsidR="00937B7B" w:rsidRPr="00CB1C44">
        <w:rPr>
          <w:rFonts w:ascii="Arial" w:hAnsi="Arial" w:cs="Arial"/>
          <w:lang w:val="en-US"/>
        </w:rPr>
        <w:t>amilial PD</w:t>
      </w:r>
      <w:r w:rsidR="002D239D" w:rsidRPr="00CB1C44">
        <w:rPr>
          <w:rFonts w:ascii="Arial" w:hAnsi="Arial" w:cs="Arial"/>
          <w:lang w:val="en-US"/>
        </w:rPr>
        <w:t xml:space="preserve"> form</w:t>
      </w:r>
      <w:r w:rsidR="00937B7B" w:rsidRPr="00CB1C44">
        <w:rPr>
          <w:rFonts w:ascii="Arial" w:hAnsi="Arial" w:cs="Arial"/>
          <w:lang w:val="en-US"/>
        </w:rPr>
        <w:t xml:space="preserve"> with </w:t>
      </w:r>
      <w:r w:rsidR="000E1472" w:rsidRPr="00CB1C44">
        <w:rPr>
          <w:rFonts w:ascii="Arial" w:hAnsi="Arial" w:cs="Arial"/>
          <w:lang w:val="en-US"/>
        </w:rPr>
        <w:t>at least 23 lo</w:t>
      </w:r>
      <w:r w:rsidR="002D239D" w:rsidRPr="00CB1C44">
        <w:rPr>
          <w:rFonts w:ascii="Arial" w:hAnsi="Arial" w:cs="Arial"/>
          <w:lang w:val="en-US"/>
        </w:rPr>
        <w:t>ci and 19 disease-causing genes, which</w:t>
      </w:r>
      <w:r w:rsidR="000E1472" w:rsidRPr="00CB1C44">
        <w:rPr>
          <w:rFonts w:ascii="Arial" w:hAnsi="Arial" w:cs="Arial"/>
          <w:lang w:val="en-US"/>
        </w:rPr>
        <w:t xml:space="preserve"> include 10 autosomal dominant genes and 9 autosomal recessive genes</w:t>
      </w:r>
      <w:r w:rsidR="002D239D" w:rsidRPr="00CB1C44">
        <w:rPr>
          <w:rFonts w:ascii="Arial" w:hAnsi="Arial" w:cs="Arial"/>
          <w:lang w:val="en-US"/>
        </w:rPr>
        <w:t xml:space="preserve">, as </w:t>
      </w:r>
      <w:r w:rsidR="003271C8" w:rsidRPr="00CB1C44">
        <w:rPr>
          <w:rFonts w:ascii="Arial" w:hAnsi="Arial" w:cs="Arial"/>
          <w:lang w:val="en-US"/>
        </w:rPr>
        <w:t>recently</w:t>
      </w:r>
      <w:r w:rsidR="00F8207B" w:rsidRPr="00CB1C44">
        <w:rPr>
          <w:rFonts w:ascii="Arial" w:hAnsi="Arial" w:cs="Arial"/>
          <w:lang w:val="en-US"/>
        </w:rPr>
        <w:t xml:space="preserve"> </w:t>
      </w:r>
      <w:r w:rsidR="002D239D" w:rsidRPr="00CB1C44">
        <w:rPr>
          <w:rFonts w:ascii="Arial" w:hAnsi="Arial" w:cs="Arial"/>
          <w:lang w:val="en-US"/>
        </w:rPr>
        <w:t xml:space="preserve">described in detail, by Deng and colleagues </w:t>
      </w:r>
      <w:r w:rsidR="00EB049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{"citationItems":[{"id":"ITEM-1","itemData":{"DOI":"10.1016/j.arr.2017.12.007","ISBN":"1530-0366 (Electronic)","ISSN":"15681637","PMID":"18091429","abstract":"During the past decade five genes have been identified that are important in autosomal dominant and autosomal recessive forms of Parkinson disease. The identification of these genes has increased our understanding of the likely pathogenic mechanisms resulting in disease. However, mutations in these genes likely contribute to disease in fewer than 5% of all cases of Parkinson disease. Thus, researchers have continued to search for genes that may influence disease susceptibility. Molecular diagnostic testing is currently available for four of the genes mutated in Parkinson disease. Evidence for reduced penetrance, possible effects of haploinsufficiency, and the identification of nondisease causing polymorphisms within several of these genes has made genetic counseling challenging. Current recommendations are to limit molecular testing only to those individuals who are symptomatic. Furthermore, because treatment is unaltered by the presence or absence of mutations in these genes, restraint is recommended when considering the value of screening for mutations in a clinical setting.","author":[{"dropping-particle":"","family":"Deng","given":"Hao","non-dropping-particle":"","parse-names":false,"suffix":""},{"dropping-particle":"","family":"Wang","given":"Peng","non-dropping-particle":"","parse-names":false,"suffix":""},{"dropping-particle":"","family":"Jankovic","given":"Joseph","non-dropping-particle":"","parse-names":false,"suffix":""}],"container-title":"Ageing Research Reviews","id":"ITEM-1","issue":"12","issued":{"date-parts":[["2018","3"]]},"page":"72-85","publisher":"Elsevier","title":"The genetics of Parkinson disease","type":"article-journal","volume":"42"},"uris":["http://www.mendeley.com/documents/?uuid=265367e2-72c5-4a25-8ef1-3a2421c076a6"]}],"mendeley":{"formattedCitation":"(Deng et al., 2018)","plainTextFormattedCitation":"(Deng et al., 2018)","previouslyFormattedCitation":"(Deng et al., 2018)"},"properties":{"noteIndex":0},"schema":"https://github.com/citation-style-language/schema/raw/master/csl-citation.json"}</w:instrText>
      </w:r>
      <w:r w:rsidR="00EB0498" w:rsidRPr="00CB1C44">
        <w:rPr>
          <w:rFonts w:ascii="Arial" w:hAnsi="Arial" w:cs="Arial"/>
          <w:lang w:val="en-US"/>
        </w:rPr>
        <w:fldChar w:fldCharType="separate"/>
      </w:r>
      <w:r w:rsidR="00DD645C" w:rsidRPr="00CB1C44">
        <w:rPr>
          <w:rFonts w:ascii="Arial" w:hAnsi="Arial" w:cs="Arial"/>
          <w:noProof/>
          <w:lang w:val="en-US"/>
        </w:rPr>
        <w:t>(Deng et al., 2018)</w:t>
      </w:r>
      <w:r w:rsidR="00EB0498" w:rsidRPr="00CB1C44">
        <w:rPr>
          <w:rFonts w:ascii="Arial" w:hAnsi="Arial" w:cs="Arial"/>
          <w:lang w:val="en-US"/>
        </w:rPr>
        <w:fldChar w:fldCharType="end"/>
      </w:r>
      <w:r w:rsidR="002D239D" w:rsidRPr="00CB1C44">
        <w:rPr>
          <w:rFonts w:ascii="Arial" w:hAnsi="Arial" w:cs="Arial"/>
          <w:lang w:val="en-US"/>
        </w:rPr>
        <w:t>.</w:t>
      </w:r>
      <w:r w:rsidR="001B6614" w:rsidRPr="00CB1C44">
        <w:rPr>
          <w:rFonts w:ascii="Arial" w:hAnsi="Arial" w:cs="Arial"/>
          <w:lang w:val="en-US"/>
        </w:rPr>
        <w:t xml:space="preserve"> </w:t>
      </w:r>
      <w:r w:rsidR="00D237C2" w:rsidRPr="00CB1C44">
        <w:rPr>
          <w:rFonts w:ascii="Arial" w:hAnsi="Arial" w:cs="Arial"/>
          <w:lang w:val="en-US"/>
        </w:rPr>
        <w:t>T</w:t>
      </w:r>
      <w:r w:rsidR="00DB185C" w:rsidRPr="00CB1C44">
        <w:rPr>
          <w:rFonts w:ascii="Arial" w:hAnsi="Arial" w:cs="Arial"/>
          <w:lang w:val="en-US"/>
        </w:rPr>
        <w:t xml:space="preserve">he etiology of PD is not completely elucidated, however </w:t>
      </w:r>
      <w:r w:rsidR="003C25FD" w:rsidRPr="00CB1C44">
        <w:rPr>
          <w:rFonts w:ascii="Arial" w:hAnsi="Arial" w:cs="Arial"/>
          <w:lang w:val="en-US"/>
        </w:rPr>
        <w:t xml:space="preserve">oxidative stress, </w:t>
      </w:r>
      <w:r w:rsidR="00DB185C" w:rsidRPr="00CB1C44">
        <w:rPr>
          <w:rFonts w:ascii="Arial" w:hAnsi="Arial" w:cs="Arial"/>
          <w:lang w:val="en-US"/>
        </w:rPr>
        <w:t xml:space="preserve">mitochondrial dysfunction, </w:t>
      </w:r>
      <w:r w:rsidR="003C25FD" w:rsidRPr="00CB1C44">
        <w:rPr>
          <w:rFonts w:ascii="Arial" w:hAnsi="Arial" w:cs="Arial"/>
          <w:lang w:val="en-US"/>
        </w:rPr>
        <w:t xml:space="preserve">and </w:t>
      </w:r>
      <w:r w:rsidR="00DB185C" w:rsidRPr="00CB1C44">
        <w:rPr>
          <w:rFonts w:ascii="Arial" w:hAnsi="Arial" w:cs="Arial"/>
          <w:lang w:val="en-US"/>
        </w:rPr>
        <w:t>neuroinflammation are considered the major mechanisms involved in cell death in PD</w:t>
      </w:r>
      <w:r w:rsidR="00BE080C"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{"citationItems":[{"id":"ITEM-1","itemData":{"DOI":"10.1002/mds.21675","ISBN":"0885-3185","ISSN":"1526-632X","PMID":"16717250","abstract":"Concepts of pathogenesis in Parkinson's disease (PD) have been based on attempts to understand the mechanisms responsible for nigral dopaminergic cell death. Pathogenesis has been proposed to involve oxidative and nitrative stress, excitotoxicity, inflammation, mitochondrial dysfunction, and altered proteolysis. These processes are considered to form a complex cascade of interrelated events that lead to neuron death by way of apoptosis. However, current views on pathogenic mechanisms in PD may not be as exact as commonly proposed. Future concepts of pathogenesis in PD need to incorporate events leading to the destruction of non-dopaminergic nuclei and to distinguish between primary factors that are responsible for disease initiation and secondary factors that contribute to disease progression. Importantly, there is a need to determine whether PD is a single illness with a common pathogenesis or a group of related illnesses with different pathogenic mechanisms. This is an essential step to understanding pathogenesis and is critical to the development of comprehensive neuroprotective approaches to treatment.","author":[{"dropping-particle":"","family":"Jenner","given":"Peter","non-dropping-particle":"","parse-names":false,"suffix":""},{"dropping-particle":"","family":"Olanow","given":"C Warren","non-dropping-particle":"","parse-names":false,"suffix":""}],"container-title":"Neurology","id":"ITEM-1","issue":"10 Suppl 4","issued":{"date-parts":[["2006"]]},"page":"S24-36","title":"The pathogenesis of cell death in Parkinson's disease.","type":"article-journal","volume":"66"},"uris":["http://www.mendeley.com/documents/?uuid=60783e56-d568-4127-b7c0-cd38ffd555b6"]},{"id":"ITEM-2","itemData":{"DOI":"10.1016/j.bbadis.2008.09.009","ISBN":"2059966329","ISSN":"09254439","PMID":"18930814","abstract":"Current therapies for Parkinson's disease significantly improve the quality of life for patients suffering from this neurodegenerative disease, yet none of the current therapies has been convincingly shown to slow or prevent the progression of disease. Much has been learned about the pathophysiology of Parkinson's disease in recent years, and these discoveries offer a variety of potential targets for protective therapy. Mechanisms implicated in the disease process include oxidative stress, mitochondrial dysfunction, protein aggregation and misfolding, inflammation, excitotoxicity, and apoptosis. At the same time, the involvement of these diverse processes makes modeling the disease and evaluation of potential treatments difficult. In addition, available clinical tools are limited in their ability to monitor the progression of the disease. In this review, we summarize the different pathogenic mechanisms implicated in Parkinson's disease and neuroprotective strategies targeting these mechanisms currently under clinical study or under preclinical development, with a view towards strategies that seem most promising. © 2008 Elsevier B.V. All rights reserved.","author":[{"dropping-particle":"","family":"Yacoubian","given":"Talene A.","non-dropping-particle":"","parse-names":false,"suffix":""},{"dropping-particle":"","family":"Standaert","given":"David G.","non-dropping-particle":"","parse-names":false,"suffix":""}],"container-title":"Biochimica et Biophysica Acta - Molecular Basis of Disease","id":"ITEM-2","issue":"7","issued":{"date-parts":[["2009"]]},"page":"676-687","title":"Targets for neuroprotection in Parkinson's disease","type":"article","volume":"1792"},"uris":["http://www.mendeley.com/documents/?uuid=5e0a313e-b8c5-4921-9181-44b9fb1d7627"]}],"mendeley":{"formattedCitation":"(Jenner and Olanow, 2006; Yacoubian and Standaert, 2009)","plainTextFormattedCitation":"(Jenner and Olanow, 2006; Yacoubian and Standaert, 2009)","previouslyFormattedCitation":"(Jenner and Olanow, 2006; Yacoubian and Standaert, 2009)"},"properties":{"noteIndex":0},"schema":"https://github.com/citation-style-language/schema/raw/master/csl-citation.json"}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(Jenner and Olanow, 2006; Yacoubian and Standaert, 2009)</w:t>
      </w:r>
      <w:r w:rsidR="00844011" w:rsidRPr="00CB1C44">
        <w:rPr>
          <w:rFonts w:ascii="Arial" w:hAnsi="Arial" w:cs="Arial"/>
          <w:lang w:val="en-US"/>
        </w:rPr>
        <w:fldChar w:fldCharType="end"/>
      </w:r>
      <w:r w:rsidR="00DB185C" w:rsidRPr="00CB1C44">
        <w:rPr>
          <w:rFonts w:ascii="Arial" w:hAnsi="Arial" w:cs="Arial"/>
          <w:lang w:val="en-US"/>
        </w:rPr>
        <w:t xml:space="preserve">. </w:t>
      </w:r>
    </w:p>
    <w:p w14:paraId="12B87DA1" w14:textId="0C4E9802" w:rsidR="00D7060A" w:rsidRPr="00CB1C44" w:rsidRDefault="00D122B1" w:rsidP="004038B5">
      <w:pPr>
        <w:spacing w:after="0" w:line="360" w:lineRule="auto"/>
        <w:jc w:val="both"/>
        <w:rPr>
          <w:rFonts w:ascii="Arial" w:hAnsi="Arial" w:cs="Arial"/>
          <w:lang w:val="en-US"/>
        </w:rPr>
      </w:pPr>
      <w:r w:rsidRPr="00CB1C44">
        <w:rPr>
          <w:rFonts w:ascii="Arial" w:hAnsi="Arial" w:cs="Arial"/>
          <w:lang w:val="en-US"/>
        </w:rPr>
        <w:t>Several studies in PD tissues have show</w:t>
      </w:r>
      <w:r w:rsidR="00EE1F39" w:rsidRPr="00CB1C44">
        <w:rPr>
          <w:rFonts w:ascii="Arial" w:hAnsi="Arial" w:cs="Arial"/>
          <w:lang w:val="en-US"/>
        </w:rPr>
        <w:t>n</w:t>
      </w:r>
      <w:r w:rsidRPr="00CB1C44">
        <w:rPr>
          <w:rFonts w:ascii="Arial" w:hAnsi="Arial" w:cs="Arial"/>
          <w:lang w:val="en-US"/>
        </w:rPr>
        <w:t xml:space="preserve"> </w:t>
      </w:r>
      <w:r w:rsidR="00087041" w:rsidRPr="00CB1C44">
        <w:rPr>
          <w:rFonts w:ascii="Arial" w:hAnsi="Arial" w:cs="Arial"/>
          <w:lang w:val="en-US"/>
        </w:rPr>
        <w:t xml:space="preserve">an </w:t>
      </w:r>
      <w:r w:rsidRPr="00CB1C44">
        <w:rPr>
          <w:rFonts w:ascii="Arial" w:hAnsi="Arial" w:cs="Arial"/>
          <w:lang w:val="en-US"/>
        </w:rPr>
        <w:t>oxida</w:t>
      </w:r>
      <w:r w:rsidR="003C25FD" w:rsidRPr="00CB1C44">
        <w:rPr>
          <w:rFonts w:ascii="Arial" w:hAnsi="Arial" w:cs="Arial"/>
          <w:lang w:val="en-US"/>
        </w:rPr>
        <w:t>nt</w:t>
      </w:r>
      <w:r w:rsidRPr="00CB1C44">
        <w:rPr>
          <w:rFonts w:ascii="Arial" w:hAnsi="Arial" w:cs="Arial"/>
          <w:lang w:val="en-US"/>
        </w:rPr>
        <w:t xml:space="preserve"> stat</w:t>
      </w:r>
      <w:r w:rsidR="003C25FD" w:rsidRPr="00CB1C44">
        <w:rPr>
          <w:rFonts w:ascii="Arial" w:hAnsi="Arial" w:cs="Arial"/>
          <w:lang w:val="en-US"/>
        </w:rPr>
        <w:t>us</w:t>
      </w:r>
      <w:r w:rsidR="00DE2610"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{"citationItems":[{"id":"ITEM-1","itemData":{"DOI":"10.1016/j.gene.2013.07.085","ISBN":"1879-0038 (Electronic)\\r0378-1119 (Linking)","ISSN":"03781119","PMID":"23954870","abstract":"The exact pathogenesis of Parkinson's disease (PD) is still unknown and proper mechanisms that correspond to the disease remain unidentified. It is understood that PD is age-related; as age increases, the chance of onset responds accordingly. Although there are no current means of curing PD, the understanding of reactive oxygen species (ROS) provides significant insight to possible treatments. Complex I deficiencies of the respiratory chain account for the majority of unfavorable neural apoptosis generation in PD. Dopaminergic neurons are severely damaged as a result of the deficiency. Symptoms such as inhibited cognitive ability and loss of smooth motor function are the results of such impairment. The genetic mutations of Parkinson's related proteins such as PINK1 and LRRK2 contribute to mitochondrial dysfunction which precedes ROS formation. Various pathways are inhibited by these mutations, and inevitably causing neural cell damage. Antioxidants are known to negate the damaging effects of free radical overexpression. This paper expands on the specific impact of mitochondrial genetic change and production of free radicals as well as its correlation to the neurodegeneration in Parkinson's disease. © 2013 Elsevier B.V.","author":[{"dropping-particle":"","family":"Zuo","given":"Li","non-dropping-particle":"","parse-names":false,"suffix":""},{"dropping-particle":"","family":"Motherwell","given":"Michael S.","non-dropping-particle":"","parse-names":false,"suffix":""}],"container-title":"Gene","id":"ITEM-1","issue":"1","issued":{"date-parts":[["2013"]]},"page":"18-23","title":"The impact of reactive oxygen species and genetic mitochondrial mutations in Parkinson's disease","type":"article","volume":"532"},"uris":["http://www.mendeley.com/documents/?uuid=e0f4516c-4215-48d5-a8cc-fd38cb18e74a"]}],"mendeley":{"formattedCitation":"(Zuo and Motherwell, 2013)","plainTextFormattedCitation":"(Zuo and Motherwell, 2013)","previouslyFormattedCitation":"(Zuo and Motherwell, 2013)"},"properties":{"noteIndex":0},"schema":"https://github.com/citation-style-language/schema/raw/master/csl-citation.json"}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(Zuo and Motherwell, 2013)</w:t>
      </w:r>
      <w:r w:rsidR="00844011" w:rsidRPr="00CB1C44">
        <w:rPr>
          <w:rFonts w:ascii="Arial" w:hAnsi="Arial" w:cs="Arial"/>
          <w:lang w:val="en-US"/>
        </w:rPr>
        <w:fldChar w:fldCharType="end"/>
      </w:r>
      <w:r w:rsidR="003C25FD" w:rsidRPr="00CB1C44">
        <w:rPr>
          <w:rFonts w:ascii="Arial" w:hAnsi="Arial" w:cs="Arial"/>
          <w:lang w:val="en-US"/>
        </w:rPr>
        <w:t xml:space="preserve">, which </w:t>
      </w:r>
      <w:r w:rsidR="006B4E52" w:rsidRPr="00CB1C44">
        <w:rPr>
          <w:rFonts w:ascii="Arial" w:hAnsi="Arial" w:cs="Arial"/>
          <w:lang w:val="en-US"/>
        </w:rPr>
        <w:t>is</w:t>
      </w:r>
      <w:r w:rsidR="003C25FD" w:rsidRPr="00CB1C44">
        <w:rPr>
          <w:rFonts w:ascii="Arial" w:hAnsi="Arial" w:cs="Arial"/>
          <w:lang w:val="en-US"/>
        </w:rPr>
        <w:t xml:space="preserve"> </w:t>
      </w:r>
      <w:r w:rsidR="006B4E52" w:rsidRPr="00CB1C44">
        <w:rPr>
          <w:rFonts w:ascii="Arial" w:hAnsi="Arial" w:cs="Arial"/>
          <w:lang w:val="en-US"/>
        </w:rPr>
        <w:t>largely</w:t>
      </w:r>
      <w:r w:rsidR="003C25FD" w:rsidRPr="00CB1C44">
        <w:rPr>
          <w:rFonts w:ascii="Arial" w:hAnsi="Arial" w:cs="Arial"/>
          <w:lang w:val="en-US"/>
        </w:rPr>
        <w:t xml:space="preserve"> linked to </w:t>
      </w:r>
      <w:r w:rsidR="006B4E52" w:rsidRPr="00CB1C44">
        <w:rPr>
          <w:rFonts w:ascii="Arial" w:hAnsi="Arial" w:cs="Arial"/>
          <w:lang w:val="en-US"/>
        </w:rPr>
        <w:t xml:space="preserve">both </w:t>
      </w:r>
      <w:r w:rsidR="001B0DC7" w:rsidRPr="00CB1C44">
        <w:rPr>
          <w:rFonts w:ascii="Arial" w:hAnsi="Arial" w:cs="Arial"/>
          <w:lang w:val="en-US"/>
        </w:rPr>
        <w:t xml:space="preserve">mitochondrial </w:t>
      </w:r>
      <w:r w:rsidR="006B4E52" w:rsidRPr="00CB1C44">
        <w:rPr>
          <w:rFonts w:ascii="Arial" w:hAnsi="Arial" w:cs="Arial"/>
          <w:lang w:val="en-US"/>
        </w:rPr>
        <w:t>complex I dysfunction and dopamine auto-oxidation</w:t>
      </w:r>
      <w:r w:rsidR="00836818" w:rsidRPr="00CB1C44">
        <w:rPr>
          <w:rFonts w:ascii="Arial" w:hAnsi="Arial" w:cs="Arial"/>
          <w:lang w:val="en-US"/>
        </w:rPr>
        <w:t>.</w:t>
      </w:r>
      <w:r w:rsidR="000F7817" w:rsidRPr="00CB1C44">
        <w:rPr>
          <w:rFonts w:ascii="Arial" w:hAnsi="Arial" w:cs="Arial"/>
          <w:lang w:val="en-US"/>
        </w:rPr>
        <w:t xml:space="preserve"> </w:t>
      </w:r>
      <w:r w:rsidR="00593AAE" w:rsidRPr="00CB1C44">
        <w:rPr>
          <w:rFonts w:ascii="Arial" w:hAnsi="Arial" w:cs="Arial"/>
          <w:lang w:val="en-US"/>
        </w:rPr>
        <w:t xml:space="preserve">Indeed, the </w:t>
      </w:r>
      <w:r w:rsidR="00593AAE" w:rsidRPr="00CB1C44">
        <w:rPr>
          <w:rFonts w:ascii="Arial" w:hAnsi="Arial" w:cs="Arial"/>
          <w:i/>
          <w:lang w:val="en-US"/>
        </w:rPr>
        <w:t xml:space="preserve">substantia </w:t>
      </w:r>
      <w:proofErr w:type="spellStart"/>
      <w:r w:rsidR="00593AAE" w:rsidRPr="00CB1C44">
        <w:rPr>
          <w:rFonts w:ascii="Arial" w:hAnsi="Arial" w:cs="Arial"/>
          <w:i/>
          <w:lang w:val="en-US"/>
        </w:rPr>
        <w:t>nigra</w:t>
      </w:r>
      <w:proofErr w:type="spellEnd"/>
      <w:r w:rsidR="00593AAE" w:rsidRPr="00CB1C44">
        <w:rPr>
          <w:rFonts w:ascii="Arial" w:hAnsi="Arial" w:cs="Arial"/>
          <w:lang w:val="en-US"/>
        </w:rPr>
        <w:t xml:space="preserve"> of postmortem PD brains shows reduced GSH concentrations, indicating a failure in antioxidant activity </w:t>
      </w:r>
      <w:r w:rsidR="00593AAE"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{"citationItems":[{"id":"ITEM-1","itemData":{"DOI":"10.1016/0304-3940(92)90355-B","ISBN":"0304-3940 (Print)\\r0304-3940 (Linking)","ISSN":"03043940","PMID":"1454205","abstract":"Reduced and oxidized glutathione concentrations in post-mortem brain tissue from the substantia nigra of control subjects and patients with neuropathologically confirmed Parkinson's disease were measured by a coulometric method using high-pressure liquid chromatography and electrochemical detection. Reduced glutathione concentrations were decreased in the substantia nigra of parkinsonian patients compared with controls. Differences in the concentration of oxidized glutathione and in the percentage of oxidized glutathione of the total glutathione were not observed between parkinsonian and control subjects. The finding that oxidized glutathione is not decreased in Parkinson's disease suggests that the decrease in reduced glutathione is not exclusively the consequence of neuronal loss in the substantia nigra but may indicate a state of oxidative stress. ?? 1992.","author":[{"dropping-particle":"","family":"Sofic","given":"E.","non-dropping-particle":"","parse-names":false,"suffix":""},{"dropping-particle":"","family":"Lange","given":"K. W.","non-dropping-particle":"","parse-names":false,"suffix":""},{"dropping-particle":"","family":"Jellinger","given":"K.","non-dropping-particle":"","parse-names":false,"suffix":""},{"dropping-particle":"","family":"Riederer","given":"P.","non-dropping-particle":"","parse-names":false,"suffix":""}],"container-title":"Neuroscience Letters","id":"ITEM-1","issue":"2","issued":{"date-parts":[["1992"]]},"page":"128-130","title":"Reduced and oxidized glutathione in the substantia nigra of patients with Parkinson's disease","type":"article-journal","volume":"142"},"uris":["http://www.mendeley.com/documents/?uuid=e8e2e32a-6201-45f0-b017-7b5bf35440ba"]}],"mendeley":{"formattedCitation":"(Sofic et al., 1992)","plainTextFormattedCitation":"(Sofic et al., 1992)","previouslyFormattedCitation":"(Sofic et al., 1992)"},"properties":{"noteIndex":0},"schema":"https://github.com/citation-style-language/schema/raw/master/csl-citation.json"}</w:instrText>
      </w:r>
      <w:r w:rsidR="00593AAE" w:rsidRPr="00CB1C44">
        <w:rPr>
          <w:rFonts w:ascii="Arial" w:hAnsi="Arial" w:cs="Arial"/>
          <w:lang w:val="en-US"/>
        </w:rPr>
        <w:fldChar w:fldCharType="separate"/>
      </w:r>
      <w:r w:rsidR="00DD645C" w:rsidRPr="00CB1C44">
        <w:rPr>
          <w:rFonts w:ascii="Arial" w:hAnsi="Arial" w:cs="Arial"/>
          <w:noProof/>
          <w:lang w:val="en-US"/>
        </w:rPr>
        <w:t>(Sofic et al., 1992)</w:t>
      </w:r>
      <w:r w:rsidR="00593AAE" w:rsidRPr="00CB1C44">
        <w:rPr>
          <w:rFonts w:ascii="Arial" w:hAnsi="Arial" w:cs="Arial"/>
          <w:lang w:val="en-US"/>
        </w:rPr>
        <w:fldChar w:fldCharType="end"/>
      </w:r>
      <w:r w:rsidR="00593AAE" w:rsidRPr="00CB1C44">
        <w:rPr>
          <w:rFonts w:ascii="Arial" w:hAnsi="Arial" w:cs="Arial"/>
          <w:lang w:val="en-US"/>
        </w:rPr>
        <w:t xml:space="preserve"> and further increased levels of iron, a neurotoxic trace element </w:t>
      </w:r>
      <w:r w:rsidR="00593AAE"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{"citationItems":[{"id":"ITEM-1","itemData":{"DOI":"10.1111/j.1471-4159.1989.tb07264.x","ISBN":"0022-3042 (Print)\\n0022-3042 (Linking)","ISSN":"0022-3042","PMID":"2723638","abstract":"Levels of iron, copper, zinc, manganese, and lead were measured by inductively coupled plasma spectroscopy in parkinsonian and age-matched control brain tissue. There was 31-35% increase in the total iron content of the parkinsonian substantia nigra when compared to control tissue. In contrast, in the globus pallidus total iron levels were decreased by 29% in Parkinson's disease. There was no change in the total iron levels in any other region of the parkinsonian brain. Total copper levels were reduced by 34-45% in the substantia nigra in Parkinson's disease; no difference was found in the other brain areas examined. Zinc levels were increased in substantia nigra in Parkinson's disease by 50-54%, and the zinc content of the caudate nucleus and lateral putamen was also raised by 18-35%. Levels of manganese and lead were unchanged in all areas of the parkinsonian brain studied when compared to control brains, except for a small decrease (20%) in manganese content of the medial putamen. Increased levels of total iron in the substantia nigra may cause the excessive formation of toxic oxygen radicals, leading to dopamine cell death.","author":[{"dropping-particle":"","family":"Dexter","given":"D T","non-dropping-particle":"","parse-names":false,"suffix":""},{"dropping-particle":"","family":"Wells","given":"F R","non-dropping-particle":"","parse-names":false,"suffix":""},{"dropping-particle":"","family":"Lees","given":"A J","non-dropping-particle":"","parse-names":false,"suffix":""},{"dropping-particle":"","family":"Agid","given":"F","non-dropping-particle":"","parse-names":false,"suffix":""},{"dropping-particle":"","family":"Agid","given":"Y","non-dropping-particle":"","parse-names":false,"suffix":""},{"dropping-particle":"","family":"Jenner","given":"P","non-dropping-particle":"","parse-names":false,"suffix":""},{"dropping-particle":"","family":"Marsden","given":"C D","non-dropping-particle":"","parse-names":false,"suffix":""}],"container-title":"Journal of neurochemistry","id":"ITEM-1","issue":"6","issued":{"date-parts":[["1989"]]},"page":"1830-1836","title":"Increased nigral iron content and alterations in other metal ions occurring in brain in Parkinson's disease.","type":"article-journal","volume":"52"},"uris":["http://www.mendeley.com/documents/?uuid=7f7c459c-f519-4ac1-b02f-079b73454484"]}],"mendeley":{"formattedCitation":"(Dexter et al., 1989b)","plainTextFormattedCitation":"(Dexter et al., 1989b)","previouslyFormattedCitation":"(Dexter et al., 1989b)"},"properties":{"noteIndex":0},"schema":"https://github.com/citation-style-language/schema/raw/master/csl-citation.json"}</w:instrText>
      </w:r>
      <w:r w:rsidR="00593AAE" w:rsidRPr="00CB1C44">
        <w:rPr>
          <w:rFonts w:ascii="Arial" w:hAnsi="Arial" w:cs="Arial"/>
          <w:lang w:val="en-US"/>
        </w:rPr>
        <w:fldChar w:fldCharType="separate"/>
      </w:r>
      <w:r w:rsidR="00DD645C" w:rsidRPr="00CB1C44">
        <w:rPr>
          <w:rFonts w:ascii="Arial" w:hAnsi="Arial" w:cs="Arial"/>
          <w:noProof/>
          <w:lang w:val="en-US"/>
        </w:rPr>
        <w:t>(Dexter et al., 1989b)</w:t>
      </w:r>
      <w:r w:rsidR="00593AAE" w:rsidRPr="00CB1C44">
        <w:rPr>
          <w:rFonts w:ascii="Arial" w:hAnsi="Arial" w:cs="Arial"/>
          <w:lang w:val="en-US"/>
        </w:rPr>
        <w:fldChar w:fldCharType="end"/>
      </w:r>
      <w:r w:rsidR="00593AAE" w:rsidRPr="00CB1C44">
        <w:rPr>
          <w:rFonts w:ascii="Arial" w:hAnsi="Arial" w:cs="Arial"/>
          <w:lang w:val="en-US"/>
        </w:rPr>
        <w:t xml:space="preserve">, which invokes toxic effects and ROS production in this brain area </w:t>
      </w:r>
      <w:r w:rsidR="00593AAE"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{"citationItems":[{"id":"ITEM-1","itemData":{"DOI":"10.1016/S0896-6273(03)00126-0","ISBN":"0896-6273","ISSN":"08966273","PMID":"12670420","abstract":"Studies on postmortem brains from Parkinson's patients reveal elevated iron in the substantia nigra (SN). Selective cell death in this brain region is associated with oxidative stress, which may be exacerbated by the presence of excess iron. Whether iron plays a causative role in cell death, however, is controversial. Here, we explore the effects of iron chelation via either transgenic expression of the iron binding protein ferritin or oral administration of the bioavailable metal chelator clioquinol (CQ) on susceptibility to the Parkinson's-inducing agent 1-methyl-4-phenyl-1,2,3,6-tetrapyridine (MPTP). Reduction in reactive iron by either genetic or pharmacological means was found to be well tolerated in animals in our studies and to result in protection against the toxin, suggesting that iron chelation may be an effective therapy for prevention and treatment of the disease.","author":[{"dropping-particle":"","family":"Kaur","given":"Deepinder","non-dropping-particle":"","parse-names":false,"suffix":""},{"dropping-particle":"","family":"Yantiri","given":"Ferda","non-dropping-particle":"","parse-names":false,"suffix":""},{"dropping-particle":"","family":"Rajagopalan","given":"Subramanian","non-dropping-particle":"","parse-names":false,"suffix":""},{"dropping-particle":"","family":"Kumar","given":"Jyothi","non-dropping-particle":"","parse-names":false,"suffix":""},{"dropping-particle":"","family":"Mo","given":"Jun Qin","non-dropping-particle":"","parse-names":false,"suffix":""},{"dropping-particle":"","family":"Boonplueang","given":"Rapee","non-dropping-particle":"","parse-names":false,"suffix":""},{"dropping-particle":"","family":"Viswanath","given":"Veena","non-dropping-particle":"","parse-names":false,"suffix":""},{"dropping-particle":"","family":"Jacobs","given":"Russell","non-dropping-particle":"","parse-names":false,"suffix":""},{"dropping-particle":"","family":"Yang","given":"Lichuan","non-dropping-particle":"","parse-names":false,"suffix":""},{"dropping-particle":"","family":"Beal","given":"M. Flint","non-dropping-particle":"","parse-names":false,"suffix":""},{"dropping-particle":"","family":"DiMonte","given":"Dino","non-dropping-particle":"","parse-names":false,"suffix":""},{"dropping-particle":"","family":"Volitaskis","given":"Irene","non-dropping-particle":"","parse-names":false,"suffix":""},{"dropping-particle":"","family":"Ellerby","given":"Lisa","non-dropping-particle":"","parse-names":false,"suffix":""},{"dropping-particle":"","family":"Cherny","given":"Robert A.","non-dropping-particle":"","parse-names":false,"suffix":""},{"dropping-particle":"","family":"Bush","given":"Ashley I.","non-dropping-particle":"","parse-names":false,"suffix":""},{"dropping-particle":"","family":"Andersen","given":"Julie K.","non-dropping-particle":"","parse-names":false,"suffix":""}],"container-title":"Neuron","id":"ITEM-1","issue":"6","issued":{"date-parts":[["2003"]]},"page":"899-909","title":"Genetic or pharmacological iron chelation prevents MPTP-induced neurotoxicity in vivo: A novel therapy for Parkinson's disease","type":"article-journal","volume":"37"},"uris":["http://www.mendeley.com/documents/?uuid=082638f9-b9a6-4813-a4f7-515d81f4ea05"]}],"mendeley":{"formattedCitation":"(Kaur et al., 2003)","plainTextFormattedCitation":"(Kaur et al., 2003)","previouslyFormattedCitation":"(Kaur et al., 2003)"},"properties":{"noteIndex":0},"schema":"https://github.com/citation-style-language/schema/raw/master/csl-citation.json"}</w:instrText>
      </w:r>
      <w:r w:rsidR="00593AAE" w:rsidRPr="00CB1C44">
        <w:rPr>
          <w:rFonts w:ascii="Arial" w:hAnsi="Arial" w:cs="Arial"/>
          <w:lang w:val="en-US"/>
        </w:rPr>
        <w:fldChar w:fldCharType="separate"/>
      </w:r>
      <w:r w:rsidR="00DD645C" w:rsidRPr="00CB1C44">
        <w:rPr>
          <w:rFonts w:ascii="Arial" w:hAnsi="Arial" w:cs="Arial"/>
          <w:noProof/>
          <w:lang w:val="en-US"/>
        </w:rPr>
        <w:t>(Kaur et al., 2003)</w:t>
      </w:r>
      <w:r w:rsidR="00593AAE" w:rsidRPr="00CB1C44">
        <w:rPr>
          <w:rFonts w:ascii="Arial" w:hAnsi="Arial" w:cs="Arial"/>
          <w:lang w:val="en-US"/>
        </w:rPr>
        <w:fldChar w:fldCharType="end"/>
      </w:r>
      <w:r w:rsidR="00593AAE" w:rsidRPr="00CB1C44">
        <w:rPr>
          <w:rFonts w:ascii="Arial" w:hAnsi="Arial" w:cs="Arial"/>
          <w:lang w:val="en-US"/>
        </w:rPr>
        <w:t xml:space="preserve">. Concordantly, analysis of postmortem PD brains also showed lipid peroxidation </w:t>
      </w:r>
      <w:r w:rsidR="00593AAE"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{"citationItems":[{"id":"ITEM-1","itemData":{"DOI":"10.1111/j.1471-4159.1989.tb09133.x","ISBN":"0022-3042 (Print)\\r0022-3042 (Linking)","ISSN":"0022-3042","PMID":"2911023","abstract":"Polyunsaturated fatty acid (PUFA) levels (an index of the amount of substrate available for lipid peroxidation) were measured in several brain regions from patients who died with Parkinson's disease and age-matched control human postmortem brains. PUFA levels were reduced in parkinsonian substantia nigra compared to other brain regions and to control tissue. However, basal malondialdehyde (MDA; an intermediate in the lipid peroxidation process) levels were increased in parkinsonian nigra compared with other parkinsonian brain regions and control tissue. Expressing basal MDA levels in terms of PUFA content, the difference between parkinsonian and control substantia nigra was even more pronounced. Stimulating MDA production by incubating tissue with FeSO4 plus ascorbic acid, FeSO4 plus H2O2, or air alone produced lower MDA levels in the parkinsonian substantia nigra, probably reflecting the lower PUFA content. These results may indicate that an increased level of lipid peroxidation continues to occur in the parkinsonian nigra up to the time of death, perhaps because of continued exposure to excess free radicals derived from some endogenous or exogenous neurotoxic species.","author":[{"dropping-particle":"","family":"Dexter","given":"D T","non-dropping-particle":"","parse-names":false,"suffix":""},{"dropping-particle":"","family":"Carter","given":"C J","non-dropping-particle":"","parse-names":false,"suffix":""},{"dropping-particle":"","family":"Wells","given":"F R","non-dropping-particle":"","parse-names":false,"suffix":""},{"dropping-particle":"","family":"Javoy-Agid","given":"F","non-dropping-particle":"","parse-names":false,"suffix":""},{"dropping-particle":"","family":"Agid","given":"Y","non-dropping-particle":"","parse-names":false,"suffix":""},{"dropping-particle":"","family":"Lees","given":"a","non-dropping-particle":"","parse-names":false,"suffix":""},{"dropping-particle":"","family":"Jenner","given":"P","non-dropping-particle":"","parse-names":false,"suffix":""},{"dropping-particle":"","family":"Marsden","given":"C D","non-dropping-particle":"","parse-names":false,"suffix":""}],"container-title":"Journal of neurochemistry","id":"ITEM-1","issue":"2","issued":{"date-parts":[["1989"]]},"page":"381-389","title":"Basal lipid peroxidation in substantia nigra is increased in Parkinson's disease.","type":"article-journal","volume":"52"},"uris":["http://www.mendeley.com/documents/?uuid=86b89c6b-4c21-485f-a0f2-e74fb0d40fe0"]}],"mendeley":{"formattedCitation":"(Dexter et al., 1989a)","plainTextFormattedCitation":"(Dexter et al., 1989a)","previouslyFormattedCitation":"(Dexter et al., 1989a)"},"properties":{"noteIndex":0},"schema":"https://github.com/citation-style-language/schema/raw/master/csl-citation.json"}</w:instrText>
      </w:r>
      <w:r w:rsidR="00593AAE" w:rsidRPr="00CB1C44">
        <w:rPr>
          <w:rFonts w:ascii="Arial" w:hAnsi="Arial" w:cs="Arial"/>
          <w:lang w:val="en-US"/>
        </w:rPr>
        <w:fldChar w:fldCharType="separate"/>
      </w:r>
      <w:r w:rsidR="00DD645C" w:rsidRPr="00CB1C44">
        <w:rPr>
          <w:rFonts w:ascii="Arial" w:hAnsi="Arial" w:cs="Arial"/>
          <w:noProof/>
          <w:lang w:val="en-US"/>
        </w:rPr>
        <w:t>(Dexter et al., 1989a)</w:t>
      </w:r>
      <w:r w:rsidR="00593AAE" w:rsidRPr="00CB1C44">
        <w:rPr>
          <w:rFonts w:ascii="Arial" w:hAnsi="Arial" w:cs="Arial"/>
          <w:lang w:val="en-US"/>
        </w:rPr>
        <w:fldChar w:fldCharType="end"/>
      </w:r>
      <w:r w:rsidR="00593AAE" w:rsidRPr="00CB1C44">
        <w:rPr>
          <w:rFonts w:ascii="Arial" w:hAnsi="Arial" w:cs="Arial"/>
          <w:lang w:val="en-US"/>
        </w:rPr>
        <w:t xml:space="preserve"> and increased damage due to protein oxidation </w:t>
      </w:r>
      <w:r w:rsidR="00593AAE"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{"citationItems":[{"id":"ITEM-1","itemData":{"DOI":"10.1073/pnas.93.7.2696","ISBN":"0027-8424 (Print)\\r0027-8424 (Linking)","ISSN":"00278424","PMID":"8610103","abstract":"There is growing evidence that oxidative stress and mitochondrial respiratory failure with attendant decrease in energy output are implicated in nigral neuronal death in Parkinson disease (PD). It is not known, however, which cellular elements (neurons or glial cells) are major targets of oxygen-mediated damage. 4-Hydroxy-2-nonenal (HNE) was shown earlier to react with proteins to form stable adducts that can be used as markers of oxidative stress-induced cellular damage. We report here results of immunochemical studies using polyclonal antibodies directed against HNE-protein conjugates to label the site of oxidative damage in control subjects (ages 18-99 years) and seven patients that died of PD (ages 57-78 years). All the nigral melanized neurons in one of the midbrain sections were counted and classified into three groups according to the intensity of immunostaining for HNE-modified proteins--i.e., no staining, weak staining, and intensely positive staining. On average, 58% of nigral neurons were positively stained for HNE-modified proteins in PD; in contrast only 9% of nigral neurons were positive in the control subjects; the difference was statistically significant (Mann-Whitney U test; P &lt; 0.01). In contrast to the substantia nigra, the oculomotor neurons in the same midbrain sections showed no or only weak staining for HNE-modified proteins in both PD and control subjects; young control subjects did not show any immunostaining; however, aged control subjects showed weak staining in the oculomotor nucleus, suggesting age-related accumulation of HNE-modified proteins in the neuron. Our results indicate the presence of oxidative stress within nigral neurons in PD, and this oxidative stress may contribute to nigral cell death.","author":[{"dropping-particle":"","family":"Yoritaka","given":"a","non-dropping-particle":"","parse-names":false,"suffix":""},{"dropping-particle":"","family":"Hattori","given":"N","non-dropping-particle":"","parse-names":false,"suffix":""},{"dropping-particle":"","family":"Uchida","given":"K","non-dropping-particle":"","parse-names":false,"suffix":""},{"dropping-particle":"","family":"Tanaka","given":"M","non-dropping-particle":"","parse-names":false,"suffix":""},{"dropping-particle":"","family":"Stadtman","given":"E R","non-dropping-particle":"","parse-names":false,"suffix":""},{"dropping-particle":"","family":"Mizuno","given":"Y","non-dropping-particle":"","parse-names":false,"suffix":""}],"container-title":"Proceedings of the National Academy of Sciences of the United States of America","id":"ITEM-1","issue":"7","issued":{"date-parts":[["1996"]]},"page":"2696-2701","title":"Immunohistochemical detection of 4-hydroxynonenal protein adducts in Parkinson disease.","type":"article-journal","volume":"93"},"uris":["http://www.mendeley.com/documents/?uuid=ee6b9da7-3e9f-43a1-86d6-6568cb9f76d1"]},{"id":"ITEM-2","itemData":{"DOI":"10.1046/j.1471-4159.1997.69031326.x","ISBN":"0022-3042 (Print)","ISSN":"00223042","PMID":"9282961","abstract":"The degeneration of neurones in Parkinson's disease (PD) may involve oxidative stress. Previously, increased lipid peroxidation and oxidative DNA damage have been reported in parkinsonian substantia nigra. In the present study the protein carbonyl assay was used to assess oxidative protein damage in postmortem brain tissue from patients with PD and age-matched controls. In brain areas associated with PD, such as substantia nigra, caudate nucleus, and putamen, there was a significant increase in carbonyl levels. However, increased carbonyl levels were also found in areas of the brain not thought to be affected in PD. This perhaps suggests that protein carbonyl formation is related to therapy with L-DOPA, which can exert prooxidant properties in vitro. Consistent with this possibility, brain regions from individuals with incidental Lewy body disease (putative presymptomatic PD) showed no rise in carbonyls in any brain areas. Our data show that either oxidative protein damage occurs widely but late in PD brain, and/or that L-DOPA treatment contributes to protein oxidation.","author":[{"dropping-particle":"","family":"Alam","given":"Zafar I","non-dropping-particle":"","parse-names":false,"suffix":""},{"dropping-particle":"","family":"Daniel","given":"Susan E","non-dropping-particle":"","parse-names":false,"suffix":""},{"dropping-particle":"","family":"Lees","given":"Andrew J","non-dropping-particle":"","parse-names":false,"suffix":""},{"dropping-particle":"","family":"Marsden","given":"David C","non-dropping-particle":"","parse-names":false,"suffix":""},{"dropping-particle":"","family":"Jenner","given":"Peter","non-dropping-particle":"","parse-names":false,"suffix":""},{"dropping-particle":"","family":"Halliwell","given":"Barry","non-dropping-particle":"","parse-names":false,"suffix":""}],"container-title":"Journal of Neurochemistry","id":"ITEM-2","issue":"3","issued":{"date-parts":[["2002","11","18"]]},"page":"1326-1329","title":"A Generalised Increase in Protein Carbonyls in the Brain in Parkinson's but Not Incidental Lewy Body Disease","type":"article-journal","volume":"69"},"uris":["http://www.mendeley.com/documents/?uuid=90f69704-bc1f-401e-9e3f-4cded69cbe73"]}],"mendeley":{"formattedCitation":"(Alam et al., 2002; Yoritaka et al., 1996)","plainTextFormattedCitation":"(Alam et al., 2002; Yoritaka et al., 1996)","previouslyFormattedCitation":"(Alam et al., 2002; Yoritaka et al., 1996)"},"properties":{"noteIndex":0},"schema":"https://github.com/citation-style-language/schema/raw/master/csl-citation.json"}</w:instrText>
      </w:r>
      <w:r w:rsidR="00593AAE" w:rsidRPr="00CB1C44">
        <w:rPr>
          <w:rFonts w:ascii="Arial" w:hAnsi="Arial" w:cs="Arial"/>
          <w:lang w:val="en-US"/>
        </w:rPr>
        <w:fldChar w:fldCharType="separate"/>
      </w:r>
      <w:r w:rsidR="00DD645C" w:rsidRPr="00CB1C44">
        <w:rPr>
          <w:rFonts w:ascii="Arial" w:hAnsi="Arial" w:cs="Arial"/>
          <w:noProof/>
          <w:lang w:val="en-US"/>
        </w:rPr>
        <w:t>(Alam et al., 2002; Yoritaka et al., 1996)</w:t>
      </w:r>
      <w:r w:rsidR="00593AAE" w:rsidRPr="00CB1C44">
        <w:rPr>
          <w:rFonts w:ascii="Arial" w:hAnsi="Arial" w:cs="Arial"/>
          <w:lang w:val="en-US"/>
        </w:rPr>
        <w:fldChar w:fldCharType="end"/>
      </w:r>
      <w:r w:rsidR="00593AAE" w:rsidRPr="00CB1C44">
        <w:rPr>
          <w:rFonts w:ascii="Arial" w:hAnsi="Arial" w:cs="Arial"/>
          <w:lang w:val="en-US"/>
        </w:rPr>
        <w:t xml:space="preserve">. </w:t>
      </w:r>
      <w:r w:rsidR="00AF4434" w:rsidRPr="00CB1C44">
        <w:rPr>
          <w:rFonts w:ascii="Arial" w:hAnsi="Arial" w:cs="Arial"/>
          <w:lang w:val="en-US"/>
        </w:rPr>
        <w:t>In addition, significant increments in oxidized coenzyme Q10 and the n</w:t>
      </w:r>
      <w:r w:rsidR="0024646D" w:rsidRPr="00CB1C44">
        <w:rPr>
          <w:rFonts w:ascii="Arial" w:hAnsi="Arial" w:cs="Arial"/>
          <w:lang w:val="en-US"/>
        </w:rPr>
        <w:t>uclear DNA oxidation biomarker 8-OHdG</w:t>
      </w:r>
      <w:r w:rsidR="00AF4434" w:rsidRPr="00CB1C44">
        <w:rPr>
          <w:rFonts w:ascii="Arial" w:hAnsi="Arial" w:cs="Arial"/>
          <w:lang w:val="en-US"/>
        </w:rPr>
        <w:t xml:space="preserve"> were observed in cerebrospinal fluid samples of PD patients </w:t>
      </w:r>
      <w:r w:rsidR="00AF443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{"citationItems":[{"id":"ITEM-1","itemData":{"DOI":"10.1016/j.neulet.2009.11.065","ISSN":"1872-7972","PMID":"19944739","abstract":"The aim of this study was to investigate the possibility that mitochondrial oxidative damage, oxidative DNA damage or both contribute to the neurodegenerative process of Parkinson's disease (PD). We employed high-performance liquid chromatography (HPLC) using an electrochemical detector to measure concentrations of the reduced and oxidized forms of coenzyme Q-10 (CoQ-10) and 8-hydroxy-2'-deoxyguanosine (8-OHdG) in the cerebrospinal fluid (CSF) of 20 patients with PD and 20 age-matched controls with no neurological disease. The percentage of oxidized to total CoQ-10 (%CoQ-10) in the CSF of the PD group (80.3+/-17.9%) was significantly higher than in the control group (68.2+/-20.4%, P&lt;0.05). In addition, the concentration of 8-OHdG in the CSF of PD patients was greater than in the CSF of controls (P&lt;0.0001) and was positively correlated with the duration of illness (r(s)=0.87, P&lt;0.001). Finally, the %CoQ-10 was correlated with concentrations of 8-OHdG in the CSF of PD patients (r(s)=0.56, P&lt;0.01). The present study suggests that both mitochondrial oxidative damage and oxidative DNA damage play important roles in the pathogenesis of early PD development.","author":[{"dropping-particle":"","family":"Isobe","given":"Chiaki","non-dropping-particle":"","parse-names":false,"suffix":""},{"dropping-particle":"","family":"Abe","given":"Takashi","non-dropping-particle":"","parse-names":false,"suffix":""},{"dropping-particle":"","family":"Terayama","given":"Yasuo","non-dropping-particle":"","parse-names":false,"suffix":""}],"container-title":"Neuroscience letters","id":"ITEM-1","issue":"1","issued":{"date-parts":[["2010","1","18"]]},"page":"159-63","title":"Levels of reduced and oxidized coenzyme Q-10 and 8-hydroxy-2'-deoxyguanosine in the cerebrospinal fluid of patients with living Parkinson's disease demonstrate that mitochondrial oxidative damage and/or oxidative DNA damage contributes to the neurodegener","type":"article-journal","volume":"469"},"uris":["http://www.mendeley.com/documents/?uuid=503bc661-77aa-45a9-8b72-c9a72c4db52b"]}],"mendeley":{"formattedCitation":"(Isobe et al., 2010)","plainTextFormattedCitation":"(Isobe et al., 2010)","previouslyFormattedCitation":"(Isobe et al., 2010)"},"properties":{"noteIndex":0},"schema":"https://github.com/citation-style-language/schema/raw/master/csl-citation.json"}</w:instrText>
      </w:r>
      <w:r w:rsidR="00AF4434" w:rsidRPr="00CB1C44">
        <w:rPr>
          <w:rFonts w:ascii="Arial" w:hAnsi="Arial" w:cs="Arial"/>
          <w:lang w:val="en-US"/>
        </w:rPr>
        <w:fldChar w:fldCharType="separate"/>
      </w:r>
      <w:r w:rsidR="00DD645C" w:rsidRPr="00CB1C44">
        <w:rPr>
          <w:rFonts w:ascii="Arial" w:hAnsi="Arial" w:cs="Arial"/>
          <w:noProof/>
          <w:lang w:val="en-US"/>
        </w:rPr>
        <w:t>(Isobe et al., 2010)</w:t>
      </w:r>
      <w:r w:rsidR="00AF4434" w:rsidRPr="00CB1C44">
        <w:rPr>
          <w:rFonts w:ascii="Arial" w:hAnsi="Arial" w:cs="Arial"/>
          <w:lang w:val="en-US"/>
        </w:rPr>
        <w:fldChar w:fldCharType="end"/>
      </w:r>
      <w:r w:rsidR="00AF4434" w:rsidRPr="00CB1C44">
        <w:rPr>
          <w:rFonts w:ascii="Arial" w:hAnsi="Arial" w:cs="Arial"/>
          <w:lang w:val="en-US"/>
        </w:rPr>
        <w:t xml:space="preserve">, illustrating the existence of DNA oxidative damage and mitochondria in those patients </w:t>
      </w:r>
      <w:r w:rsidR="00AF443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{"citationItems":[{"id":"ITEM-1","itemData":{"DOI":"10.1016/j.neulet.2009.11.065","ISSN":"1872-7972","PMID":"19944739","abstract":"The aim of this study was to investigate the possibility that mitochondrial oxidative damage, oxidative DNA damage or both contribute to the neurodegenerative process of Parkinson's disease (PD). We employed high-performance liquid chromatography (HPLC) using an electrochemical detector to measure concentrations of the reduced and oxidized forms of coenzyme Q-10 (CoQ-10) and 8-hydroxy-2'-deoxyguanosine (8-OHdG) in the cerebrospinal fluid (CSF) of 20 patients with PD and 20 age-matched controls with no neurological disease. The percentage of oxidized to total CoQ-10 (%CoQ-10) in the CSF of the PD group (80.3+/-17.9%) was significantly higher than in the control group (68.2+/-20.4%, P&lt;0.05). In addition, the concentration of 8-OHdG in the CSF of PD patients was greater than in the CSF of controls (P&lt;0.0001) and was positively correlated with the duration of illness (r(s)=0.87, P&lt;0.001). Finally, the %CoQ-10 was correlated with concentrations of 8-OHdG in the CSF of PD patients (r(s)=0.56, P&lt;0.01). The present study suggests that both mitochondrial oxidative damage and oxidative DNA damage play important roles in the pathogenesis of early PD development.","author":[{"dropping-particle":"","family":"Isobe","given":"Chiaki","non-dropping-particle":"","parse-names":false,"suffix":""},{"dropping-particle":"","family":"Abe","given":"Takashi","non-dropping-particle":"","parse-names":false,"suffix":""},{"dropping-particle":"","family":"Terayama","given":"Yasuo","non-dropping-particle":"","parse-names":false,"suffix":""}],"container-title":"Neuroscience letters","id":"ITEM-1","issue":"1","issued":{"date-parts":[["2010","1","18"]]},"page":"159-63","title":"Levels of reduced and oxidized coenzyme Q-10 and 8-hydroxy-2'-deoxyguanosine in the cerebrospinal fluid of patients with living Parkinson's disease demonstrate that mitochondrial oxidative damage and/or oxidative DNA damage contributes to the neurodegener","type":"article-journal","volume":"469"},"uris":["http://www.mendeley.com/documents/?uuid=503bc661-77aa-45a9-8b72-c9a72c4db52b"]}],"mendeley":{"formattedCitation":"(Isobe et al., 2010)","plainTextFormattedCitation":"(Isobe et al., 2010)","previouslyFormattedCitation":"(Isobe et al., 2010)"},"properties":{"noteIndex":0},"schema":"https://github.com/citation-style-language/schema/raw/master/csl-citation.json"}</w:instrText>
      </w:r>
      <w:r w:rsidR="00AF4434" w:rsidRPr="00CB1C44">
        <w:rPr>
          <w:rFonts w:ascii="Arial" w:hAnsi="Arial" w:cs="Arial"/>
          <w:lang w:val="en-US"/>
        </w:rPr>
        <w:fldChar w:fldCharType="separate"/>
      </w:r>
      <w:r w:rsidR="00DD645C" w:rsidRPr="00CB1C44">
        <w:rPr>
          <w:rFonts w:ascii="Arial" w:hAnsi="Arial" w:cs="Arial"/>
          <w:noProof/>
          <w:lang w:val="en-US"/>
        </w:rPr>
        <w:t>(Isobe et al., 2010)</w:t>
      </w:r>
      <w:r w:rsidR="00AF4434" w:rsidRPr="00CB1C44">
        <w:rPr>
          <w:rFonts w:ascii="Arial" w:hAnsi="Arial" w:cs="Arial"/>
          <w:lang w:val="en-US"/>
        </w:rPr>
        <w:fldChar w:fldCharType="end"/>
      </w:r>
      <w:r w:rsidR="00AF4434" w:rsidRPr="00CB1C44">
        <w:rPr>
          <w:rFonts w:ascii="Arial" w:hAnsi="Arial" w:cs="Arial"/>
          <w:lang w:val="en-US"/>
        </w:rPr>
        <w:t xml:space="preserve">. Furthermore, evidences of mitochondrial dysfunction </w:t>
      </w:r>
      <w:r w:rsidR="003271C8" w:rsidRPr="00CB1C44">
        <w:rPr>
          <w:rFonts w:ascii="Arial" w:hAnsi="Arial" w:cs="Arial"/>
          <w:lang w:val="en-US"/>
        </w:rPr>
        <w:t>were</w:t>
      </w:r>
      <w:r w:rsidR="00AF4434" w:rsidRPr="00CB1C44">
        <w:rPr>
          <w:rFonts w:ascii="Arial" w:hAnsi="Arial" w:cs="Arial"/>
          <w:lang w:val="en-US"/>
        </w:rPr>
        <w:t xml:space="preserve"> also observed in PD brains, </w:t>
      </w:r>
      <w:r w:rsidR="003271C8" w:rsidRPr="00CB1C44">
        <w:rPr>
          <w:rFonts w:ascii="Arial" w:hAnsi="Arial" w:cs="Arial"/>
          <w:lang w:val="en-US"/>
        </w:rPr>
        <w:t>namely</w:t>
      </w:r>
      <w:r w:rsidR="00AF4434" w:rsidRPr="00CB1C44">
        <w:rPr>
          <w:rFonts w:ascii="Arial" w:hAnsi="Arial" w:cs="Arial"/>
          <w:lang w:val="en-US"/>
        </w:rPr>
        <w:t xml:space="preserve"> reduced mitochondrial complex I catalytic activity </w:t>
      </w:r>
      <w:r w:rsidR="00AF443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{"citationItems":[{"id":"ITEM-1","itemData":{"DOI":"10.1523/JNEUROSCI.0984-06.2006","ISBN":"1529-2401 (Electronic)\\n0270-6474 (Linking)","ISSN":"0270-6474","PMID":"16687518","abstract":"Loss of mitochondrial complex I catalytic activity in the electron transport chain (ETC) is found in multiple tissues from individuals with sporadic Parkinson's disease (PD) and is a property of some PD model neurotoxins. Using special ETC subunit-specific and complex I immunocapture antibodies directed against the entire complex I macroassembly, we quantified ETC proteins and protein oxidation of complex I subunits in brain mitochondria from 10 PD and 12 age-matched control (CTL) samples. We measured nicotinamide adenine dinucleotide (NADH)-driven electron transfer rates through complex I and correlated these with complex I subunit oxidation levels and reductions of its 8 kDa subunit. PD brain complex I shows 11% increase in ND6, 34% decrease in its 8 kDa subunit and contains 47% more protein carbonyls localized to catalytic subunits coded for by mitochondrial and nuclear genomes We found no changes in levels of ETC proteins from complexes II-V. Oxidative damage patterns to PD complex I are reproduced by incubation of CTL brain mitochondria with NADH in the presence of rotenone but not by exogenous oxidant. NADH-driven electron transfer rates through complex I inversely correlate with complex I protein oxidation status and positively correlate with reduction in PD 8 kDa subunit. Reduced complex I function in PD brain mitochondria appears to arise from oxidation of its catalytic subunits from internal processes, not from external oxidative stress, and correlates with complex I misassembly. This complex I auto-oxidation may derive from abnormalities in mitochondrial or nuclear encoded subunits, complex I assembly factors, rotenone-like complex I toxins, or some combination.","author":[{"dropping-particle":"","family":"Keeney","given":"Paula M","non-dropping-particle":"","parse-names":false,"suffix":""},{"dropping-particle":"","family":"Xie","given":"Jing","non-dropping-particle":"","parse-names":false,"suffix":""},{"dropping-particle":"","family":"Capaldi","given":"Roderick a","non-dropping-particle":"","parse-names":false,"suffix":""},{"dropping-particle":"","family":"Bennett","given":"James P","non-dropping-particle":"","parse-names":false,"suffix":""}],"container-title":"The Journal of neuroscience : the official journal of the Society for Neuroscience","id":"ITEM-1","issue":"19","issued":{"date-parts":[["2006"]]},"page":"5256-5264","title":"Parkinson's disease brain mitochondrial complex I has oxidatively damaged subunits and is functionally impaired and misassembled.","type":"article-journal","volume":"26"},"uris":["http://www.mendeley.com/documents/?uuid=c17a03ec-af85-47b2-b7a7-58d562d8549a"]}],"mendeley":{"formattedCitation":"(Keeney et al., 2006)","plainTextFormattedCitation":"(Keeney et al., 2006)","previouslyFormattedCitation":"(Keeney et al., 2006)"},"properties":{"noteIndex":0},"schema":"https://github.com/citation-style-language/schema/raw/master/csl-citation.json"}</w:instrText>
      </w:r>
      <w:r w:rsidR="00AF4434" w:rsidRPr="00CB1C44">
        <w:rPr>
          <w:rFonts w:ascii="Arial" w:hAnsi="Arial" w:cs="Arial"/>
          <w:lang w:val="en-US"/>
        </w:rPr>
        <w:fldChar w:fldCharType="separate"/>
      </w:r>
      <w:r w:rsidR="00DD645C" w:rsidRPr="00CB1C44">
        <w:rPr>
          <w:rFonts w:ascii="Arial" w:hAnsi="Arial" w:cs="Arial"/>
          <w:noProof/>
          <w:lang w:val="en-US"/>
        </w:rPr>
        <w:t>(Keeney et al., 2006)</w:t>
      </w:r>
      <w:r w:rsidR="00AF4434" w:rsidRPr="00CB1C44">
        <w:rPr>
          <w:rFonts w:ascii="Arial" w:hAnsi="Arial" w:cs="Arial"/>
          <w:lang w:val="en-US"/>
        </w:rPr>
        <w:fldChar w:fldCharType="end"/>
      </w:r>
      <w:r w:rsidR="00AF4434" w:rsidRPr="00CB1C44">
        <w:rPr>
          <w:rFonts w:ascii="Arial" w:hAnsi="Arial" w:cs="Arial"/>
          <w:lang w:val="en-US"/>
        </w:rPr>
        <w:t xml:space="preserve">, down-regulated mitochondrial biogenesis in the frontal cortex </w:t>
      </w:r>
      <w:r w:rsidR="00AF443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{"citationItems":[{"id":"ITEM-1","itemData":{"DOI":"10.3233/JPD-2012-11074","ISBN":"1877-718X (Electronic)\\n1877-7171 (Linking)","ISSN":"18777171","PMID":"23939409","abstract":"Parkinson's disease (PD) can include a progressive frontal lobe α-synucleinopathy with disability from cognitive decline and cortico-limbic dysregulation that may arise from bioenergetic impairments. We examined in PD frontal cortex regulation of mitochondrial biogenesis (mitobiogenesis) and its effects on Complex-I. We quantified expression of 33 nuclear genome (nDNA)-encoded and 7 mitochondrial genome (mtDNA)-encoded Complex-I genes, 6 Complex-I assembly factors and multiple mitobiogenesis genes. We related these findings to levels of Complex-I proteins and NADH-driven electron flow in mitochondria from these same specimens reported in earlier studies. We found widespread, decreased expression of nDNA Complex-I genes that correlated in some cases with mitochondrial Complex-I protein levels, and of ACAD9, a Complex-I assembly factor. mtDNA-transcribed Complex-I genes showed ~ constant expression within each PD sample but variable expression across PD samples that correlated with NRF1. Relationships among PGC-1α and its downstream targets NRF1 and TFAM were very similar in PD and CTL and were related to mitochondrial NADH-driven electron flow. MicroRNA arrays revealed multiple miRNA's regulated &gt;2-fold predicted to interact with PGC-1α or its upstream regulators. Exposure of cultured human neurons to NO, rotenone and TNF-alpha partially reproduced mitobiogenesis down-regulation. In PD frontal cortex mitobiogenesis signaling relationships are maintained but down-regulated, correlate with impaired mitochondrial NADH-driven electron flow and may arise from combinations of nitrosative/oxidative stresses, inflammatory cytokines, altered levels of mitobiogenesis gene-interacting microRNA's, or other unknown mechanisms. Stimulation of mitobiogenesis in PD may inhibit rostral disease progression and appearance of secondary symptoms referable to frontal cortex.","author":[{"dropping-particle":"","family":"Thomas","given":"Ravindar R.","non-dropping-particle":"","parse-names":false,"suffix":""},{"dropping-particle":"","family":"Keeney","given":"Paula M.","non-dropping-particle":"","parse-names":false,"suffix":""},{"dropping-particle":"","family":"Bennett","given":"James P.","non-dropping-particle":"","parse-names":false,"suffix":""}],"container-title":"Journal of Parkinson's Disease","id":"ITEM-1","issue":"1","issued":{"date-parts":[["2012"]]},"page":"67-76","title":"Impaired complex-I mitochondrial biogenesis in parkinson disease frontal cortex","type":"article-journal","volume":"2"},"uris":["http://www.mendeley.com/documents/?uuid=913e0226-6a91-4db4-a622-ac0d84ae3a25"]}],"mendeley":{"formattedCitation":"(Thomas et al., 2012)","plainTextFormattedCitation":"(Thomas et al., 2012)","previouslyFormattedCitation":"(Thomas et al., 2012)"},"properties":{"noteIndex":0},"schema":"https://github.com/citation-style-language/schema/raw/master/csl-citation.json"}</w:instrText>
      </w:r>
      <w:r w:rsidR="00AF4434" w:rsidRPr="00CB1C44">
        <w:rPr>
          <w:rFonts w:ascii="Arial" w:hAnsi="Arial" w:cs="Arial"/>
          <w:lang w:val="en-US"/>
        </w:rPr>
        <w:fldChar w:fldCharType="separate"/>
      </w:r>
      <w:r w:rsidR="00DD645C" w:rsidRPr="00CB1C44">
        <w:rPr>
          <w:rFonts w:ascii="Arial" w:hAnsi="Arial" w:cs="Arial"/>
          <w:noProof/>
          <w:lang w:val="en-US"/>
        </w:rPr>
        <w:t>(Thomas et al., 2012)</w:t>
      </w:r>
      <w:r w:rsidR="00AF4434" w:rsidRPr="00CB1C44">
        <w:rPr>
          <w:rFonts w:ascii="Arial" w:hAnsi="Arial" w:cs="Arial"/>
          <w:lang w:val="en-US"/>
        </w:rPr>
        <w:fldChar w:fldCharType="end"/>
      </w:r>
      <w:r w:rsidR="00AF4434" w:rsidRPr="00CB1C44">
        <w:rPr>
          <w:rFonts w:ascii="Arial" w:hAnsi="Arial" w:cs="Arial"/>
          <w:lang w:val="en-US"/>
        </w:rPr>
        <w:t xml:space="preserve"> and reduced mitochondrial DNA levels in the prefrontal cortex </w:t>
      </w:r>
      <w:r w:rsidR="00AF4434"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{"citationItems":[{"id":"ITEM-1","itemData":{"DOI":"10.1002/mds.26513","ISSN":"1531-8257","PMID":"26853899","abstract":"BACKGROUND Dementia is a common feature of Parkinson's disease (PD), but the neuropathological changes associated with the development of Parkinson's disease dementia (PDD) are only partially understood. Mitochondrial dysfunction is a hallmark of PD but has not been studied in PDD. METHODS Molecular and biochemical approaches were used to study mitochondrial activity and quantity in postmortem prefrontal cortex tissue. Tissues from pathologically confirmed PD and PDD patients and from age-matched controls were used to analyze the activity of mitochondrial enzyme complex nicotinamide adenine dinucleotide:ubiquinone oxidoreductase, or complex I (the first enzyme in the mitochondrial respiratory chain), mitochondrial DNA levels, and the expression of mitochondrial proteins. RESULTS Complex I activity was significantly decreased (27% reduction; analysis of variance with Tukey's post hoc test; P &lt; 0.05) in PDD patients, and mitochondrial DNA levels were also significantly decreased (18% reduction; Kruskal-Wallis analysis of variance with Dunn's multiple comparison test; P &lt; 0.05) in PDD patients compared with controls, but neither was significantly reduced in PD patients. Overall, mitochondrial biogenesis was unaffected in PD or PDD, because the expression of mitochondrial proteins in patients was similar to that in controls. CONCLUSIONS Patients with PDD have a deficiency in mitochondrial complex I activity and reduced mitochondrial DNA levels in the prefrontal cortex without a change in mitochondrial protein quantity. Therefore, mitochondrial complex I deficiency and reduced mitochondrial DNA in the prefrontal cortex may be a hallmark of dementia in patients with PD. © 2016 International Parkinson and Movement Disorder Society.","author":[{"dropping-particle":"","family":"Gatt","given":"Ariana P.","non-dropping-particle":"","parse-names":false,"suffix":""},{"dropping-particle":"","family":"Duncan","given":"Olivia F.","non-dropping-particle":"","parse-names":false,"suffix":""},{"dropping-particle":"","family":"Attems","given":"Johannes","non-dropping-particle":"","parse-names":false,"suffix":""},{"dropping-particle":"","family":"Francis","given":"Paul T.","non-dropping-particle":"","parse-names":false,"suffix":""},{"dropping-particle":"","family":"Ballard","given":"Clive G.","non-dropping-particle":"","parse-names":false,"suffix":""},{"dropping-particle":"","family":"Bateman","given":"Joseph M.","non-dropping-particle":"","parse-names":false,"suffix":""}],"container-title":"Movement disorders : official journal of the Movement Disorder Society","id":"ITEM-1","issue":"3","issued":{"date-parts":[["2016"]]},"page":"352-9","title":"Dementia in Parkinson's disease is associated with enhanced mitochondrial complex I deficiency.","type":"article-journal","volume":"31"},"uris":["http://www.mendeley.com/documents/?uuid=326044c3-eb33-4a89-97c6-054dc3a3abd6"]}],"mendeley":{"formattedCitation":"(Gatt et al., 2016)","plainTextFormattedCitation":"(Gatt et al., 2016)","previouslyFormattedCitation":"(Gatt et al., 2016)"},"properties":{"noteIndex":0},"schema":"https://github.com/citation-style-language/schema/raw/master/csl-citation.json"}</w:instrText>
      </w:r>
      <w:r w:rsidR="00AF4434" w:rsidRPr="00CB1C44">
        <w:rPr>
          <w:rFonts w:ascii="Arial" w:hAnsi="Arial" w:cs="Arial"/>
          <w:lang w:val="en-US"/>
        </w:rPr>
        <w:fldChar w:fldCharType="separate"/>
      </w:r>
      <w:r w:rsidR="00DD645C" w:rsidRPr="00CB1C44">
        <w:rPr>
          <w:rFonts w:ascii="Arial" w:hAnsi="Arial" w:cs="Arial"/>
          <w:noProof/>
          <w:lang w:val="en-US"/>
        </w:rPr>
        <w:t>(Gatt et al., 2016)</w:t>
      </w:r>
      <w:r w:rsidR="00AF4434" w:rsidRPr="00CB1C44">
        <w:rPr>
          <w:rFonts w:ascii="Arial" w:hAnsi="Arial" w:cs="Arial"/>
          <w:lang w:val="en-US"/>
        </w:rPr>
        <w:fldChar w:fldCharType="end"/>
      </w:r>
      <w:r w:rsidR="00AF4434" w:rsidRPr="00CB1C44">
        <w:rPr>
          <w:rFonts w:ascii="Arial" w:hAnsi="Arial" w:cs="Arial"/>
          <w:lang w:val="en-US"/>
        </w:rPr>
        <w:t xml:space="preserve">, leading to ROS production and oxidative stress. Additionally, we </w:t>
      </w:r>
      <w:r w:rsidR="003271C8" w:rsidRPr="00CB1C44">
        <w:rPr>
          <w:rFonts w:ascii="Arial" w:hAnsi="Arial" w:cs="Arial"/>
          <w:lang w:val="en-US"/>
        </w:rPr>
        <w:t>previously</w:t>
      </w:r>
      <w:r w:rsidR="002A48E3" w:rsidRPr="00CB1C44">
        <w:rPr>
          <w:rFonts w:ascii="Arial" w:hAnsi="Arial" w:cs="Arial"/>
          <w:lang w:val="en-US"/>
        </w:rPr>
        <w:t xml:space="preserve"> evidenced increased ROS production and impaired mitochondrial complex I activity in human neuroblastoma SH-SY5Y cells overexpressing </w:t>
      </w:r>
      <w:r w:rsidR="006B4E52" w:rsidRPr="00CB1C44">
        <w:rPr>
          <w:rFonts w:ascii="Arial" w:hAnsi="Arial" w:cs="Arial"/>
          <w:lang w:val="en-US"/>
        </w:rPr>
        <w:t xml:space="preserve">wild-type </w:t>
      </w:r>
      <w:r w:rsidR="002A48E3" w:rsidRPr="00CB1C44">
        <w:rPr>
          <w:rFonts w:ascii="Arial" w:hAnsi="Arial" w:cs="Arial"/>
          <w:lang w:val="en-US"/>
        </w:rPr>
        <w:t xml:space="preserve">α-Syn </w:t>
      </w:r>
      <w:r w:rsidR="002A48E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00204-016-1788-6","ISSN":"0340-5761","author":[{"dropping-particle":"","family":"Perfeito","given":"Rita","non-dropping-particle":"","parse-names":false,"suffix":""},{"dropping-particle":"","family":"Ribeiro","given":"Márcio","non-dropping-particle":"","parse-names":false,"suffix":""},{"dropping-particle":"","family":"Rego","given":"A. Cristina","non-dropping-particle":"","parse-names":false,"suffix":""}],"container-title":"Archives of Toxicology","id":"ITEM-1","issued":{"date-parts":[["2016","7","16"]]},"page":"1-15","publisher":"Springer Berlin Heidelberg","title":"Alpha-synuclein-induced oxidative stress correlates with altered superoxide dismutase and glutathione synthesis in human neuroblastoma SH-SY5Y cells","type":"article-journal"},"uris":["http://www.mendeley.com/documents/?uuid=6aec1516-718d-474d-94d4-318baf8554ec"]}],"mendeley":{"formattedCitation":"(Perfeito et al., 2016)","plainTextFormattedCitation":"(Perfeito et al., 2016)","previouslyFormattedCitation":"(Perfeito et al., 2016)"},"properties":{"noteIndex":0},"schema":"https://github.com/citation-style-language/schema/raw/master/csl-citation.json"}</w:instrText>
      </w:r>
      <w:r w:rsidR="002A48E3" w:rsidRPr="00CB1C44">
        <w:rPr>
          <w:rFonts w:ascii="Arial" w:hAnsi="Arial" w:cs="Arial"/>
          <w:lang w:val="en-US"/>
        </w:rPr>
        <w:fldChar w:fldCharType="separate"/>
      </w:r>
      <w:r w:rsidR="00DD645C" w:rsidRPr="00CB1C44">
        <w:rPr>
          <w:rFonts w:ascii="Arial" w:hAnsi="Arial" w:cs="Arial"/>
          <w:noProof/>
          <w:lang w:val="en-US"/>
        </w:rPr>
        <w:t>(Perfeito et al., 2016)</w:t>
      </w:r>
      <w:r w:rsidR="002A48E3" w:rsidRPr="00CB1C44">
        <w:rPr>
          <w:rFonts w:ascii="Arial" w:hAnsi="Arial" w:cs="Arial"/>
          <w:lang w:val="en-US"/>
        </w:rPr>
        <w:fldChar w:fldCharType="end"/>
      </w:r>
      <w:r w:rsidR="002A48E3" w:rsidRPr="00CB1C44">
        <w:rPr>
          <w:rFonts w:ascii="Arial" w:hAnsi="Arial" w:cs="Arial"/>
          <w:lang w:val="en-US"/>
        </w:rPr>
        <w:t xml:space="preserve">. </w:t>
      </w:r>
      <w:r w:rsidR="003271C8" w:rsidRPr="00CB1C44">
        <w:rPr>
          <w:rFonts w:ascii="Arial" w:hAnsi="Arial" w:cs="Arial"/>
          <w:lang w:val="en-US"/>
        </w:rPr>
        <w:t>I</w:t>
      </w:r>
      <w:r w:rsidR="002A48E3" w:rsidRPr="00CB1C44">
        <w:rPr>
          <w:rFonts w:ascii="Arial" w:hAnsi="Arial" w:cs="Arial"/>
          <w:lang w:val="en-US"/>
        </w:rPr>
        <w:t xml:space="preserve">ncreased levels of </w:t>
      </w:r>
      <w:r w:rsidR="00AF4434" w:rsidRPr="00CB1C44">
        <w:rPr>
          <w:rFonts w:ascii="Arial" w:hAnsi="Arial" w:cs="Arial"/>
          <w:lang w:val="en-US"/>
        </w:rPr>
        <w:t>8-OHdG</w:t>
      </w:r>
      <w:r w:rsidR="006B4E52" w:rsidRPr="00CB1C44">
        <w:rPr>
          <w:rFonts w:ascii="Arial" w:hAnsi="Arial" w:cs="Arial"/>
          <w:lang w:val="en-US"/>
        </w:rPr>
        <w:t xml:space="preserve"> were </w:t>
      </w:r>
      <w:r w:rsidR="00AF4434" w:rsidRPr="00CB1C44">
        <w:rPr>
          <w:rFonts w:ascii="Arial" w:hAnsi="Arial" w:cs="Arial"/>
          <w:lang w:val="en-US"/>
        </w:rPr>
        <w:t xml:space="preserve">further </w:t>
      </w:r>
      <w:r w:rsidR="006B4E52" w:rsidRPr="00CB1C44">
        <w:rPr>
          <w:rFonts w:ascii="Arial" w:hAnsi="Arial" w:cs="Arial"/>
          <w:lang w:val="en-US"/>
        </w:rPr>
        <w:t xml:space="preserve">found in urine, serum, and </w:t>
      </w:r>
      <w:r w:rsidR="006B4E52" w:rsidRPr="00CB1C44">
        <w:rPr>
          <w:rFonts w:ascii="Arial" w:hAnsi="Arial" w:cs="Arial"/>
          <w:i/>
          <w:lang w:val="en-US"/>
        </w:rPr>
        <w:t xml:space="preserve">substantia </w:t>
      </w:r>
      <w:proofErr w:type="spellStart"/>
      <w:r w:rsidR="006B4E52" w:rsidRPr="00CB1C44">
        <w:rPr>
          <w:rFonts w:ascii="Arial" w:hAnsi="Arial" w:cs="Arial"/>
          <w:i/>
          <w:lang w:val="en-US"/>
        </w:rPr>
        <w:t>nigra</w:t>
      </w:r>
      <w:proofErr w:type="spellEnd"/>
      <w:r w:rsidR="006B4E52" w:rsidRPr="00CB1C44">
        <w:rPr>
          <w:rFonts w:ascii="Arial" w:hAnsi="Arial" w:cs="Arial"/>
          <w:lang w:val="en-US"/>
        </w:rPr>
        <w:t xml:space="preserve"> of</w:t>
      </w:r>
      <w:r w:rsidR="007E5821" w:rsidRPr="00CB1C44">
        <w:rPr>
          <w:rFonts w:ascii="Arial" w:hAnsi="Arial" w:cs="Arial"/>
          <w:lang w:val="en-US"/>
        </w:rPr>
        <w:t xml:space="preserve"> rats lesioned with 6-hydroxydopamine (6-OHDA) in the medial forebrain bundle, when compared with sham controls</w:t>
      </w:r>
      <w:r w:rsidR="006B4E52" w:rsidRPr="00CB1C44">
        <w:rPr>
          <w:rFonts w:ascii="Arial" w:hAnsi="Arial" w:cs="Arial"/>
          <w:lang w:val="en-US"/>
        </w:rPr>
        <w:t xml:space="preserve"> </w:t>
      </w:r>
      <w:r w:rsidR="002A48E3"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{"citationItems":[{"id":"ITEM-1","itemData":{"DOI":"10.1016/j.brainres.2006.11.072","ISSN":"00068993","PMID":"17188662","abstract":"8-Hydroxy-2???-deoxyguanosine (8-OHdG), the predominant marker of oxidative DNA damage, may be a good biomarker for monitoring the progression of Parkinson's disease (PD). Unfortunately, there are no basic laboratory data examining 8-OHdG levels in animal models of PD. In this study, we demonstrate that rats lesioned with 6-hydroxydopamine (6-OHDA) in the medial forebrain bundle display significantly elevated 8-OHdG levels in urine, serum, and substantia nigra, but not cerebrospinal fluid and striatum, compared to sham controls. These increments in 8-OHdG levels were detected at 2??days, but not at 7??days after the lesion suggesting that oxidative stress is restricted to the acute phase of 6-OHDA neurotoxicity. The present results support 8-OHdG as a biomarker that may aid both in the diagnosis and in the documentation of progression in PD. ?? 2006 Elsevier B.V. All rights reserved.","author":[{"dropping-particle":"","family":"Yasuhara","given":"Takao","non-dropping-particle":"","parse-names":false,"suffix":""},{"dropping-particle":"","family":"Hara","given":"Koichi","non-dropping-particle":"","parse-names":false,"suffix":""},{"dropping-particle":"","family":"Sethi","given":"Kapil D.","non-dropping-particle":"","parse-names":false,"suffix":""},{"dropping-particle":"","family":"Morgan","given":"John C.","non-dropping-particle":"","parse-names":false,"suffix":""},{"dropping-particle":"V.","family":"Borlongan","given":"Cesario","non-dropping-particle":"","parse-names":false,"suffix":""}],"container-title":"Brain Research","id":"ITEM-1","issue":"1","issued":{"date-parts":[["2007","2"]]},"page":"49-52","title":"Increased 8-OHdG levels in the urine, serum, and substantia nigra of hemiparkinsonian rats","type":"article-journal","volume":"1133"},"uris":["http://www.mendeley.com/documents/?uuid=422267d3-3720-413a-bdee-7075bc7add95"]}],"mendeley":{"formattedCitation":"(Yasuhara et al., 2007)","plainTextFormattedCitation":"(Yasuhara et al., 2007)","previouslyFormattedCitation":"(Yasuhara et al., 2007)"},"properties":{"noteIndex":0},"schema":"https://github.com/citation-style-language/schema/raw/master/csl-citation.json"}</w:instrText>
      </w:r>
      <w:r w:rsidR="002A48E3" w:rsidRPr="00CB1C44">
        <w:rPr>
          <w:rFonts w:ascii="Arial" w:hAnsi="Arial" w:cs="Arial"/>
          <w:lang w:val="en-US"/>
        </w:rPr>
        <w:fldChar w:fldCharType="separate"/>
      </w:r>
      <w:r w:rsidR="00DD645C" w:rsidRPr="00CB1C44">
        <w:rPr>
          <w:rFonts w:ascii="Arial" w:hAnsi="Arial" w:cs="Arial"/>
          <w:noProof/>
          <w:lang w:val="en-US"/>
        </w:rPr>
        <w:t>(Yasuhara et al., 2007)</w:t>
      </w:r>
      <w:r w:rsidR="002A48E3" w:rsidRPr="00CB1C44">
        <w:rPr>
          <w:rFonts w:ascii="Arial" w:hAnsi="Arial" w:cs="Arial"/>
          <w:lang w:val="en-US"/>
        </w:rPr>
        <w:fldChar w:fldCharType="end"/>
      </w:r>
      <w:r w:rsidR="002A48E3" w:rsidRPr="00CB1C44">
        <w:rPr>
          <w:rFonts w:ascii="Arial" w:hAnsi="Arial" w:cs="Arial"/>
          <w:lang w:val="en-US"/>
        </w:rPr>
        <w:t xml:space="preserve">, which was consistent with human findings. </w:t>
      </w:r>
    </w:p>
    <w:p w14:paraId="10309CA6" w14:textId="5C5FEFED" w:rsidR="00E03D20" w:rsidRPr="00CB1C44" w:rsidRDefault="00E03D20" w:rsidP="004038B5">
      <w:pPr>
        <w:spacing w:after="0" w:line="360" w:lineRule="auto"/>
        <w:jc w:val="both"/>
        <w:rPr>
          <w:rFonts w:ascii="Arial" w:hAnsi="Arial" w:cs="Arial"/>
          <w:lang w:val="en-US"/>
        </w:rPr>
      </w:pPr>
    </w:p>
    <w:p w14:paraId="67843C2D" w14:textId="77777777" w:rsidR="00337771" w:rsidRPr="00CB1C44" w:rsidRDefault="00337771" w:rsidP="004038B5">
      <w:pPr>
        <w:spacing w:after="0" w:line="360" w:lineRule="auto"/>
        <w:jc w:val="both"/>
        <w:rPr>
          <w:rFonts w:ascii="Arial" w:hAnsi="Arial" w:cs="Arial"/>
          <w:lang w:val="en-US"/>
        </w:rPr>
      </w:pPr>
    </w:p>
    <w:p w14:paraId="33F65283" w14:textId="190769BA" w:rsidR="00E03D20" w:rsidRPr="00CB1C44" w:rsidRDefault="0040451A" w:rsidP="004038B5">
      <w:pPr>
        <w:spacing w:after="0" w:line="360" w:lineRule="auto"/>
        <w:jc w:val="both"/>
        <w:outlineLvl w:val="0"/>
        <w:rPr>
          <w:rFonts w:ascii="Arial" w:hAnsi="Arial" w:cs="Arial"/>
          <w:b/>
          <w:lang w:val="en-US"/>
        </w:rPr>
      </w:pPr>
      <w:r w:rsidRPr="00CB1C44">
        <w:rPr>
          <w:rFonts w:ascii="Arial" w:hAnsi="Arial" w:cs="Arial"/>
          <w:b/>
          <w:lang w:val="en-US"/>
        </w:rPr>
        <w:t>3</w:t>
      </w:r>
      <w:r w:rsidR="00702526" w:rsidRPr="00CB1C44">
        <w:rPr>
          <w:rFonts w:ascii="Arial" w:hAnsi="Arial" w:cs="Arial"/>
          <w:b/>
          <w:lang w:val="en-US"/>
        </w:rPr>
        <w:t>.</w:t>
      </w:r>
      <w:r w:rsidR="00AF2F6B" w:rsidRPr="00CB1C44">
        <w:rPr>
          <w:rFonts w:ascii="Arial" w:hAnsi="Arial" w:cs="Arial"/>
          <w:b/>
          <w:lang w:val="en-US"/>
        </w:rPr>
        <w:t>2.</w:t>
      </w:r>
      <w:r w:rsidR="00702526" w:rsidRPr="00CB1C44">
        <w:rPr>
          <w:rFonts w:ascii="Arial" w:hAnsi="Arial" w:cs="Arial"/>
          <w:b/>
          <w:lang w:val="en-US"/>
        </w:rPr>
        <w:t>1</w:t>
      </w:r>
      <w:r w:rsidR="00E03D20" w:rsidRPr="00CB1C44">
        <w:rPr>
          <w:rFonts w:ascii="Arial" w:hAnsi="Arial" w:cs="Arial"/>
          <w:b/>
          <w:lang w:val="en-US"/>
        </w:rPr>
        <w:t xml:space="preserve"> </w:t>
      </w:r>
      <w:r w:rsidR="00EE31A3" w:rsidRPr="00CB1C44">
        <w:rPr>
          <w:rFonts w:ascii="Arial" w:hAnsi="Arial" w:cs="Arial"/>
          <w:b/>
          <w:lang w:val="en-US"/>
        </w:rPr>
        <w:t xml:space="preserve">Nrf2-ARE pathway in </w:t>
      </w:r>
      <w:r w:rsidR="00702526" w:rsidRPr="00CB1C44">
        <w:rPr>
          <w:rFonts w:ascii="Arial" w:hAnsi="Arial" w:cs="Arial"/>
          <w:b/>
          <w:lang w:val="en-US"/>
        </w:rPr>
        <w:t>Parkinson</w:t>
      </w:r>
      <w:r w:rsidR="00E03D20" w:rsidRPr="00CB1C44">
        <w:rPr>
          <w:rFonts w:ascii="Arial" w:hAnsi="Arial" w:cs="Arial"/>
          <w:b/>
          <w:lang w:val="en-US"/>
        </w:rPr>
        <w:t xml:space="preserve">’s disease </w:t>
      </w:r>
    </w:p>
    <w:p w14:paraId="758FBA6C" w14:textId="77777777" w:rsidR="00490C64" w:rsidRPr="00CB1C44" w:rsidRDefault="002D0762" w:rsidP="004038B5">
      <w:pPr>
        <w:spacing w:after="0" w:line="360" w:lineRule="auto"/>
        <w:jc w:val="both"/>
        <w:rPr>
          <w:rFonts w:ascii="Arial" w:hAnsi="Arial" w:cs="Arial"/>
          <w:lang w:val="en-US"/>
        </w:rPr>
      </w:pPr>
      <w:r w:rsidRPr="00CB1C44">
        <w:rPr>
          <w:rFonts w:ascii="Arial" w:hAnsi="Arial" w:cs="Arial"/>
          <w:lang w:val="en-US"/>
        </w:rPr>
        <w:t xml:space="preserve">Several studies linked the Nrf2 pathway with </w:t>
      </w:r>
      <w:r w:rsidR="007E2376" w:rsidRPr="00CB1C44">
        <w:rPr>
          <w:rFonts w:ascii="Arial" w:hAnsi="Arial" w:cs="Arial"/>
          <w:lang w:val="en-US"/>
        </w:rPr>
        <w:t xml:space="preserve">different </w:t>
      </w:r>
      <w:r w:rsidRPr="00CB1C44">
        <w:rPr>
          <w:rFonts w:ascii="Arial" w:hAnsi="Arial" w:cs="Arial"/>
          <w:lang w:val="en-US"/>
        </w:rPr>
        <w:t>PD</w:t>
      </w:r>
      <w:r w:rsidR="007E2376" w:rsidRPr="00CB1C44">
        <w:rPr>
          <w:rFonts w:ascii="Arial" w:hAnsi="Arial" w:cs="Arial"/>
          <w:lang w:val="en-US"/>
        </w:rPr>
        <w:t xml:space="preserve"> models</w:t>
      </w:r>
      <w:r w:rsidRPr="00CB1C44">
        <w:rPr>
          <w:rFonts w:ascii="Arial" w:hAnsi="Arial" w:cs="Arial"/>
          <w:lang w:val="en-US"/>
        </w:rPr>
        <w:t>.</w:t>
      </w:r>
      <w:r w:rsidR="007E2376" w:rsidRPr="00CB1C44">
        <w:rPr>
          <w:rFonts w:ascii="Arial" w:hAnsi="Arial" w:cs="Arial"/>
          <w:lang w:val="en-US"/>
        </w:rPr>
        <w:t xml:space="preserve"> </w:t>
      </w:r>
      <w:r w:rsidR="00F90E43" w:rsidRPr="00CB1C44">
        <w:rPr>
          <w:rFonts w:ascii="Arial" w:hAnsi="Arial" w:cs="Arial"/>
          <w:lang w:val="en-US"/>
        </w:rPr>
        <w:t>Surprisingly</w:t>
      </w:r>
      <w:r w:rsidR="007E2376" w:rsidRPr="00CB1C44">
        <w:rPr>
          <w:rFonts w:ascii="Arial" w:hAnsi="Arial" w:cs="Arial"/>
          <w:lang w:val="en-US"/>
        </w:rPr>
        <w:t>, data in human</w:t>
      </w:r>
      <w:r w:rsidR="00D7060A" w:rsidRPr="00CB1C44">
        <w:rPr>
          <w:rFonts w:ascii="Arial" w:hAnsi="Arial" w:cs="Arial"/>
          <w:lang w:val="en-US"/>
        </w:rPr>
        <w:t xml:space="preserve"> samples</w:t>
      </w:r>
      <w:r w:rsidR="007E2376" w:rsidRPr="00CB1C44">
        <w:rPr>
          <w:rFonts w:ascii="Arial" w:hAnsi="Arial" w:cs="Arial"/>
          <w:lang w:val="en-US"/>
        </w:rPr>
        <w:t xml:space="preserve"> report</w:t>
      </w:r>
      <w:r w:rsidR="00D7060A" w:rsidRPr="00CB1C44">
        <w:rPr>
          <w:rFonts w:ascii="Arial" w:hAnsi="Arial" w:cs="Arial"/>
          <w:lang w:val="en-US"/>
        </w:rPr>
        <w:t xml:space="preserve"> </w:t>
      </w:r>
      <w:r w:rsidR="007E2376" w:rsidRPr="00CB1C44">
        <w:rPr>
          <w:rFonts w:ascii="Arial" w:hAnsi="Arial" w:cs="Arial"/>
          <w:lang w:val="en-US"/>
        </w:rPr>
        <w:t xml:space="preserve">increased Nrf2 nuclear translocation. Ramsey and colleagues evidenced increased Nrf2 levels in the nucleus of human PD nigral neurons </w:t>
      </w:r>
      <w:r w:rsidR="007E237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{"citationItems":[{"id":"ITEM-1","itemData":{"DOI":"10.1097/nen.0b013e31802d6da9","ISBN":"0022-3069 (Print)\\r0022-3069 (Linking)","ISSN":"0022-3069","PMID":"17204939","abstract":"In response to oxidative stress, the nuclear factor E2-related factor 2 (Nrf2) transcription factor translocates from the cytoplasm into the nucleus and transactivates expression of genes with antioxidant activity. Despite this cellular mechanism, oxidative damage is abundant in Alzheimer and Parkinson disease (AD and PD). To investigate mechanisms by which Nrf2 activity may be aberrant or insufficient in neurodegenerative conditions, we assessed Nrf2 localization in affected brain regions of AD, Lewy body variant of AD (LBVAD), and PD. By immunohistochemistry, Nrf2 is expressed in both the nucleus and the cytoplasm of neurons in normal hippocampi with predominant expression in the nucleus. In AD and LBVAD, Nrf2 was predominantly cytoplasmic in hippocampal neurons and was not a major component of beta amyloid plaques or neurofibrillary tangles. By immunoblotting, we observed a significant decrease in nuclear Nrf2 levels in AD cases. In contrast, Nrf2 was strongly nuclear in PD nigral neurons but cytoplasmic in substantia nigra of normal, AD, and LBVAD cases. These findings suggest that Nrf2-mediated transcription is not induced in neurons in AD despite the presence of oxidative stress. In PD, nuclear localization of Nrf2 is strongly induced, but this response may be insufficient to protect neurons from degeneration.","author":[{"dropping-particle":"","family":"Ramsey","given":"Chenere P","non-dropping-particle":"","parse-names":false,"suffix":""},{"dropping-particle":"","family":"Glass","given":"Charles A","non-dropping-particle":"","parse-names":false,"suffix":""},{"dropping-particle":"","family":"Montgomery","given":"Marshall B","non-dropping-particle":"","parse-names":false,"suffix":""},{"dropping-particle":"","family":"Lindl","given":"Kathryn A","non-dropping-particle":"","parse-names":false,"suffix":""},{"dropping-particle":"","family":"Ritson","given":"Gillian P","non-dropping-particle":"","parse-names":false,"suffix":""},{"dropping-particle":"","family":"Chia","given":"Luis A","non-dropping-particle":"","parse-names":false,"suffix":""},{"dropping-particle":"","family":"Hamilton","given":"Ronald L","non-dropping-particle":"","parse-names":false,"suffix":""},{"dropping-particle":"","family":"Chu","given":"Charleen T","non-dropping-particle":"","parse-names":false,"suffix":""},{"dropping-particle":"","family":"Jordan-Sciutto","given":"Kelly L","non-dropping-particle":"","parse-names":false,"suffix":""}],"container-title":"Journal of neuropathology and experimental neurology","id":"ITEM-1","issue":"1","issued":{"date-parts":[["2007"]]},"page":"75-85","title":"Expression of Nrf2 in neurodegenerative diseases.","type":"article-journal","volume":"66"},"uris":["http://www.mendeley.com/documents/?uuid=58a35ec4-e69a-4db1-947d-c7cabb75074e"]}],"mendeley":{"formattedCitation":"(Ramsey et al., 2007)","plainTextFormattedCitation":"(Ramsey et al., 2007)","previouslyFormattedCitation":"(Ramsey et al., 2007)"},"properties":{"noteIndex":0},"schema":"https://github.com/citation-style-language/schema/raw/master/csl-citation.json"}</w:instrText>
      </w:r>
      <w:r w:rsidR="007E2376" w:rsidRPr="00CB1C44">
        <w:rPr>
          <w:rFonts w:ascii="Arial" w:hAnsi="Arial" w:cs="Arial"/>
          <w:lang w:val="en-US"/>
        </w:rPr>
        <w:fldChar w:fldCharType="separate"/>
      </w:r>
      <w:r w:rsidR="00DD645C" w:rsidRPr="00CB1C44">
        <w:rPr>
          <w:rFonts w:ascii="Arial" w:hAnsi="Arial" w:cs="Arial"/>
          <w:noProof/>
          <w:lang w:val="en-US"/>
        </w:rPr>
        <w:t xml:space="preserve">(Ramsey et </w:t>
      </w:r>
      <w:r w:rsidR="00DD645C" w:rsidRPr="00CB1C44">
        <w:rPr>
          <w:rFonts w:ascii="Arial" w:hAnsi="Arial" w:cs="Arial"/>
          <w:noProof/>
          <w:lang w:val="en-US"/>
        </w:rPr>
        <w:lastRenderedPageBreak/>
        <w:t>al., 2007)</w:t>
      </w:r>
      <w:r w:rsidR="007E2376" w:rsidRPr="00CB1C44">
        <w:rPr>
          <w:rFonts w:ascii="Arial" w:hAnsi="Arial" w:cs="Arial"/>
          <w:lang w:val="en-US"/>
        </w:rPr>
        <w:fldChar w:fldCharType="end"/>
      </w:r>
      <w:r w:rsidR="00D7060A" w:rsidRPr="00CB1C44">
        <w:rPr>
          <w:rFonts w:ascii="Arial" w:hAnsi="Arial" w:cs="Arial"/>
          <w:lang w:val="en-US"/>
        </w:rPr>
        <w:t>,</w:t>
      </w:r>
      <w:r w:rsidR="007E2376" w:rsidRPr="00CB1C44">
        <w:rPr>
          <w:rFonts w:ascii="Arial" w:hAnsi="Arial" w:cs="Arial"/>
          <w:lang w:val="en-US"/>
        </w:rPr>
        <w:t xml:space="preserve"> reflecting higher nuclear translocation than in age-matched control individuals. Furthermore, in the </w:t>
      </w:r>
      <w:r w:rsidR="007E2376" w:rsidRPr="00CB1C44">
        <w:rPr>
          <w:rFonts w:ascii="Arial" w:hAnsi="Arial" w:cs="Arial"/>
          <w:i/>
          <w:lang w:val="en-US"/>
        </w:rPr>
        <w:t xml:space="preserve">substantia </w:t>
      </w:r>
      <w:proofErr w:type="spellStart"/>
      <w:r w:rsidR="007E2376" w:rsidRPr="00CB1C44">
        <w:rPr>
          <w:rFonts w:ascii="Arial" w:hAnsi="Arial" w:cs="Arial"/>
          <w:i/>
          <w:lang w:val="en-US"/>
        </w:rPr>
        <w:t>nigra</w:t>
      </w:r>
      <w:proofErr w:type="spellEnd"/>
      <w:r w:rsidR="007E2376" w:rsidRPr="00CB1C44">
        <w:rPr>
          <w:rFonts w:ascii="Arial" w:hAnsi="Arial" w:cs="Arial"/>
          <w:lang w:val="en-US"/>
        </w:rPr>
        <w:t xml:space="preserve"> </w:t>
      </w:r>
      <w:r w:rsidR="003271C8" w:rsidRPr="00CB1C44">
        <w:rPr>
          <w:rFonts w:ascii="Arial" w:hAnsi="Arial" w:cs="Arial"/>
          <w:lang w:val="en-US"/>
        </w:rPr>
        <w:t>of</w:t>
      </w:r>
      <w:r w:rsidR="007E2376" w:rsidRPr="00CB1C44">
        <w:rPr>
          <w:rFonts w:ascii="Arial" w:hAnsi="Arial" w:cs="Arial"/>
          <w:lang w:val="en-US"/>
        </w:rPr>
        <w:t xml:space="preserve"> </w:t>
      </w:r>
      <w:r w:rsidR="00C36BA8" w:rsidRPr="00CB1C44">
        <w:rPr>
          <w:rFonts w:ascii="Arial" w:hAnsi="Arial" w:cs="Arial"/>
          <w:lang w:val="en-US"/>
        </w:rPr>
        <w:t xml:space="preserve">human </w:t>
      </w:r>
      <w:r w:rsidR="007E2376" w:rsidRPr="00CB1C44">
        <w:rPr>
          <w:rFonts w:ascii="Arial" w:hAnsi="Arial" w:cs="Arial"/>
          <w:lang w:val="en-US"/>
        </w:rPr>
        <w:t xml:space="preserve">PD brains, GSH levels were decreased </w:t>
      </w:r>
      <w:r w:rsidR="007E237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{"citationItems":[{"id":"ITEM-1","itemData":{"ISBN":"0304-3940 (Print)\\r0304-3940 (Linking)","ISSN":"0304-3940 (Print)","PMID":"3737015","abstract":"Glutathione transferase activity and total glutathione (GSH) content were measured in several regions of autopsied brain from patients dying with idiopathic Parkinson's disease (PD) or progressive supranuclear palsy (PSP), and from control subjects. A significant deficiency of GSH was found in the substantia nigra, but not in 5 other brain regions of PD patients, nor in PSP patients' brains. Glutathione transferase activity was similar in the substantia nigra of PD, PSP and control patients. Since total GSH is consumed only by conjugation in detoxification processes, nigral GSH deficiency in PD patients implies continued local presence of a possible causative neurotoxin up to the time of death.","author":[{"dropping-particle":"","family":"Perry","given":"T L","non-dropping-particle":"","parse-names":false,"suffix":""},{"dropping-particle":"","family":"Yong","given":"V W","non-dropping-particle":"","parse-names":false,"suffix":""}],"container-title":"Neuroscience letters","id":"ITEM-1","issue":"3","issued":{"date-parts":[["1986"]]},"page":"269-274","title":"Idiopathic Parkinson's disease, progressive supranuclear palsy and glutathione metabolism in the substantia nigra of patients.","type":"article-journal","volume":"67"},"uris":["http://www.mendeley.com/documents/?uuid=1817d891-cd42-4930-8459-3f8481091e46"]}],"mendeley":{"formattedCitation":"(Perry and Yong, 1986)","plainTextFormattedCitation":"(Perry and Yong, 1986)","previouslyFormattedCitation":"(Perry and Yong, 1986)"},"properties":{"noteIndex":0},"schema":"https://github.com/citation-style-language/schema/raw/master/csl-citation.json"}</w:instrText>
      </w:r>
      <w:r w:rsidR="007E2376" w:rsidRPr="00CB1C44">
        <w:rPr>
          <w:rFonts w:ascii="Arial" w:hAnsi="Arial" w:cs="Arial"/>
          <w:lang w:val="en-US"/>
        </w:rPr>
        <w:fldChar w:fldCharType="separate"/>
      </w:r>
      <w:r w:rsidR="00DD645C" w:rsidRPr="00CB1C44">
        <w:rPr>
          <w:rFonts w:ascii="Arial" w:hAnsi="Arial" w:cs="Arial"/>
          <w:noProof/>
          <w:lang w:val="en-US"/>
        </w:rPr>
        <w:t>(Perry and Yong, 1986)</w:t>
      </w:r>
      <w:r w:rsidR="007E2376" w:rsidRPr="00CB1C44">
        <w:rPr>
          <w:rFonts w:ascii="Arial" w:hAnsi="Arial" w:cs="Arial"/>
          <w:lang w:val="en-US"/>
        </w:rPr>
        <w:fldChar w:fldCharType="end"/>
      </w:r>
      <w:r w:rsidR="00CE2F1D" w:rsidRPr="00CB1C44">
        <w:rPr>
          <w:rFonts w:ascii="Arial" w:hAnsi="Arial" w:cs="Arial"/>
          <w:lang w:val="en-US"/>
        </w:rPr>
        <w:t>, while</w:t>
      </w:r>
      <w:r w:rsidR="007E2376" w:rsidRPr="00CB1C44">
        <w:rPr>
          <w:rFonts w:ascii="Arial" w:hAnsi="Arial" w:cs="Arial"/>
          <w:lang w:val="en-US"/>
        </w:rPr>
        <w:t xml:space="preserve"> HO-1 levels were increased </w:t>
      </w:r>
      <w:r w:rsidR="007E237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{"citationItems":[{"id":"ITEM-1","itemData":{"DOI":"10.1006/exnr.1997.6752","ISBN":"0014-4886","ISSN":"0014-4886","PMID":"9514830","abstract":"Heme oxygenase-1 is a cellular stress protein expressed in brain and other tissues in response to oxidative challenge and other noxious stimuli. In the present study, immunohistochemistry was used to assess HO-1 expression in various postmortem human brain specimens derived from PD and control subjects. In the substantia nigra of both PD and control specimens, moderate HO-1 immunoreactivity was consistently observed in neuromelanin-containing (dopaminergic) neurons. Lewy bodies in PD nigra neurons exhibited intense HO-1 immunostaining in their peripheries. In both PD and control specimens, neuronal HO-1 staining was faint or nondetectable in the other brain regions surveyed. The fraction of GFAP-positive astroglia expressing HO-1 in PD substantia nigra (77.1 +/- 12.3) was significantly greater than that observed in the substantia nigra of control subjects (18.7 +/- 7.1; P = 0.0015). In the other regions examined, percentages of GFAP-positive astroglia coexpressing HO-1 were relatively low and did not differ significantly (P &gt; 0.05) between control and PD specimens. Upregulation of HO-1 in the substantia nigra of PD subjects supports the view that the affected tissue is experiencing chronic oxidative stress. In addition, excessive cellular levels of heme-derived free iron and carbon monoxide resulting from HO-1 overactivity may contribute to the pathogenesis of PD.","author":[{"dropping-particle":"","family":"Schipper","given":"H M","non-dropping-particle":"","parse-names":false,"suffix":""},{"dropping-particle":"","family":"Liberman","given":"a","non-dropping-particle":"","parse-names":false,"suffix":""},{"dropping-particle":"","family":"Stopa","given":"E G","non-dropping-particle":"","parse-names":false,"suffix":""}],"container-title":"Experimental neurology","id":"ITEM-1","issue":"1","issued":{"date-parts":[["1998"]]},"page":"60-68","title":"Neural heme oxygenase-1 expression in idiopathic Parkinson's disease.","type":"article-journal","volume":"150"},"uris":["http://www.mendeley.com/documents/?uuid=8b77efe0-44b6-4165-80d0-55415fab17f9"]}],"mendeley":{"formattedCitation":"(Schipper et al., 1998)","plainTextFormattedCitation":"(Schipper et al., 1998)","previouslyFormattedCitation":"(Schipper et al., 1998)"},"properties":{"noteIndex":0},"schema":"https://github.com/citation-style-language/schema/raw/master/csl-citation.json"}</w:instrText>
      </w:r>
      <w:r w:rsidR="007E2376" w:rsidRPr="00CB1C44">
        <w:rPr>
          <w:rFonts w:ascii="Arial" w:hAnsi="Arial" w:cs="Arial"/>
          <w:lang w:val="en-US"/>
        </w:rPr>
        <w:fldChar w:fldCharType="separate"/>
      </w:r>
      <w:r w:rsidR="00DD645C" w:rsidRPr="00CB1C44">
        <w:rPr>
          <w:rFonts w:ascii="Arial" w:hAnsi="Arial" w:cs="Arial"/>
          <w:noProof/>
          <w:lang w:val="en-US"/>
        </w:rPr>
        <w:t>(Schipper et al., 1998)</w:t>
      </w:r>
      <w:r w:rsidR="007E2376" w:rsidRPr="00CB1C44">
        <w:rPr>
          <w:rFonts w:ascii="Arial" w:hAnsi="Arial" w:cs="Arial"/>
          <w:lang w:val="en-US"/>
        </w:rPr>
        <w:fldChar w:fldCharType="end"/>
      </w:r>
      <w:r w:rsidR="007E2376" w:rsidRPr="00CB1C44">
        <w:rPr>
          <w:rFonts w:ascii="Arial" w:hAnsi="Arial" w:cs="Arial"/>
          <w:lang w:val="en-US"/>
        </w:rPr>
        <w:t xml:space="preserve">. Moreover, astrocytes, endothelial cells and dopaminergic neurons from PD postmortem brains showed increased NQO1 levels </w:t>
      </w:r>
      <w:r w:rsidR="007E237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{"citationItems":[{"id":"ITEM-1","itemData":{"DOI":"10.1016/j.neurobiolaging.2003.12.010","ISBN":"0197-4580 (Print)\\r0197-4580 (Linking)","ISSN":"01974580","PMID":"15312971","abstract":"Dopamine (DA) autooxidation, and consequent formation of neurotoxic DA-derived quinones and reactive oxygen species, has been implicated in dopaminergic cell death and, hence, in the pathogenesis of Parkinson's disease (PD). Stimulation of pathways involved in the detoxication of DA-quinones in the brain is hypothesized to be an effective means to limit oxidative stress and to confer neuroprotection in PD. In this respect, the inducible flavoprotein NAD(P)H:quinone oxidoreductase (NQO1) is of particular interest as it is directly implicated in the detoxication of DA-quinones and, in addition, has broad spectrum anti-oxidant properties. To study the potential pathophysiological role of NQO1 in PD, the cellular expression of NQO1 was examined in the mesencephalon of PD patients and age-matched controls. In the substantia nigra pars compacta (SNpc), NQO1 was found to be expressed in astroglial and endothelial cells and, albeit less frequently, also in dopaminergic neurons. Moreover, while overt NQO1 immunoreactivity was absent in the surrounding nervous tissue, in the Parkinsonian SNpc a marked increase in the astroglial and neuronal expression of NQO1 was consistently observed. ?? 2004 Elsevier Inc. All rights reserved.","author":[{"dropping-particle":"","family":"Muiswinkel","given":"F. L.","non-dropping-particle":"Van","parse-names":false,"suffix":""},{"dropping-particle":"","family":"Vos","given":"R. A I","non-dropping-particle":"De","parse-names":false,"suffix":""},{"dropping-particle":"","family":"Bol","given":"J. G J M","non-dropping-particle":"","parse-names":false,"suffix":""},{"dropping-particle":"","family":"Andringa","given":"G.","non-dropping-particle":"","parse-names":false,"suffix":""},{"dropping-particle":"","family":"Jansen Steur","given":"E. N H","non-dropping-particle":"","parse-names":false,"suffix":""},{"dropping-particle":"","family":"Ross","given":"D.","non-dropping-particle":"","parse-names":false,"suffix":""},{"dropping-particle":"","family":"Siegel","given":"D.","non-dropping-particle":"","parse-names":false,"suffix":""},{"dropping-particle":"","family":"Drukarch","given":"B.","non-dropping-particle":"","parse-names":false,"suffix":""}],"container-title":"Neurobiology of Aging","id":"ITEM-1","issue":"9","issued":{"date-parts":[["2004"]]},"page":"1253-1262","title":"Expression of NAD(P)H:quinone oxidoreductase in the normal and Parkinsonian substantia nigra","type":"article-journal","volume":"25"},"uris":["http://www.mendeley.com/documents/?uuid=9eba8573-9d90-441f-b0c0-465cda3ba0b9"]}],"mendeley":{"formattedCitation":"(Van Muiswinkel et al., 2004)","plainTextFormattedCitation":"(Van Muiswinkel et al., 2004)","previouslyFormattedCitation":"(Van Muiswinkel et al., 2004)"},"properties":{"noteIndex":0},"schema":"https://github.com/citation-style-language/schema/raw/master/csl-citation.json"}</w:instrText>
      </w:r>
      <w:r w:rsidR="007E2376" w:rsidRPr="00CB1C44">
        <w:rPr>
          <w:rFonts w:ascii="Arial" w:hAnsi="Arial" w:cs="Arial"/>
          <w:lang w:val="en-US"/>
        </w:rPr>
        <w:fldChar w:fldCharType="separate"/>
      </w:r>
      <w:r w:rsidR="00DD645C" w:rsidRPr="00CB1C44">
        <w:rPr>
          <w:rFonts w:ascii="Arial" w:hAnsi="Arial" w:cs="Arial"/>
          <w:noProof/>
          <w:lang w:val="en-US"/>
        </w:rPr>
        <w:t>(Van Muiswinkel et al., 2004)</w:t>
      </w:r>
      <w:r w:rsidR="007E2376" w:rsidRPr="00CB1C44">
        <w:rPr>
          <w:rFonts w:ascii="Arial" w:hAnsi="Arial" w:cs="Arial"/>
          <w:lang w:val="en-US"/>
        </w:rPr>
        <w:fldChar w:fldCharType="end"/>
      </w:r>
      <w:r w:rsidR="007E2376" w:rsidRPr="00CB1C44">
        <w:rPr>
          <w:rFonts w:ascii="Arial" w:hAnsi="Arial" w:cs="Arial"/>
          <w:lang w:val="en-US"/>
        </w:rPr>
        <w:t xml:space="preserve">. Thus, </w:t>
      </w:r>
      <w:r w:rsidR="004B4FE0" w:rsidRPr="00CB1C44">
        <w:rPr>
          <w:rFonts w:ascii="Arial" w:hAnsi="Arial" w:cs="Arial"/>
          <w:lang w:val="en-US"/>
        </w:rPr>
        <w:t xml:space="preserve">these postmortem studies </w:t>
      </w:r>
      <w:r w:rsidR="001D7E45" w:rsidRPr="00CB1C44">
        <w:rPr>
          <w:rFonts w:ascii="Arial" w:hAnsi="Arial" w:cs="Arial"/>
          <w:lang w:val="en-US"/>
        </w:rPr>
        <w:t xml:space="preserve">suggest a higher </w:t>
      </w:r>
      <w:r w:rsidR="00DC5984" w:rsidRPr="00CB1C44">
        <w:rPr>
          <w:rFonts w:ascii="Arial" w:hAnsi="Arial" w:cs="Arial"/>
          <w:lang w:val="en-US"/>
        </w:rPr>
        <w:t xml:space="preserve">Nrf2 nuclear translocation </w:t>
      </w:r>
      <w:r w:rsidR="001D7E45" w:rsidRPr="00CB1C44">
        <w:rPr>
          <w:rFonts w:ascii="Arial" w:hAnsi="Arial" w:cs="Arial"/>
          <w:lang w:val="en-US"/>
        </w:rPr>
        <w:t>in PD brains</w:t>
      </w:r>
      <w:r w:rsidR="00DC5984" w:rsidRPr="00CB1C44">
        <w:rPr>
          <w:rFonts w:ascii="Arial" w:hAnsi="Arial" w:cs="Arial"/>
          <w:lang w:val="en-US"/>
        </w:rPr>
        <w:t xml:space="preserve">, </w:t>
      </w:r>
      <w:r w:rsidR="001D7E45" w:rsidRPr="00CB1C44">
        <w:rPr>
          <w:rFonts w:ascii="Arial" w:hAnsi="Arial" w:cs="Arial"/>
          <w:lang w:val="en-US"/>
        </w:rPr>
        <w:t>concomitantly with</w:t>
      </w:r>
      <w:r w:rsidR="00CE2F1D" w:rsidRPr="00CB1C44">
        <w:rPr>
          <w:rFonts w:ascii="Arial" w:hAnsi="Arial" w:cs="Arial"/>
          <w:lang w:val="en-US"/>
        </w:rPr>
        <w:t xml:space="preserve"> an</w:t>
      </w:r>
      <w:r w:rsidR="001D7E45" w:rsidRPr="00CB1C44">
        <w:rPr>
          <w:rFonts w:ascii="Arial" w:hAnsi="Arial" w:cs="Arial"/>
          <w:lang w:val="en-US"/>
        </w:rPr>
        <w:t xml:space="preserve"> increase in some </w:t>
      </w:r>
      <w:r w:rsidR="00881760" w:rsidRPr="00CB1C44">
        <w:rPr>
          <w:rFonts w:ascii="Arial" w:hAnsi="Arial" w:cs="Arial"/>
          <w:lang w:val="en-US"/>
        </w:rPr>
        <w:t>Nrf2-regulated genes</w:t>
      </w:r>
      <w:r w:rsidR="00343957" w:rsidRPr="00CB1C44">
        <w:rPr>
          <w:rFonts w:ascii="Arial" w:hAnsi="Arial" w:cs="Arial"/>
          <w:lang w:val="en-US"/>
        </w:rPr>
        <w:t xml:space="preserve">. </w:t>
      </w:r>
      <w:r w:rsidR="001D7E45" w:rsidRPr="00CB1C44">
        <w:rPr>
          <w:rFonts w:ascii="Arial" w:hAnsi="Arial" w:cs="Arial"/>
          <w:lang w:val="en-US"/>
        </w:rPr>
        <w:t>To</w:t>
      </w:r>
      <w:r w:rsidR="00343957" w:rsidRPr="00CB1C44">
        <w:rPr>
          <w:rFonts w:ascii="Arial" w:hAnsi="Arial" w:cs="Arial"/>
          <w:lang w:val="en-US"/>
        </w:rPr>
        <w:t xml:space="preserve"> understand the role of Nrf2 in PD, </w:t>
      </w:r>
      <w:r w:rsidR="00276601" w:rsidRPr="00CB1C44">
        <w:rPr>
          <w:rFonts w:ascii="Arial" w:hAnsi="Arial" w:cs="Arial"/>
          <w:lang w:val="en-US"/>
        </w:rPr>
        <w:t>α-Syn was stereotaxic delivery,</w:t>
      </w:r>
      <w:r w:rsidR="00343957" w:rsidRPr="00CB1C44">
        <w:rPr>
          <w:rFonts w:ascii="Arial" w:hAnsi="Arial" w:cs="Arial"/>
          <w:lang w:val="en-US"/>
        </w:rPr>
        <w:t xml:space="preserve"> </w:t>
      </w:r>
      <w:r w:rsidR="00CE2F1D" w:rsidRPr="00CB1C44">
        <w:rPr>
          <w:rFonts w:ascii="Arial" w:hAnsi="Arial" w:cs="Arial"/>
          <w:lang w:val="en-US"/>
        </w:rPr>
        <w:t xml:space="preserve">using </w:t>
      </w:r>
      <w:r w:rsidR="00343957" w:rsidRPr="00CB1C44">
        <w:rPr>
          <w:rFonts w:ascii="Arial" w:hAnsi="Arial" w:cs="Arial"/>
          <w:lang w:val="en-US"/>
        </w:rPr>
        <w:t xml:space="preserve">adeno-associated viral </w:t>
      </w:r>
      <w:r w:rsidR="00CE2F1D" w:rsidRPr="00CB1C44">
        <w:rPr>
          <w:rFonts w:ascii="Arial" w:hAnsi="Arial" w:cs="Arial"/>
          <w:lang w:val="en-US"/>
        </w:rPr>
        <w:t xml:space="preserve">(AAV) </w:t>
      </w:r>
      <w:r w:rsidR="00343957" w:rsidRPr="00CB1C44">
        <w:rPr>
          <w:rFonts w:ascii="Arial" w:hAnsi="Arial" w:cs="Arial"/>
          <w:lang w:val="en-US"/>
        </w:rPr>
        <w:t>vector</w:t>
      </w:r>
      <w:r w:rsidR="00CE2F1D" w:rsidRPr="00CB1C44">
        <w:rPr>
          <w:rFonts w:ascii="Arial" w:hAnsi="Arial" w:cs="Arial"/>
          <w:lang w:val="en-US"/>
        </w:rPr>
        <w:t>s</w:t>
      </w:r>
      <w:r w:rsidR="00276601" w:rsidRPr="00CB1C44">
        <w:rPr>
          <w:rFonts w:ascii="Arial" w:hAnsi="Arial" w:cs="Arial"/>
          <w:lang w:val="en-US"/>
        </w:rPr>
        <w:t>, in the ventral midbrain of Nrf2</w:t>
      </w:r>
      <w:r w:rsidR="00276601" w:rsidRPr="00CB1C44">
        <w:rPr>
          <w:rFonts w:ascii="Arial" w:hAnsi="Arial" w:cs="Arial"/>
          <w:vertAlign w:val="superscript"/>
          <w:lang w:val="en-US"/>
        </w:rPr>
        <w:t>-/-</w:t>
      </w:r>
      <w:r w:rsidR="00276601" w:rsidRPr="00CB1C44">
        <w:rPr>
          <w:rFonts w:ascii="Arial" w:hAnsi="Arial" w:cs="Arial"/>
          <w:lang w:val="en-US"/>
        </w:rPr>
        <w:t xml:space="preserve"> mice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{"citationItems":[{"id":"ITEM-1","itemData":{"DOI":"10.1093/hmg/dds143","ISBN":"1460-2083 (Electronic)\\r0964-6906 (Linking)","ISSN":"09646906","PMID":"22513881","abstract":"Although α-synuclein (α-SYN) aggregation is a hallmark of sporadic and familial Parkinson's disease (PD), it is not known how it contributes to early events of PD pathogenesis such as oxidative and inflammatory stress. Here, we addressed this question in a new animal model based on stereotaxic delivery of an adeno-associated viral vector (rAAV) for expression of human α-SYN in the ventral midbrain of mice lacking the transcription factor Nrf2 (Nrf2(-/-)). Two months after surgery, Nrf2(-/-) mice exhibited exacerbated degeneration of nigral dopaminergic neurons and increased dystrophic dendrites, reminiscent of Lewy neurites, which correlated with impaired proteasome gene expression and activity. Dopaminergic neuron loss was associated with an increase in neuroinflammation and gliosis that were intensified in Nrf2(-/-) mice. In response to exogenously added α-SYN, Nrf2(-/-) microglia failed to activate the expression of two anti-inflammatory genes, heme oxygenase-1 (HO-1) and nicotinamide adenine dinucleotide phosphate quinone oxidorreductase-1 (NQO1). This impaired Nrf2 response correlated with a shift in the microglial activation profile, towards increased production of proinflammatory markers, IL-6, IL-1β and iNOS and reduced phagocytic capacity of fluorescent beads, and lower messenger RNA levels for TAM receptors Axl and Mer. Postmortem brain tissue samples from patients in early- to middle-stage progression of PD showed increased HO-1 expression in astrocytes and microglia, suggesting an attempt of the diseased brain to compensate these hallmarks of PD through activation of the Nrf2 pathway. This study demonstrates that α-SYN and Nrf2 deficiency cooperate on protein aggregation, neuroinflammation and neuronal death and provides a bifactorial animal model to study early-stage PD.","author":[{"dropping-particle":"","family":"Lastres-Becker","given":"Isabel","non-dropping-particle":"","parse-names":false,"suffix":""},{"dropping-particle":"","family":"Ulusoy","given":"Ayse","non-dropping-particle":"","parse-names":false,"suffix":""},{"dropping-particle":"","family":"Innamorato","given":"Nadia G.","non-dropping-particle":"","parse-names":false,"suffix":""},{"dropping-particle":"","family":"Sahin","given":"Gurdal","non-dropping-particle":"","parse-names":false,"suffix":""},{"dropping-particle":"","family":"Rábano","given":"Alberto","non-dropping-particle":"","parse-names":false,"suffix":""},{"dropping-particle":"","family":"Kirik","given":"Deniz","non-dropping-particle":"","parse-names":false,"suffix":""},{"dropping-particle":"","family":"Cuadrado","given":"Antonio","non-dropping-particle":"","parse-names":false,"suffix":""}],"container-title":"Human Molecular Genetics","id":"ITEM-1","issue":"14","issued":{"date-parts":[["2012"]]},"page":"3173-3192","title":"α-synuclein expression and Nrf2 deficiency cooperate to aggravate protein aggregation, neuronal death and inflammation in early-stage Parkinson's disease","type":"article-journal","volume":"21"},"uris":["http://www.mendeley.com/documents/?uuid=81e003b4-c435-407c-b9da-acc43405ec4c"]}],"mendeley":{"formattedCitation":"(Lastres-Becker et al., 2012)","plainTextFormattedCitation":"(Lastres-Becker et al., 2012)","previouslyFormattedCitation":"(Lastres-Becker et al., 2012)"},"properties":{"noteIndex":0},"schema":"https://github.com/citation-style-language/schema/raw/master/csl-citation.json"}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(Lastres-Becker et al., 2012)</w:t>
      </w:r>
      <w:r w:rsidR="00343957" w:rsidRPr="00CB1C44">
        <w:rPr>
          <w:rFonts w:ascii="Arial" w:hAnsi="Arial" w:cs="Arial"/>
          <w:lang w:val="en-US"/>
        </w:rPr>
        <w:fldChar w:fldCharType="end"/>
      </w:r>
      <w:r w:rsidR="00343957" w:rsidRPr="00CB1C44">
        <w:rPr>
          <w:rFonts w:ascii="Arial" w:hAnsi="Arial" w:cs="Arial"/>
          <w:lang w:val="en-US"/>
        </w:rPr>
        <w:t>. Nrf2</w:t>
      </w:r>
      <w:r w:rsidR="00343957" w:rsidRPr="00CB1C44">
        <w:rPr>
          <w:rFonts w:ascii="Arial" w:hAnsi="Arial" w:cs="Arial"/>
          <w:vertAlign w:val="superscript"/>
          <w:lang w:val="en-US"/>
        </w:rPr>
        <w:t>-/-</w:t>
      </w:r>
      <w:r w:rsidR="00343957" w:rsidRPr="00CB1C44">
        <w:rPr>
          <w:rFonts w:ascii="Arial" w:hAnsi="Arial" w:cs="Arial"/>
          <w:lang w:val="en-US"/>
        </w:rPr>
        <w:t xml:space="preserve">/α-Syn mice showed augmented nigral dopaminergic neuronal loss, </w:t>
      </w:r>
      <w:r w:rsidR="000D5B6A" w:rsidRPr="00CB1C44">
        <w:rPr>
          <w:rFonts w:ascii="Arial" w:hAnsi="Arial" w:cs="Arial"/>
          <w:lang w:val="en-US"/>
        </w:rPr>
        <w:t xml:space="preserve">dystrophic </w:t>
      </w:r>
      <w:r w:rsidR="00276601" w:rsidRPr="00CB1C44">
        <w:rPr>
          <w:rFonts w:ascii="Arial" w:hAnsi="Arial" w:cs="Arial"/>
          <w:lang w:val="en-US"/>
        </w:rPr>
        <w:t xml:space="preserve">dendrites, </w:t>
      </w:r>
      <w:r w:rsidR="00343957" w:rsidRPr="00CB1C44">
        <w:rPr>
          <w:rFonts w:ascii="Arial" w:hAnsi="Arial" w:cs="Arial"/>
          <w:lang w:val="en-US"/>
        </w:rPr>
        <w:t>protein aggregat</w:t>
      </w:r>
      <w:r w:rsidR="000D5B6A" w:rsidRPr="00CB1C44">
        <w:rPr>
          <w:rFonts w:ascii="Arial" w:hAnsi="Arial" w:cs="Arial"/>
          <w:lang w:val="en-US"/>
        </w:rPr>
        <w:t>es</w:t>
      </w:r>
      <w:r w:rsidR="00343957" w:rsidRPr="00CB1C44">
        <w:rPr>
          <w:rFonts w:ascii="Arial" w:hAnsi="Arial" w:cs="Arial"/>
          <w:lang w:val="en-US"/>
        </w:rPr>
        <w:t xml:space="preserve"> and increased neuroinflammation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{"citationItems":[{"id":"ITEM-1","itemData":{"DOI":"10.1093/hmg/dds143","ISBN":"1460-2083 (Electronic)\\r0964-6906 (Linking)","ISSN":"09646906","PMID":"22513881","abstract":"Although α-synuclein (α-SYN) aggregation is a hallmark of sporadic and familial Parkinson's disease (PD), it is not known how it contributes to early events of PD pathogenesis such as oxidative and inflammatory stress. Here, we addressed this question in a new animal model based on stereotaxic delivery of an adeno-associated viral vector (rAAV) for expression of human α-SYN in the ventral midbrain of mice lacking the transcription factor Nrf2 (Nrf2(-/-)). Two months after surgery, Nrf2(-/-) mice exhibited exacerbated degeneration of nigral dopaminergic neurons and increased dystrophic dendrites, reminiscent of Lewy neurites, which correlated with impaired proteasome gene expression and activity. Dopaminergic neuron loss was associated with an increase in neuroinflammation and gliosis that were intensified in Nrf2(-/-) mice. In response to exogenously added α-SYN, Nrf2(-/-) microglia failed to activate the expression of two anti-inflammatory genes, heme oxygenase-1 (HO-1) and nicotinamide adenine dinucleotide phosphate quinone oxidorreductase-1 (NQO1). This impaired Nrf2 response correlated with a shift in the microglial activation profile, towards increased production of proinflammatory markers, IL-6, IL-1β and iNOS and reduced phagocytic capacity of fluorescent beads, and lower messenger RNA levels for TAM receptors Axl and Mer. Postmortem brain tissue samples from patients in early- to middle-stage progression of PD showed increased HO-1 expression in astrocytes and microglia, suggesting an attempt of the diseased brain to compensate these hallmarks of PD through activation of the Nrf2 pathway. This study demonstrates that α-SYN and Nrf2 deficiency cooperate on protein aggregation, neuroinflammation and neuronal death and provides a bifactorial animal model to study early-stage PD.","author":[{"dropping-particle":"","family":"Lastres-Becker","given":"Isabel","non-dropping-particle":"","parse-names":false,"suffix":""},{"dropping-particle":"","family":"Ulusoy","given":"Ayse","non-dropping-particle":"","parse-names":false,"suffix":""},{"dropping-particle":"","family":"Innamorato","given":"Nadia G.","non-dropping-particle":"","parse-names":false,"suffix":""},{"dropping-particle":"","family":"Sahin","given":"Gurdal","non-dropping-particle":"","parse-names":false,"suffix":""},{"dropping-particle":"","family":"Rábano","given":"Alberto","non-dropping-particle":"","parse-names":false,"suffix":""},{"dropping-particle":"","family":"Kirik","given":"Deniz","non-dropping-particle":"","parse-names":false,"suffix":""},{"dropping-particle":"","family":"Cuadrado","given":"Antonio","non-dropping-particle":"","parse-names":false,"suffix":""}],"container-title":"Human Molecular Genetics","id":"ITEM-1","issue":"14","issued":{"date-parts":[["2012"]]},"page":"3173-3192","title":"α-synuclein expression and Nrf2 deficiency cooperate to aggravate protein aggregation, neuronal death and inflammation in early-stage Parkinson's disease","type":"article-journal","volume":"21"},"uris":["http://www.mendeley.com/documents/?uuid=81e003b4-c435-407c-b9da-acc43405ec4c"]}],"mendeley":{"formattedCitation":"(Lastres-Becker et al., 2012)","plainTextFormattedCitation":"(Lastres-Becker et al., 2012)","previouslyFormattedCitation":"(Lastres-Becker et al., 2012)"},"properties":{"noteIndex":0},"schema":"https://github.com/citation-style-language/schema/raw/master/csl-citation.json"}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(Lastres-Becker et al., 2012)</w:t>
      </w:r>
      <w:r w:rsidR="00343957" w:rsidRPr="00CB1C44">
        <w:rPr>
          <w:rFonts w:ascii="Arial" w:hAnsi="Arial" w:cs="Arial"/>
          <w:lang w:val="en-US"/>
        </w:rPr>
        <w:fldChar w:fldCharType="end"/>
      </w:r>
      <w:r w:rsidR="00343957" w:rsidRPr="00CB1C44">
        <w:rPr>
          <w:rFonts w:ascii="Arial" w:hAnsi="Arial" w:cs="Arial"/>
          <w:lang w:val="en-US"/>
        </w:rPr>
        <w:t xml:space="preserve">. Similar results </w:t>
      </w:r>
      <w:r w:rsidR="000D5B6A" w:rsidRPr="00CB1C44">
        <w:rPr>
          <w:rFonts w:ascii="Arial" w:hAnsi="Arial" w:cs="Arial"/>
          <w:lang w:val="en-US"/>
        </w:rPr>
        <w:t>were</w:t>
      </w:r>
      <w:r w:rsidR="00343957" w:rsidRPr="00CB1C44">
        <w:rPr>
          <w:rFonts w:ascii="Arial" w:hAnsi="Arial" w:cs="Arial"/>
          <w:lang w:val="en-US"/>
        </w:rPr>
        <w:t xml:space="preserve"> obtained in Nrf2</w:t>
      </w:r>
      <w:r w:rsidR="00343957" w:rsidRPr="00CB1C44">
        <w:rPr>
          <w:rFonts w:ascii="Arial" w:hAnsi="Arial" w:cs="Arial"/>
          <w:vertAlign w:val="superscript"/>
          <w:lang w:val="en-US"/>
        </w:rPr>
        <w:t>-/-</w:t>
      </w:r>
      <w:r w:rsidR="00343957" w:rsidRPr="00CB1C44">
        <w:rPr>
          <w:rFonts w:ascii="Arial" w:hAnsi="Arial" w:cs="Arial"/>
          <w:lang w:val="en-US"/>
        </w:rPr>
        <w:t xml:space="preserve"> mice treated with 1-methyl-4-phenyl-1,2,3,6-tetrahydropyridine (MPTP)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{"citationItems":[{"id":"ITEM-1","itemData":{"DOI":"10.1073/pnas.0813361106","ISBN":"1091-6490 (Electronic)\\n0027-8424 (Linking)","ISSN":"1091-6490","PMID":"19196989","abstract":"Oxidative stress has been implicated in the etiology of Parkinson's disease (PD) and in the 1-methyl-4-phenyl-1,2,3,6-tetrahydropyridine (MPTP) animal model of PD. It is known that under conditions of oxidative stress, the transcription factor NF-E2-related factor (Nrf2) binds to antioxidant response element (ARE) to induce antioxidant and phase II detoxification enzymes. To investigate the role of Nrf2 in the process of MPTP-induced toxicity, mice expressing the human placental alkaline phosphatase (hPAP) gene driven by a promoter containing a core ARE sequence (ARE-hPAP) were used. ARE-hPAP mice were injected (30 mg/kg) once per day for 5 days and killed 7 days after the last MPTP injection. In response to this design, ARE-dependent gene expression was decreased in striatum whereas it was increased in substantia nigra. The same MPTP protocol was applied in Nrf2(+/+) and Nrf2(-/-) mice; Nrf2 deficiency increases MPTP sensitivity. Furthermore, we evaluated the potential for astrocytic Nrf2 overexpression to protect from MPTP toxicity. Transgenic mice with Nrf2 under control of the astrocyte-specific promoter for the glial fribillary acidic protein (GFAP-Nrf2) on both a Nrf2(+/+) and Nrf2(-/-) background were administered MPTP. In the latter case, only the astrocytes expressed Nrf2. Independent of background, MPTP-mediated toxicity was abolished in GFAP-Nrf2 mice. These striking results indicate that Nrf2 expression restricted to astrocytes is sufficient to protect against MPTP and astrocytic modulation of the Nrf2-ARE pathway is a promising target for therapeutics aimed at reducing or preventing neuronal death in PD.","author":[{"dropping-particle":"","family":"Chen","given":"Pei-Chun","non-dropping-particle":"","parse-names":false,"suffix":""},{"dropping-particle":"","family":"Vargas","given":"Marcelo R","non-dropping-particle":"","parse-names":false,"suffix":""},{"dropping-particle":"","family":"Pani","given":"Amar K","non-dropping-particle":"","parse-names":false,"suffix":""},{"dropping-particle":"","family":"Smeyne","given":"Richard J","non-dropping-particle":"","parse-names":false,"suffix":""},{"dropping-particle":"","family":"Johnson","given":"Delinda A","non-dropping-particle":"","parse-names":false,"suffix":""},{"dropping-particle":"","family":"Kan","given":"Yuet Wai","non-dropping-particle":"","parse-names":false,"suffix":""},{"dropping-particle":"","family":"Johnson","given":"Jeffrey A","non-dropping-particle":"","parse-names":false,"suffix":""}],"container-title":"Proceedings of the National Academy of Sciences of the United States of America","id":"ITEM-1","issue":"8","issued":{"date-parts":[["2009"]]},"page":"2933-8","title":"Nrf2-mediated neuroprotection in the MPTP mouse model of Parkinson's disease: Critical role for the astrocyte.","type":"article-journal","volume":"106"},"uris":["http://www.mendeley.com/documents/?uuid=055bcb59-4b2f-4b0e-aa0c-1342334e75d5"]},{"id":"ITEM-2","itemData":{"DOI":"10.1371/journal.pone.0011838","ISBN":"1932-6203 (Electronic)\\r1932-6203 (Linking)","ISSN":"19326203","PMID":"20676377","abstract":"BACKGROUND: The transcription factor Nrf2 (NF-E2-related factor 2) and its target gene products, including heme oxygenase-1 (HO-1), elicit an antioxidant response that may have therapeutic value for Parkinson's disease (PD). However, HO-1 protein levels are increased in dopaminergic neurons of Parkinson's disease (PD) patients, suggesting its participation in free-iron deposition, oxidative stress and neurotoxicity. Before targeting Nrf2 for PD therapy it is imperative to determine if HO-1 is neurotoxic or neuroprotective in the basal ganglia.\\n\\nMETHODOLOGY: We addressed this question by comparing neuronal damage and gliosis in Nrf2- or HO-1-knockout mice submitted to intraperitoneal injection of 1-methyl-4-phenyl-1,2,3,6-tetrahydropyridine (MPTP) for five consecutive days. Nrf2-knockout mice showed exacerbated gliosis and dopaminergic nigrostriatal degeneration, as determined by immunohistochemical staining of tyrosine hydroxylase in striatum (STR) and substantia nigra (SN) and by HPLC determination of striatal dopamine and 3,4- dihydroxyphenylacetic acid (DOPAC). On the other hand, the severity of gliosis and dopaminergic degeneration in HO-1-null mice was neither increased nor reduced. Regarding free-iron deposition, both Nrf2- and HO-1-deficient mice exhibited similar number of deposits as determined by Perl's staining, therefore indicating that these proteins do not contribute significantly to iron accumulation or clearance in MPTP-induced Parkinsonism.\\n\\nCONCLUSIONS: These results suggest that HO-1 does not protect or enhance the sensitivity to neuronal death in Parkinson's disease and that pharmacological or genetic intervention on Nrf2 may provide a neuroprotective benefit as add on therapy with current symptomatic protocols.","author":[{"dropping-particle":"","family":"Innamorato","given":"Nadia G.","non-dropping-particle":"","parse-names":false,"suffix":""},{"dropping-particle":"","family":"Jazwa","given":"Agnieszka","non-dropping-particle":"","parse-names":false,"suffix":""},{"dropping-particle":"","family":"Rojo","given":"Ana I.","non-dropping-particle":"","parse-names":false,"suffix":""},{"dropping-particle":"","family":"García","given":"Concepción","non-dropping-particle":"","parse-names":false,"suffix":""},{"dropping-particle":"","family":"Ferna ́ndez-Ruiz","given":"Javier","non-dropping-particle":"","parse-names":false,"suffix":""},{"dropping-particle":"","family":"Grochot-Przeczek","given":"Anna","non-dropping-particle":"","parse-names":false,"suffix":""},{"dropping-particle":"","family":"Stachurska","given":"Anna","non-dropping-particle":"","parse-names":false,"suffix":""},{"dropping-particle":"","family":"Jozkowicz","given":"Alicja","non-dropping-particle":"","parse-names":false,"suffix":""},{"dropping-particle":"","family":"Dulak","given":"Jozef","non-dropping-particle":"","parse-names":false,"suffix":""},{"dropping-particle":"","family":"Cuadrado","given":"Antonio","non-dropping-particle":"","parse-names":false,"suffix":""}],"container-title":"PLoS ONE","id":"ITEM-2","issue":"7","issued":{"date-parts":[["2010"]]},"title":"Different susceptibility to the parkinson's toxin MPTP in mice lacking the redox master regulator Nrf2 or its target gene heme oxygenase-1","type":"article-journal","volume":"5"},"uris":["http://www.mendeley.com/documents/?uuid=55852e85-5c12-492a-898e-b8ba70be7c4d"]}],"mendeley":{"formattedCitation":"(Chen et al., 2009; Innamorato et al., 2010)","plainTextFormattedCitation":"(Chen et al., 2009; Innamorato et al., 2010)","previouslyFormattedCitation":"(Chen et al., 2009; Innamorato et al., 2010)"},"properties":{"noteIndex":0},"schema":"https://github.com/citation-style-language/schema/raw/master/csl-citation.json"}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(Chen et al., 2009; Innamorato et al., 2010)</w:t>
      </w:r>
      <w:r w:rsidR="00343957" w:rsidRPr="00CB1C44">
        <w:rPr>
          <w:rFonts w:ascii="Arial" w:hAnsi="Arial" w:cs="Arial"/>
          <w:lang w:val="en-US"/>
        </w:rPr>
        <w:fldChar w:fldCharType="end"/>
      </w:r>
      <w:r w:rsidR="00343957" w:rsidRPr="00CB1C44">
        <w:rPr>
          <w:rFonts w:ascii="Arial" w:hAnsi="Arial" w:cs="Arial"/>
          <w:lang w:val="en-US"/>
        </w:rPr>
        <w:t xml:space="preserve"> or </w:t>
      </w:r>
      <w:r w:rsidR="007E5821" w:rsidRPr="00CB1C44">
        <w:rPr>
          <w:rFonts w:ascii="Arial" w:hAnsi="Arial" w:cs="Arial"/>
          <w:lang w:val="en-US"/>
        </w:rPr>
        <w:t>6-OHDA</w:t>
      </w:r>
      <w:r w:rsidR="00343957" w:rsidRPr="00CB1C44">
        <w:rPr>
          <w:rFonts w:ascii="Arial" w:hAnsi="Arial" w:cs="Arial"/>
          <w:lang w:val="en-US"/>
        </w:rPr>
        <w:t xml:space="preserve">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{"citationItems":[{"id":"ITEM-1","itemData":{"DOI":"10.1093/toxsci/kfi241","ISBN":"1096-6080 (Print)\\r1096-0929 (Linking)","ISSN":"10966080","PMID":"15976186","abstract":"Parkinson's disease, a progressive neurodegenerative disorder, is characterized by loss of midbrain dopaminergic neurons. The etiology of sporadic Parkinson's disease is unknown; however, oxidative stress is thought to play a major role in disease pathogenesis. Little is known regarding the transcriptional changes that occur in Parkinson's disease. The antioxidant response element is a cis-acting enhancer sequence that is upstream of many phase II detoxification and antioxidant genes. Here we show that 6-hydroxydopamine, a mitochondrial inhibitor used to model Parkinson's disease, activates the antioxidant response element both in cultured neurons and in the striatum and brainstem of 6-OHDA-lesioned mice. Pretreatment with antioxidants or NMDA receptor antagonists reduced but did not abolish activation. Further induction of this pathway with tert-butylhydroquinone was able to significantly reduce cell death due to 6-OHDA in vitro. These observations indicate that 6-OHDA activates the antioxidant response element through components of oxidative stress, excitotoxicity, and potential structural factors. Further induction of this endogenous defense mechanism may suggest a novel therapeutic venue in Parkinson's disease.","author":[{"dropping-particle":"","family":"Jakel","given":"Rebekah J.","non-dropping-particle":"","parse-names":false,"suffix":""},{"dropping-particle":"","family":"Kern","given":"Jonathan T.","non-dropping-particle":"","parse-names":false,"suffix":""},{"dropping-particle":"","family":"Johnson","given":"Delinda A.","non-dropping-particle":"","parse-names":false,"suffix":""},{"dropping-particle":"","family":"Johnson","given":"Jeffrey A.","non-dropping-particle":"","parse-names":false,"suffix":""}],"container-title":"Toxicological Sciences","id":"ITEM-1","issue":"1","issued":{"date-parts":[["2005"]]},"page":"176-186","title":"Induction of the protective antioxidant response element pathway by 6-hydroxydopamine in vivo and in vitro","type":"article-journal","volume":"87"},"uris":["http://www.mendeley.com/documents/?uuid=612b873d-7ba6-4486-af55-303186dd5cda"]}],"mendeley":{"formattedCitation":"(Jakel et al., 2005)","plainTextFormattedCitation":"(Jakel et al., 2005)","previouslyFormattedCitation":"(Jakel et al., 2005)"},"properties":{"noteIndex":0},"schema":"https://github.com/citation-style-language/schema/raw/master/csl-citation.json"}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(Jakel et al., 2005)</w:t>
      </w:r>
      <w:r w:rsidR="00343957" w:rsidRPr="00CB1C44">
        <w:rPr>
          <w:rFonts w:ascii="Arial" w:hAnsi="Arial" w:cs="Arial"/>
          <w:lang w:val="en-US"/>
        </w:rPr>
        <w:fldChar w:fldCharType="end"/>
      </w:r>
      <w:r w:rsidR="00343957" w:rsidRPr="00CB1C44">
        <w:rPr>
          <w:rFonts w:ascii="Arial" w:hAnsi="Arial" w:cs="Arial"/>
          <w:lang w:val="en-US"/>
        </w:rPr>
        <w:t xml:space="preserve">, </w:t>
      </w:r>
      <w:r w:rsidR="00ED11B0" w:rsidRPr="00CB1C44">
        <w:rPr>
          <w:rFonts w:ascii="Arial" w:hAnsi="Arial" w:cs="Arial"/>
          <w:lang w:val="en-US"/>
        </w:rPr>
        <w:t>which increase</w:t>
      </w:r>
      <w:r w:rsidR="004E1D28" w:rsidRPr="00CB1C44">
        <w:rPr>
          <w:rFonts w:ascii="Arial" w:hAnsi="Arial" w:cs="Arial"/>
          <w:lang w:val="en-US"/>
        </w:rPr>
        <w:t>s</w:t>
      </w:r>
      <w:r w:rsidR="00ED11B0" w:rsidRPr="00CB1C44">
        <w:rPr>
          <w:rFonts w:ascii="Arial" w:hAnsi="Arial" w:cs="Arial"/>
          <w:lang w:val="en-US"/>
        </w:rPr>
        <w:t xml:space="preserve"> ROS formation and are </w:t>
      </w:r>
      <w:r w:rsidR="00343957" w:rsidRPr="00CB1C44">
        <w:rPr>
          <w:rFonts w:ascii="Arial" w:hAnsi="Arial" w:cs="Arial"/>
          <w:lang w:val="en-US"/>
        </w:rPr>
        <w:t>commonly used to mimic PD in rodents. Moreover, transplantation of astrocytes overexpressing Nrf2 into</w:t>
      </w:r>
      <w:r w:rsidR="00933245" w:rsidRPr="00CB1C44">
        <w:rPr>
          <w:rFonts w:ascii="Arial" w:hAnsi="Arial" w:cs="Arial"/>
          <w:lang w:val="en-US"/>
        </w:rPr>
        <w:t xml:space="preserve"> striatum</w:t>
      </w:r>
      <w:r w:rsidR="00343957" w:rsidRPr="00CB1C44">
        <w:rPr>
          <w:rFonts w:ascii="Arial" w:hAnsi="Arial" w:cs="Arial"/>
          <w:lang w:val="en-US"/>
        </w:rPr>
        <w:t xml:space="preserve"> of wild-type mice decreased the susceptibility to 6-OHDA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{"citationItems":[{"id":"ITEM-1","itemData":{"DOI":"10.1016/j.brainres.2007.01.131","ISBN":"0006-8993 (Print)\\r0006-8993 (Linking)","ISSN":"00068993","PMID":"17336276","abstract":"Parkinson's disease (PD) is a neurodegenerative movement disorder characterized by cell loss in the substantia nigra resulting in striatal dopamine depletion. Although the cause of sporadic PD is unknown, oxidative stress is thought to contribute to disease pathogenesis. One mechanism by which cells defend themselves against oxidative stress is through the transcriptional upregulation of cytoprotective genes. Under oxidative stress conditions, the transcription factor NF-E2-related factor (Nrf2) binds to the antioxidant response element (ARE) to induce antioxidant and phase II detoxification enzymes. Here we show that loss of Nrf2-mediated transcription exacerbates vulnerability to the neurotoxin 6-hydroxydopamine (6-OHDA) both in vitro and in vivo. We further demonstrate that activation of the Nrf2-ARE pathway by the known chemical inducer tert-butylhydroquinone can protect against 6-OHDA in vitro. Induction of this pathway by transplantation of astrocytes overexpressing Nrf2 can protect against 6-OHDA-induced damage in the living mouse. This suggests that the Nrf2-ARE pathway is a promising target for therapeutics aimed at reducing or preventing cell death in PD. ?? 2007 Elsevier B.V. All rights reserved.","author":[{"dropping-particle":"","family":"Jakel","given":"Rebekah J.","non-dropping-particle":"","parse-names":false,"suffix":""},{"dropping-particle":"","family":"Townsend","given":"Jessica A.","non-dropping-particle":"","parse-names":false,"suffix":""},{"dropping-particle":"","family":"Kraft","given":"Andrew D.","non-dropping-particle":"","parse-names":false,"suffix":""},{"dropping-particle":"","family":"Johnson","given":"Jeffrey A.","non-dropping-particle":"","parse-names":false,"suffix":""}],"container-title":"Brain Research","id":"ITEM-1","issue":"1","issued":{"date-parts":[["2007"]]},"page":"192-201","title":"Nrf2-mediated protection against 6-hydroxydopamine","type":"article-journal","volume":"1144"},"uris":["http://www.mendeley.com/documents/?uuid=817879c0-1cbb-4d25-bbb5-8215f06b81e7"]}],"mendeley":{"formattedCitation":"(Jakel et al., 2007)","plainTextFormattedCitation":"(Jakel et al., 2007)","previouslyFormattedCitation":"(Jakel et al., 2007)"},"properties":{"noteIndex":0},"schema":"https://github.com/citation-style-language/schema/raw/master/csl-citation.json"}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(Jakel et al., 2007)</w:t>
      </w:r>
      <w:r w:rsidR="00343957" w:rsidRPr="00CB1C44">
        <w:rPr>
          <w:rFonts w:ascii="Arial" w:hAnsi="Arial" w:cs="Arial"/>
          <w:lang w:val="en-US"/>
        </w:rPr>
        <w:fldChar w:fldCharType="end"/>
      </w:r>
      <w:r w:rsidR="00343957" w:rsidRPr="00CB1C44">
        <w:rPr>
          <w:rFonts w:ascii="Arial" w:hAnsi="Arial" w:cs="Arial"/>
          <w:lang w:val="en-US"/>
        </w:rPr>
        <w:t xml:space="preserve"> and MPTP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{"citationItems":[{"id":"ITEM-1","itemData":{"DOI":"10.1073/pnas.0813361106","ISBN":"1091-6490 (Electronic)\\n0027-8424 (Linking)","ISSN":"1091-6490","PMID":"19196989","abstract":"Oxidative stress has been implicated in the etiology of Parkinson's disease (PD) and in the 1-methyl-4-phenyl-1,2,3,6-tetrahydropyridine (MPTP) animal model of PD. It is known that under conditions of oxidative stress, the transcription factor NF-E2-related factor (Nrf2) binds to antioxidant response element (ARE) to induce antioxidant and phase II detoxification enzymes. To investigate the role of Nrf2 in the process of MPTP-induced toxicity, mice expressing the human placental alkaline phosphatase (hPAP) gene driven by a promoter containing a core ARE sequence (ARE-hPAP) were used. ARE-hPAP mice were injected (30 mg/kg) once per day for 5 days and killed 7 days after the last MPTP injection. In response to this design, ARE-dependent gene expression was decreased in striatum whereas it was increased in substantia nigra. The same MPTP protocol was applied in Nrf2(+/+) and Nrf2(-/-) mice; Nrf2 deficiency increases MPTP sensitivity. Furthermore, we evaluated the potential for astrocytic Nrf2 overexpression to protect from MPTP toxicity. Transgenic mice with Nrf2 under control of the astrocyte-specific promoter for the glial fribillary acidic protein (GFAP-Nrf2) on both a Nrf2(+/+) and Nrf2(-/-) background were administered MPTP. In the latter case, only the astrocytes expressed Nrf2. Independent of background, MPTP-mediated toxicity was abolished in GFAP-Nrf2 mice. These striking results indicate that Nrf2 expression restricted to astrocytes is sufficient to protect against MPTP and astrocytic modulation of the Nrf2-ARE pathway is a promising target for therapeutics aimed at reducing or preventing neuronal death in PD.","author":[{"dropping-particle":"","family":"Chen","given":"Pei-Chun","non-dropping-particle":"","parse-names":false,"suffix":""},{"dropping-particle":"","family":"Vargas","given":"Marcelo R","non-dropping-particle":"","parse-names":false,"suffix":""},{"dropping-particle":"","family":"Pani","given":"Amar K","non-dropping-particle":"","parse-names":false,"suffix":""},{"dropping-particle":"","family":"Smeyne","given":"Richard J","non-dropping-particle":"","parse-names":false,"suffix":""},{"dropping-particle":"","family":"Johnson","given":"Delinda A","non-dropping-particle":"","parse-names":false,"suffix":""},{"dropping-particle":"","family":"Kan","given":"Yuet Wai","non-dropping-particle":"","parse-names":false,"suffix":""},{"dropping-particle":"","family":"Johnson","given":"Jeffrey A","non-dropping-particle":"","parse-names":false,"suffix":""}],"container-title":"Proceedings of the National Academy of Sciences of the United States of America","id":"ITEM-1","issue":"8","issued":{"date-parts":[["2009"]]},"page":"2933-8","title":"Nrf2-mediated neuroprotection in the MPTP mouse model of Parkinson's disease: Critical role for the astrocyte.","type":"article-journal","volume":"106"},"uris":["http://www.mendeley.com/documents/?uuid=055bcb59-4b2f-4b0e-aa0c-1342334e75d5"]}],"mendeley":{"formattedCitation":"(Chen et al., 2009)","plainTextFormattedCitation":"(Chen et al., 2009)","previouslyFormattedCitation":"(Chen et al., 2009)"},"properties":{"noteIndex":0},"schema":"https://github.com/citation-style-language/schema/raw/master/csl-citation.json"}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(Chen et al., 2009)</w:t>
      </w:r>
      <w:r w:rsidR="00343957" w:rsidRPr="00CB1C44">
        <w:rPr>
          <w:rFonts w:ascii="Arial" w:hAnsi="Arial" w:cs="Arial"/>
          <w:lang w:val="en-US"/>
        </w:rPr>
        <w:fldChar w:fldCharType="end"/>
      </w:r>
      <w:r w:rsidR="00B91D6D" w:rsidRPr="00CB1C44">
        <w:rPr>
          <w:rFonts w:ascii="Arial" w:hAnsi="Arial" w:cs="Arial"/>
          <w:lang w:val="en-US"/>
        </w:rPr>
        <w:t>;</w:t>
      </w:r>
      <w:r w:rsidR="00343957" w:rsidRPr="00CB1C44">
        <w:rPr>
          <w:rFonts w:ascii="Arial" w:hAnsi="Arial" w:cs="Arial"/>
          <w:lang w:val="en-US"/>
        </w:rPr>
        <w:t xml:space="preserve"> similar results were obtained in primary cortical neurons</w:t>
      </w:r>
      <w:r w:rsidR="00437497" w:rsidRPr="00CB1C44">
        <w:rPr>
          <w:rFonts w:ascii="Arial" w:hAnsi="Arial" w:cs="Arial"/>
          <w:lang w:val="en-US"/>
        </w:rPr>
        <w:t xml:space="preserve"> from Nrf2</w:t>
      </w:r>
      <w:r w:rsidR="00437497" w:rsidRPr="00CB1C44">
        <w:rPr>
          <w:rFonts w:ascii="Arial" w:hAnsi="Arial" w:cs="Arial"/>
          <w:vertAlign w:val="superscript"/>
          <w:lang w:val="en-US"/>
        </w:rPr>
        <w:t>+/-</w:t>
      </w:r>
      <w:r w:rsidR="00437497" w:rsidRPr="00CB1C44">
        <w:rPr>
          <w:rFonts w:ascii="Arial" w:hAnsi="Arial" w:cs="Arial"/>
          <w:lang w:val="en-US"/>
        </w:rPr>
        <w:t xml:space="preserve"> mice, after 6-OHDA exposure</w:t>
      </w:r>
      <w:r w:rsidR="00343957" w:rsidRPr="00CB1C44">
        <w:rPr>
          <w:rFonts w:ascii="Arial" w:hAnsi="Arial" w:cs="Arial"/>
          <w:lang w:val="en-US"/>
        </w:rPr>
        <w:t xml:space="preserve">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{"citationItems":[{"id":"ITEM-1","itemData":{"DOI":"10.1016/j.brainres.2007.01.131","ISBN":"0006-8993 (Print)\\r0006-8993 (Linking)","ISSN":"00068993","PMID":"17336276","abstract":"Parkinson's disease (PD) is a neurodegenerative movement disorder characterized by cell loss in the substantia nigra resulting in striatal dopamine depletion. Although the cause of sporadic PD is unknown, oxidative stress is thought to contribute to disease pathogenesis. One mechanism by which cells defend themselves against oxidative stress is through the transcriptional upregulation of cytoprotective genes. Under oxidative stress conditions, the transcription factor NF-E2-related factor (Nrf2) binds to the antioxidant response element (ARE) to induce antioxidant and phase II detoxification enzymes. Here we show that loss of Nrf2-mediated transcription exacerbates vulnerability to the neurotoxin 6-hydroxydopamine (6-OHDA) both in vitro and in vivo. We further demonstrate that activation of the Nrf2-ARE pathway by the known chemical inducer tert-butylhydroquinone can protect against 6-OHDA in vitro. Induction of this pathway by transplantation of astrocytes overexpressing Nrf2 can protect against 6-OHDA-induced damage in the living mouse. This suggests that the Nrf2-ARE pathway is a promising target for therapeutics aimed at reducing or preventing cell death in PD. ?? 2007 Elsevier B.V. All rights reserved.","author":[{"dropping-particle":"","family":"Jakel","given":"Rebekah J.","non-dropping-particle":"","parse-names":false,"suffix":""},{"dropping-particle":"","family":"Townsend","given":"Jessica A.","non-dropping-particle":"","parse-names":false,"suffix":""},{"dropping-particle":"","family":"Kraft","given":"Andrew D.","non-dropping-particle":"","parse-names":false,"suffix":""},{"dropping-particle":"","family":"Johnson","given":"Jeffrey A.","non-dropping-particle":"","parse-names":false,"suffix":""}],"container-title":"Brain Research","id":"ITEM-1","issue":"1","issued":{"date-parts":[["2007"]]},"page":"192-201","title":"Nrf2-mediated protection against 6-hydroxydopamine","type":"article-journal","volume":"1144"},"uris":["http://www.mendeley.com/documents/?uuid=817879c0-1cbb-4d25-bbb5-8215f06b81e7"]}],"mendeley":{"formattedCitation":"(Jakel et al., 2007)","plainTextFormattedCitation":"(Jakel et al., 2007)","previouslyFormattedCitation":"(Jakel et al., 2007)"},"properties":{"noteIndex":0},"schema":"https://github.com/citation-style-language/schema/raw/master/csl-citation.json"}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(Jakel et al., 2007)</w:t>
      </w:r>
      <w:r w:rsidR="00343957" w:rsidRPr="00CB1C44">
        <w:rPr>
          <w:rFonts w:ascii="Arial" w:hAnsi="Arial" w:cs="Arial"/>
          <w:lang w:val="en-US"/>
        </w:rPr>
        <w:fldChar w:fldCharType="end"/>
      </w:r>
      <w:r w:rsidR="00343957" w:rsidRPr="00CB1C44">
        <w:rPr>
          <w:rFonts w:ascii="Arial" w:hAnsi="Arial" w:cs="Arial"/>
          <w:lang w:val="en-US"/>
        </w:rPr>
        <w:t>. Interestingly, crossing mice selectively overexpressing Nrf2 in astrocytes with mice selectively expressing human mutant SYN (hSYN</w:t>
      </w:r>
      <w:r w:rsidR="00343957" w:rsidRPr="00CB1C44">
        <w:rPr>
          <w:rFonts w:ascii="Arial" w:hAnsi="Arial" w:cs="Arial"/>
          <w:vertAlign w:val="superscript"/>
          <w:lang w:val="en-US"/>
        </w:rPr>
        <w:t>A53T</w:t>
      </w:r>
      <w:r w:rsidR="00343957" w:rsidRPr="00CB1C44">
        <w:rPr>
          <w:rFonts w:ascii="Arial" w:hAnsi="Arial" w:cs="Arial"/>
          <w:lang w:val="en-US"/>
        </w:rPr>
        <w:t xml:space="preserve">) in neurons, showed slowed motor pathology, decreased α-Syn aggregation, reduced oxidative stress and reduced gliosis in the spinal cord </w:t>
      </w:r>
      <w:r w:rsidR="00343957"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{"citationItems":[{"id":"ITEM-1","itemData":{"DOI":"10.1523/JNEUROSCI.3049-12.2012","ISBN":"1529-2401 (Electronic)\\r0270-6474 (Linking)","ISSN":"1529-2401","PMID":"23223297","abstract":"Alpha synuclein (SYN) is a central player in the pathogenesis of sporadic and familial Parkinson's disease (PD). SYN aggregation and oxidative stress are associated and enhance each other's toxicity. It is unknown whether the redox-sensitive transcription factor nuclear factor erythroid 2-related factor 2 (Nrf2) plays a role against the toxicity of SYN. To examine this, mice selectively overexpressing Nrf2 in astrocytes (GFAP-Nrf2) were crossed with mice selectively expressing human mutant SYN (hSYN(A53T)) in neurons. Increased astrocytic Nrf2 delayed the onset and extended the life span of the hSYN(A53T) mice. This correlated with increased motor neuron survival, reduced oxidative stress, and attenuated gliosis in the spinal cord, as well as a dramatic decrease in total hSYN(A53T) and phosphorylated (Ser129) hSYN(A53T) in Triton-insoluble aggregates. Furthermore, Nrf2 in astrocytes delayed chaperone-mediated autophagy and macroautophagy dysfunction observed in the hSYN(A53T) mice. Our data suggest that Nrf2 in astrocytes provides neuroprotection against hSYN(A53T)-mediated toxicity by promoting the degradation of hSYN(A53T) through the autophagy-lysosome pathway in vivo. Thus, activation of the Nrf2 pathway in astrocytes is a potential target to develop therapeutic strategies for treating pathologic synucleinopathies including PD.","author":[{"dropping-particle":"","family":"Gan","given":"Li","non-dropping-particle":"","parse-names":false,"suffix":""},{"dropping-particle":"","family":"Vargas","given":"Marcelo R.","non-dropping-particle":"","parse-names":false,"suffix":""},{"dropping-particle":"","family":"Johnson","given":"Delinda A.","non-dropping-particle":"","parse-names":false,"suffix":""},{"dropping-particle":"","family":"Johnson","given":"Jeffrey A.","non-dropping-particle":"","parse-names":false,"suffix":""}],"container-title":"The Journal of neuroscience : the official journal of the Society for Neuroscience","id":"ITEM-1","issue":"49","issued":{"date-parts":[["2012"]]},"page":"17775-87","title":"Astrocyte-specific overexpression of Nrf2 delays motor pathology and synuclein aggregation throughout the CNS in the alpha-synuclein mutant (A53T) mouse model.","type":"article-journal","volume":"32"},"uris":["http://www.mendeley.com/documents/?uuid=10105cba-0bbf-4c3b-8cea-1ee3517ecf11"]}],"mendeley":{"formattedCitation":"(Gan et al., 2012)","plainTextFormattedCitation":"(Gan et al., 2012)","previouslyFormattedCitation":"(Gan et al., 2012)"},"properties":{"noteIndex":0},"schema":"https://github.com/citation-style-language/schema/raw/master/csl-citation.json"}</w:instrText>
      </w:r>
      <w:r w:rsidR="00343957" w:rsidRPr="00CB1C44">
        <w:rPr>
          <w:rFonts w:ascii="Arial" w:hAnsi="Arial" w:cs="Arial"/>
          <w:lang w:val="en-US"/>
        </w:rPr>
        <w:fldChar w:fldCharType="separate"/>
      </w:r>
      <w:r w:rsidR="00DD645C" w:rsidRPr="00CB1C44">
        <w:rPr>
          <w:rFonts w:ascii="Arial" w:hAnsi="Arial" w:cs="Arial"/>
          <w:noProof/>
          <w:lang w:val="en-US"/>
        </w:rPr>
        <w:t>(Gan et al., 2012)</w:t>
      </w:r>
      <w:r w:rsidR="00343957" w:rsidRPr="00CB1C44">
        <w:rPr>
          <w:rFonts w:ascii="Arial" w:hAnsi="Arial" w:cs="Arial"/>
          <w:lang w:val="en-US"/>
        </w:rPr>
        <w:fldChar w:fldCharType="end"/>
      </w:r>
      <w:r w:rsidR="00343957" w:rsidRPr="00CB1C44">
        <w:rPr>
          <w:rFonts w:ascii="Arial" w:hAnsi="Arial" w:cs="Arial"/>
          <w:lang w:val="en-US"/>
        </w:rPr>
        <w:t>.</w:t>
      </w:r>
    </w:p>
    <w:p w14:paraId="4306E6CE" w14:textId="7DAB4E9A" w:rsidR="002D0762" w:rsidRPr="00CB1C44" w:rsidRDefault="00791642" w:rsidP="004038B5">
      <w:pPr>
        <w:spacing w:after="0" w:line="360" w:lineRule="auto"/>
        <w:jc w:val="both"/>
        <w:rPr>
          <w:rFonts w:ascii="Arial" w:hAnsi="Arial" w:cs="Arial"/>
          <w:lang w:val="en-US"/>
        </w:rPr>
      </w:pPr>
      <w:r w:rsidRPr="00CB1C44">
        <w:rPr>
          <w:rFonts w:ascii="Arial" w:hAnsi="Arial" w:cs="Arial"/>
          <w:lang w:val="en-US"/>
        </w:rPr>
        <w:t>Mutations in the PTEN-induced putative kinase 1 (</w:t>
      </w:r>
      <w:r w:rsidRPr="00CB1C44">
        <w:rPr>
          <w:rFonts w:ascii="Arial" w:hAnsi="Arial" w:cs="Arial"/>
          <w:i/>
          <w:lang w:val="en-US"/>
        </w:rPr>
        <w:t>PINK1</w:t>
      </w:r>
      <w:r w:rsidRPr="00CB1C44">
        <w:rPr>
          <w:rFonts w:ascii="Arial" w:hAnsi="Arial" w:cs="Arial"/>
          <w:lang w:val="en-US"/>
        </w:rPr>
        <w:t xml:space="preserve">) gene are known to cause familial PD </w:t>
      </w:r>
      <w:r w:rsidRPr="00CB1C44">
        <w:rPr>
          <w:rFonts w:ascii="Arial" w:hAnsi="Arial" w:cs="Arial"/>
          <w:lang w:val="en-US"/>
        </w:rPr>
        <w:fldChar w:fldCharType="begin" w:fldLock="1"/>
      </w:r>
      <w:r w:rsidRPr="00CB1C44">
        <w:rPr>
          <w:rFonts w:ascii="Arial" w:hAnsi="Arial" w:cs="Arial"/>
          <w:lang w:val="en-US"/>
        </w:rPr>
        <w:instrText>ADDIN CSL_CITATION {"citationItems":[{"id":"ITEM-1","itemData":{"DOI":"10.1126/science.1096284","ISSN":"00368075","abstract":"Parkinson's disease (PD) is a neurodegenerative disorder characterized by degeneration of dopaminergic neurons in the substantia nigra. We previously mapped a locus for a rare familial form of PD to chromosome 1p36 (PARK6). Here we show that mutations in PINK1 (PTEN-induced kinase 1) are associated with PARK6. We have identified two homozygous mutations affecting the PINK1 kinase domain in three consanguineous PARK6 families: a truncating nonsense mutation and a missense mutation at a highly conserved amino acid. Cell culture studies suggest that PINK1 is mitochondrially located and may exert a protective effect on the cell that is abrogated by the mutations, resulting in increased susceptibility to cellular stress. These data provide a direct molecular link between mitochondria and the pathogenesis of PD.","author":[{"dropping-particle":"","family":"Valente","given":"Eriza Maria","non-dropping-particle":"","parse-names":false,"suffix":""},{"dropping-particle":"","family":"Abou-Sleiman","given":"Patrick M.","non-dropping-particle":"","parse-names":false,"suffix":""},{"dropping-particle":"","family":"Caputo","given":"Viviana","non-dropping-particle":"","parse-names":false,"suffix":""},{"dropping-particle":"","family":"Muqit","given":"Miratul M.K.","non-dropping-particle":"","parse-names":false,"suffix":""},{"dropping-particle":"","family":"Harvey","given":"Kirsten","non-dropping-particle":"","parse-names":false,"suffix":""},{"dropping-particle":"","family":"Gispert","given":"Suzana","non-dropping-particle":"","parse-names":false,"suffix":""},{"dropping-particle":"","family":"Ali","given":"Zeeshan","non-dropping-particle":"","parse-names":false,"suffix":""},{"dropping-particle":"","family":"Turco","given":"Domenico","non-dropping-particle":"Del","parse-names":false,"suffix":""},{"dropping-particle":"","family":"Bentivoglio","given":"Anna Rita","non-dropping-particle":"","parse-names":false,"suffix":""},{"dropping-particle":"","family":"Healy","given":"Daniel G.","non-dropping-particle":"","parse-names":false,"suffix":""},{"dropping-particle":"","family":"Albanese","given":"Alberto","non-dropping-particle":"","parse-names":false,"suffix":""},{"dropping-particle":"","family":"Nussbaum","given":"Robert","non-dropping-particle":"","parse-names":false,"suffix":""},{"dropping-particle":"","family":"González-Maldonado","given":"Rafael","non-dropping-particle":"","parse-names":false,"suffix":""},{"dropping-particle":"","family":"Deller","given":"Thomas","non-dropping-particle":"","parse-names":false,"suffix":""},{"dropping-particle":"","family":"Salvi","given":"Sergio","non-dropping-particle":"","parse-names":false,"suffix":""},{"dropping-particle":"","family":"Cortelli","given":"Pietro","non-dropping-particle":"","parse-names":false,"suffix":""},{"dropping-particle":"","family":"Gilks","given":"William P.","non-dropping-particle":"","parse-names":false,"suffix":""},{"dropping-particle":"","family":"Latchman","given":"David S.","non-dropping-particle":"","parse-names":false,"suffix":""},{"dropping-particle":"","family":"Harvey","given":"Roberk J.","non-dropping-particle":"","parse-names":false,"suffix":""},{"dropping-particle":"","family":"Dallapiccola","given":"Bruno","non-dropping-particle":"","parse-names":false,"suffix":""},{"dropping-particle":"","family":"Auburger","given":"Georg","non-dropping-particle":"","parse-names":false,"suffix":""},{"dropping-particle":"","family":"Wood","given":"Nicholas W.","non-dropping-particle":"","parse-names":false,"suffix":""}],"container-title":"Science","id":"ITEM-1","issued":{"date-parts":[["2004"]]},"title":"Hereditary early-onset Parkinson's disease caused by mutations in PINK1","type":"article-journal"},"uris":["http://www.mendeley.com/documents/?uuid=8a7c5214-0984-489c-a31a-215a3288b3e5"]}],"mendeley":{"formattedCitation":"(Valente et al., 2004)","plainTextFormattedCitation":"(Valente et al., 2004)","previouslyFormattedCitation":"(Valente et al., 2004)"},"properties":{"noteIndex":0},"schema":"https://github.com/citation-style-language/schema/raw/master/csl-citation.json"}</w:instrText>
      </w:r>
      <w:r w:rsidRPr="00CB1C44">
        <w:rPr>
          <w:rFonts w:ascii="Arial" w:hAnsi="Arial" w:cs="Arial"/>
          <w:lang w:val="en-US"/>
        </w:rPr>
        <w:fldChar w:fldCharType="separate"/>
      </w:r>
      <w:r w:rsidRPr="00CB1C44">
        <w:rPr>
          <w:rFonts w:ascii="Arial" w:hAnsi="Arial" w:cs="Arial"/>
          <w:noProof/>
          <w:lang w:val="en-US"/>
        </w:rPr>
        <w:t>(Valente et al., 2004)</w:t>
      </w:r>
      <w:r w:rsidRPr="00CB1C44">
        <w:rPr>
          <w:rFonts w:ascii="Arial" w:hAnsi="Arial" w:cs="Arial"/>
          <w:lang w:val="en-US"/>
        </w:rPr>
        <w:fldChar w:fldCharType="end"/>
      </w:r>
      <w:r w:rsidRPr="00CB1C44">
        <w:rPr>
          <w:rFonts w:ascii="Arial" w:hAnsi="Arial" w:cs="Arial"/>
          <w:lang w:val="en-US"/>
        </w:rPr>
        <w:t>.</w:t>
      </w:r>
      <w:r w:rsidR="001655CF" w:rsidRPr="00CB1C44">
        <w:rPr>
          <w:rFonts w:ascii="Arial" w:hAnsi="Arial" w:cs="Arial"/>
          <w:lang w:val="en-US"/>
        </w:rPr>
        <w:t xml:space="preserve"> PINK1</w:t>
      </w:r>
      <w:r w:rsidR="0045346E" w:rsidRPr="00CB1C44">
        <w:rPr>
          <w:rFonts w:ascii="Arial" w:hAnsi="Arial" w:cs="Arial"/>
          <w:lang w:val="en-US"/>
        </w:rPr>
        <w:t xml:space="preserve"> is an important protein for mitochondrial quality control</w:t>
      </w:r>
      <w:r w:rsidR="00490C64" w:rsidRPr="00CB1C44">
        <w:rPr>
          <w:rFonts w:ascii="Arial" w:hAnsi="Arial" w:cs="Arial"/>
          <w:lang w:val="en-US"/>
        </w:rPr>
        <w:t>,</w:t>
      </w:r>
      <w:r w:rsidR="0045346E" w:rsidRPr="00CB1C44">
        <w:rPr>
          <w:rFonts w:ascii="Arial" w:hAnsi="Arial" w:cs="Arial"/>
          <w:lang w:val="en-US"/>
        </w:rPr>
        <w:t xml:space="preserve"> contribut</w:t>
      </w:r>
      <w:r w:rsidR="00490C64" w:rsidRPr="00CB1C44">
        <w:rPr>
          <w:rFonts w:ascii="Arial" w:hAnsi="Arial" w:cs="Arial"/>
          <w:lang w:val="en-US"/>
        </w:rPr>
        <w:t>ing</w:t>
      </w:r>
      <w:r w:rsidR="0045346E" w:rsidRPr="00CB1C44">
        <w:rPr>
          <w:rFonts w:ascii="Arial" w:hAnsi="Arial" w:cs="Arial"/>
          <w:lang w:val="en-US"/>
        </w:rPr>
        <w:t xml:space="preserve"> to mitophagy</w:t>
      </w:r>
      <w:r w:rsidR="00481594" w:rsidRPr="00CB1C44">
        <w:rPr>
          <w:rFonts w:ascii="Arial" w:hAnsi="Arial" w:cs="Arial"/>
          <w:lang w:val="en-US"/>
        </w:rPr>
        <w:t xml:space="preserve"> t</w:t>
      </w:r>
      <w:r w:rsidR="009339C7" w:rsidRPr="00CB1C44">
        <w:rPr>
          <w:rFonts w:ascii="Arial" w:hAnsi="Arial" w:cs="Arial"/>
          <w:lang w:val="en-US"/>
        </w:rPr>
        <w:t>h</w:t>
      </w:r>
      <w:r w:rsidR="00481594" w:rsidRPr="00CB1C44">
        <w:rPr>
          <w:rFonts w:ascii="Arial" w:hAnsi="Arial" w:cs="Arial"/>
          <w:lang w:val="en-US"/>
        </w:rPr>
        <w:t>r</w:t>
      </w:r>
      <w:r w:rsidR="009339C7" w:rsidRPr="00CB1C44">
        <w:rPr>
          <w:rFonts w:ascii="Arial" w:hAnsi="Arial" w:cs="Arial"/>
          <w:lang w:val="en-US"/>
        </w:rPr>
        <w:t>ough PINK1 accumulation on the outer membrane of depolarized mitochondria</w:t>
      </w:r>
      <w:r w:rsidRPr="00CB1C44">
        <w:rPr>
          <w:rFonts w:ascii="Arial" w:hAnsi="Arial" w:cs="Arial"/>
          <w:lang w:val="en-US"/>
        </w:rPr>
        <w:t xml:space="preserve"> </w:t>
      </w:r>
      <w:r w:rsidR="00C31F99" w:rsidRPr="00CB1C44">
        <w:rPr>
          <w:rFonts w:ascii="Arial" w:hAnsi="Arial" w:cs="Arial"/>
          <w:lang w:val="en-US"/>
        </w:rPr>
        <w:fldChar w:fldCharType="begin" w:fldLock="1"/>
      </w:r>
      <w:r w:rsidR="00FF5043" w:rsidRPr="00CB1C44">
        <w:rPr>
          <w:rFonts w:ascii="Arial" w:hAnsi="Arial" w:cs="Arial"/>
          <w:lang w:val="en-US"/>
        </w:rPr>
        <w:instrText>ADDIN CSL_CITATION {"citationItems":[{"id":"ITEM-1","itemData":{"DOI":"10.1083/jcb.200910140","ISSN":"00219525","abstract":"Parkinson's disease (PD) is a prevalent neurodegenerative disorder. Recent identification of genes linked to familial forms of PD such as Parkin and PINK1 (PTEN-induced putative kinase 1) has revealed that ubiquitylation and mitochondrial integrity are key factors in disease pathogenesis. However, the exact mechanism underlying the functional interplay between Parkin-catalyzed ubiquitylation and PINK1-regulated mitochondrial quality control remains an enigma. In this study, we show that PINK1 is rapidly and constitutively degraded under steady-state conditions in a mitochondrial membrane potential-dependent manner and that a loss in mitochondrial membrane potential stabilizes PINK1 mitochondrial accumulation. Furthermore, PINK1 recruits Parkin from the cytoplasm to mitochondria with low membrane potential to initiate the autophagic degradation of damaged mitochondria. Interestingly, the ubiquitin ligase activity of Parkin is repressed in the cytoplasm under steady-state conditions; however, PINK1-dependent mitochondrial localization liberates the latent enzymatic activity of Parkin. Some pathogenic mutations of PINK1 and Parkin interfere with the aforementioned events, suggesting an etiological importance. These results provide crucial insight into the pathogenic mechanisms of PD.","author":[{"dropping-particle":"","family":"Matsuda","given":"Noriyuki","non-dropping-particle":"","parse-names":false,"suffix":""},{"dropping-particle":"","family":"Sato","given":"Shigeto","non-dropping-particle":"","parse-names":false,"suffix":""},{"dropping-particle":"","family":"Shiba","given":"Kahori","non-dropping-particle":"","parse-names":false,"suffix":""},{"dropping-particle":"","family":"Okatsu","given":"Kei","non-dropping-particle":"","parse-names":false,"suffix":""},{"dropping-particle":"","family":"Saisho","given":"Keiko","non-dropping-particle":"","parse-names":false,"suffix":""},{"dropping-particle":"","family":"Gautier","given":"Clement A.","non-dropping-particle":"","parse-names":false,"suffix":""},{"dropping-particle":"","family":"Sou","given":"Yu Shin","non-dropping-particle":"","parse-names":false,"suffix":""},{"dropping-particle":"","family":"Saiki","given":"Shinji","non-dropping-particle":"","parse-names":false,"suffix":""},{"dropping-particle":"","family":"Kawajiri","given":"Sumihiro","non-dropping-particle":"","parse-names":false,"suffix":""},{"dropping-particle":"","family":"Sato","given":"Fumiaki","non-dropping-particle":"","parse-names":false,"suffix":""},{"dropping-particle":"","family":"Kimura","given":"Mayumi","non-dropping-particle":"","parse-names":false,"suffix":""},{"dropping-particle":"","family":"Komatsu","given":"Masaaki","non-dropping-particle":"","parse-names":false,"suffix":""},{"dropping-particle":"","family":"Hattori","given":"Nobutaka","non-dropping-particle":"","parse-names":false,"suffix":""},{"dropping-particle":"","family":"Tanaka","given":"Keiji","non-dropping-particle":"","parse-names":false,"suffix":""}],"container-title":"Journal of Cell Biology","id":"ITEM-1","issued":{"date-parts":[["2010"]]},"title":"PINK1 stabilized by mitochondrial depolarization recruits Parkin to damaged mitochondria and activates latent Parkin for mitophagy","type":"article-journal"},"uris":["http://www.mendeley.com/documents/?uuid=c8a3dc7f-0875-4723-8ddb-a50c766fd321"]}],"mendeley":{"formattedCitation":"(Matsuda et al., 2010)","plainTextFormattedCitation":"(Matsuda et al., 2010)","previouslyFormattedCitation":"(Matsuda et al., 2010)"},"properties":{"noteIndex":0},"schema":"https://github.com/citation-style-language/schema/raw/master/csl-citation.json"}</w:instrText>
      </w:r>
      <w:r w:rsidR="00C31F99" w:rsidRPr="00CB1C44">
        <w:rPr>
          <w:rFonts w:ascii="Arial" w:hAnsi="Arial" w:cs="Arial"/>
          <w:lang w:val="en-US"/>
        </w:rPr>
        <w:fldChar w:fldCharType="separate"/>
      </w:r>
      <w:r w:rsidR="00C31F99" w:rsidRPr="00CB1C44">
        <w:rPr>
          <w:rFonts w:ascii="Arial" w:hAnsi="Arial" w:cs="Arial"/>
          <w:noProof/>
          <w:lang w:val="en-US"/>
        </w:rPr>
        <w:t>(Matsuda et al., 2010)</w:t>
      </w:r>
      <w:r w:rsidR="00C31F99" w:rsidRPr="00CB1C44">
        <w:rPr>
          <w:rFonts w:ascii="Arial" w:hAnsi="Arial" w:cs="Arial"/>
          <w:lang w:val="en-US"/>
        </w:rPr>
        <w:fldChar w:fldCharType="end"/>
      </w:r>
      <w:r w:rsidR="009339C7" w:rsidRPr="00CB1C44">
        <w:rPr>
          <w:rFonts w:ascii="Arial" w:hAnsi="Arial" w:cs="Arial"/>
          <w:lang w:val="en-US"/>
        </w:rPr>
        <w:t xml:space="preserve">. </w:t>
      </w:r>
      <w:r w:rsidR="007E24E9" w:rsidRPr="00CB1C44">
        <w:rPr>
          <w:rFonts w:ascii="Arial" w:hAnsi="Arial" w:cs="Arial"/>
          <w:lang w:val="en-US"/>
        </w:rPr>
        <w:t xml:space="preserve">Interestingly, </w:t>
      </w:r>
      <w:r w:rsidR="00435B95" w:rsidRPr="00CB1C44">
        <w:rPr>
          <w:rFonts w:ascii="Arial" w:hAnsi="Arial" w:cs="Arial"/>
          <w:lang w:val="en-US"/>
        </w:rPr>
        <w:t xml:space="preserve">Nrf2 is an important transcriptional up-regulator of the </w:t>
      </w:r>
      <w:r w:rsidR="00435B95" w:rsidRPr="00CB1C44">
        <w:rPr>
          <w:rFonts w:ascii="Arial" w:hAnsi="Arial" w:cs="Arial"/>
          <w:i/>
          <w:lang w:val="en-US"/>
        </w:rPr>
        <w:t>PINK1</w:t>
      </w:r>
      <w:r w:rsidR="00435B95" w:rsidRPr="00CB1C44">
        <w:rPr>
          <w:rFonts w:ascii="Arial" w:hAnsi="Arial" w:cs="Arial"/>
          <w:lang w:val="en-US"/>
        </w:rPr>
        <w:t xml:space="preserve"> gene in response to different stimulus, being protective for mitochondria and enhancing cell survival </w:t>
      </w:r>
      <w:r w:rsidR="003A08F4" w:rsidRPr="00CB1C44">
        <w:rPr>
          <w:rFonts w:ascii="Arial" w:hAnsi="Arial" w:cs="Arial"/>
          <w:lang w:val="en-US"/>
        </w:rPr>
        <w:fldChar w:fldCharType="begin" w:fldLock="1"/>
      </w:r>
      <w:r w:rsidR="00B329FF" w:rsidRPr="00CB1C44">
        <w:rPr>
          <w:rFonts w:ascii="Arial" w:hAnsi="Arial" w:cs="Arial"/>
          <w:lang w:val="en-US"/>
        </w:rPr>
        <w:instrText>ADDIN CSL_CITATION {"citationItems":[{"id":"ITEM-1","itemData":{"DOI":"10.1371/journal.pone.0142438","ISSN":"19326203","abstract":"Mutations of the PTEN-induced putative kinase 1 (PINK1) gene are a cause of autosomal recessive forms of Parkinson's disease. Recent studies have revealed that PINK1 is an essential factor for controlling mitochondrial quality, and that it protects cells from oxidative stresses. Although there has been considerable progress in the elucidation of various aspects of PINK1 protein regulation such as activation, stability and degradation, the transcriptional regulation of PINK1 mRNA under stress conditions remains unclear. In this study, we found that nuclear factor (erythroid-derived 2)-like 2 (NRF2), an antioxidant transcription factor, regulates PINK1 expression under oxidative stress conditions. Damaged mitochondria arising from stress conditions induced NRF2-dependent transcription of the PINK1 gene through production of reactive oxygen species (ROS). Either an ROS scavenger or forced expression of KEAP1, a potent inhibitory partner to NRF2, restricted PINK1 expression induced by activated NRF2. Transcriptionally up-regulated PINK1 diminished oxidative stress-associated cell death. The results indicate that PINK1 expression is positively regulated by NRF2 and that the NRF2-PINK1 signaling axis is deeply involved in cell survival.","author":[{"dropping-particle":"","family":"Murata","given":"Hitoshi","non-dropping-particle":"","parse-names":false,"suffix":""},{"dropping-particle":"","family":"Takamatsu","given":"Hitoshi","non-dropping-particle":"","parse-names":false,"suffix":""},{"dropping-particle":"","family":"Liu","given":"Sulai","non-dropping-particle":"","parse-names":false,"suffix":""},{"dropping-particle":"","family":"Kataoka","given":"Ken","non-dropping-particle":"","parse-names":false,"suffix":""},{"dropping-particle":"","family":"Huh","given":"Nam Ho","non-dropping-particle":"","parse-names":false,"suffix":""},{"dropping-particle":"","family":"Sakaguchi","given":"Masakiyo","non-dropping-particle":"","parse-names":false,"suffix":""}],"container-title":"PLoS ONE","id":"ITEM-1","issued":{"date-parts":[["2015"]]},"title":"NRF2 Regulates PINK1 Expression under oxidative stress conditions","type":"article-journal"},"uris":["http://www.mendeley.com/documents/?uuid=37371fe1-d89f-4f3c-8cfd-af6f7eb88ea1"]}],"mendeley":{"formattedCitation":"(Murata et al., 2015)","plainTextFormattedCitation":"(Murata et al., 2015)","previouslyFormattedCitation":"(Murata et al., 2015)"},"properties":{"noteIndex":0},"schema":"https://github.com/citation-style-language/schema/raw/master/csl-citation.json"}</w:instrText>
      </w:r>
      <w:r w:rsidR="003A08F4" w:rsidRPr="00CB1C44">
        <w:rPr>
          <w:rFonts w:ascii="Arial" w:hAnsi="Arial" w:cs="Arial"/>
          <w:lang w:val="en-US"/>
        </w:rPr>
        <w:fldChar w:fldCharType="separate"/>
      </w:r>
      <w:r w:rsidR="003A08F4" w:rsidRPr="00CB1C44">
        <w:rPr>
          <w:rFonts w:ascii="Arial" w:hAnsi="Arial" w:cs="Arial"/>
          <w:noProof/>
          <w:lang w:val="en-US"/>
        </w:rPr>
        <w:t>(Murata et al., 2015)</w:t>
      </w:r>
      <w:r w:rsidR="003A08F4" w:rsidRPr="00CB1C44">
        <w:rPr>
          <w:rFonts w:ascii="Arial" w:hAnsi="Arial" w:cs="Arial"/>
          <w:lang w:val="en-US"/>
        </w:rPr>
        <w:fldChar w:fldCharType="end"/>
      </w:r>
      <w:r w:rsidR="00435B95" w:rsidRPr="00CB1C44">
        <w:rPr>
          <w:rFonts w:ascii="Arial" w:hAnsi="Arial" w:cs="Arial"/>
          <w:lang w:val="en-US"/>
        </w:rPr>
        <w:t>.</w:t>
      </w:r>
      <w:r w:rsidR="005060CC" w:rsidRPr="00CB1C44">
        <w:rPr>
          <w:rFonts w:ascii="Arial" w:hAnsi="Arial" w:cs="Arial"/>
          <w:lang w:val="en-US"/>
        </w:rPr>
        <w:t xml:space="preserve"> </w:t>
      </w:r>
      <w:r w:rsidR="00CF54AD" w:rsidRPr="00CB1C44">
        <w:rPr>
          <w:rFonts w:ascii="Arial" w:hAnsi="Arial" w:cs="Arial"/>
          <w:lang w:val="en-US"/>
        </w:rPr>
        <w:t xml:space="preserve">Tecfidera, </w:t>
      </w:r>
      <w:r w:rsidR="005060CC" w:rsidRPr="00CB1C44">
        <w:rPr>
          <w:rFonts w:ascii="Arial" w:hAnsi="Arial" w:cs="Arial"/>
          <w:lang w:val="en-US"/>
        </w:rPr>
        <w:t>an oral f</w:t>
      </w:r>
      <w:r w:rsidR="00CF54AD" w:rsidRPr="00CB1C44">
        <w:rPr>
          <w:rFonts w:ascii="Arial" w:hAnsi="Arial" w:cs="Arial"/>
          <w:lang w:val="en-US"/>
        </w:rPr>
        <w:t>ormulation of DMF</w:t>
      </w:r>
      <w:r w:rsidR="00BC2552" w:rsidRPr="00CB1C44">
        <w:rPr>
          <w:rFonts w:ascii="Arial" w:hAnsi="Arial" w:cs="Arial"/>
          <w:lang w:val="en-US"/>
        </w:rPr>
        <w:t xml:space="preserve"> and</w:t>
      </w:r>
      <w:r w:rsidR="00CF54AD" w:rsidRPr="00CB1C44">
        <w:rPr>
          <w:rFonts w:ascii="Arial" w:hAnsi="Arial" w:cs="Arial"/>
          <w:lang w:val="en-US"/>
        </w:rPr>
        <w:t xml:space="preserve"> a putative Nrf2 activator</w:t>
      </w:r>
      <w:r w:rsidRPr="00CB1C44">
        <w:rPr>
          <w:rFonts w:ascii="Arial" w:hAnsi="Arial" w:cs="Arial"/>
          <w:lang w:val="en-US"/>
        </w:rPr>
        <w:t>,</w:t>
      </w:r>
      <w:r w:rsidR="00CF54AD" w:rsidRPr="00CB1C44">
        <w:rPr>
          <w:rFonts w:ascii="Arial" w:hAnsi="Arial" w:cs="Arial"/>
          <w:lang w:val="en-US"/>
        </w:rPr>
        <w:t xml:space="preserve"> was shown to be </w:t>
      </w:r>
      <w:r w:rsidR="00F76388" w:rsidRPr="00CB1C44">
        <w:rPr>
          <w:rFonts w:ascii="Arial" w:hAnsi="Arial" w:cs="Arial"/>
          <w:lang w:val="en-US"/>
        </w:rPr>
        <w:t>neuro</w:t>
      </w:r>
      <w:r w:rsidR="00CF54AD" w:rsidRPr="00CB1C44">
        <w:rPr>
          <w:rFonts w:ascii="Arial" w:hAnsi="Arial" w:cs="Arial"/>
          <w:lang w:val="en-US"/>
        </w:rPr>
        <w:t>protective in MPTP-induced experimental PD model</w:t>
      </w:r>
      <w:r w:rsidR="00AD0B08" w:rsidRPr="00CB1C44">
        <w:rPr>
          <w:rFonts w:ascii="Arial" w:hAnsi="Arial" w:cs="Arial"/>
          <w:lang w:val="en-US"/>
        </w:rPr>
        <w:t xml:space="preserve">, </w:t>
      </w:r>
      <w:r w:rsidR="00F76388" w:rsidRPr="00CB1C44">
        <w:rPr>
          <w:rFonts w:ascii="Arial" w:hAnsi="Arial" w:cs="Arial"/>
          <w:lang w:val="en-US"/>
        </w:rPr>
        <w:t xml:space="preserve">with antioxidant and anti-inflammatory properties and </w:t>
      </w:r>
      <w:r w:rsidR="00AD0B08" w:rsidRPr="00CB1C44">
        <w:rPr>
          <w:rFonts w:ascii="Arial" w:hAnsi="Arial" w:cs="Arial"/>
          <w:lang w:val="en-US"/>
        </w:rPr>
        <w:t>upregulating</w:t>
      </w:r>
      <w:r w:rsidR="00F76388" w:rsidRPr="00CB1C44">
        <w:rPr>
          <w:rFonts w:ascii="Arial" w:hAnsi="Arial" w:cs="Arial"/>
          <w:lang w:val="en-US"/>
        </w:rPr>
        <w:t xml:space="preserve"> mitochondrial biogenesis, </w:t>
      </w:r>
      <w:r w:rsidR="00AD0B08" w:rsidRPr="00CB1C44">
        <w:rPr>
          <w:rFonts w:ascii="Arial" w:hAnsi="Arial" w:cs="Arial"/>
          <w:lang w:val="en-US"/>
        </w:rPr>
        <w:t>in an Nrf2-dependent manner</w:t>
      </w:r>
      <w:r w:rsidR="00BA7D0D" w:rsidRPr="00CB1C44">
        <w:rPr>
          <w:rFonts w:ascii="Arial" w:hAnsi="Arial" w:cs="Arial"/>
          <w:lang w:val="en-US"/>
        </w:rPr>
        <w:t xml:space="preserve"> </w:t>
      </w:r>
      <w:r w:rsidR="00FF5043" w:rsidRPr="00CB1C44">
        <w:rPr>
          <w:rFonts w:ascii="Arial" w:hAnsi="Arial" w:cs="Arial"/>
          <w:lang w:val="en-US"/>
        </w:rPr>
        <w:fldChar w:fldCharType="begin" w:fldLock="1"/>
      </w:r>
      <w:r w:rsidR="00217EF0" w:rsidRPr="00CB1C44">
        <w:rPr>
          <w:rFonts w:ascii="Arial" w:hAnsi="Arial" w:cs="Arial"/>
          <w:lang w:val="en-US"/>
        </w:rPr>
        <w:instrText>ADDIN CSL_CITATION {"citationItems":[{"id":"ITEM-1","itemData":{"DOI":"10.1523/JNEUROSCI.0426-16.2016","ISSN":"0270-6474","abstract":"© 2016 the authors. A promising approach to neurotherapeutics involves activating the nuclear-factor-E2-related factor 2 (Nrf2)/antioxidant response ele-ment signaling, which regulates expression of antioxidant, anti-inflammatory, and cytoprotective genes. Tecfidera, a putative Nrf2 activator, is an oral formulation of dimethylfumarate (DMF) used to treat multiple sclerosis. We compared the effects of DMF and its bioactive metabolite monomethylfumarate (MMF) on Nrf2 signaling and their ability to block 1-methyl-4-phenyl-1,2,3,6-tetrahydropyridine (MPTP)-induced experimental Parkinson’s disease (PD). We show that in vitro DMF and MMF activate the Nrf2 pathway via S-alkylation of the Nrf2 inhibitor Keap1 and by causing nuclear exit of the Nrf2 repressor Bach1. Nrf2 activation by DMF but not MMF was associated with depletion of glutathione, decreased cell viability, and inhibition of mitochondrial oxygen consumption and glycolysis rates in a dose-dependent manner, whereas MMF increased these activities in vitro. However, both DMF and MMF upregulated mitochondrial biogenesis in vitro in an Nrf2-dependent manner. Despite the in vitro differences, both DMF and MMF exerted similar neuroprotective effects and blocked MPTP neurotoxicity in wild-type but not in Nrf2 null mice. Our data suggest that DMF and MMF exhibit neuroprotective effects against MPTP neurotoxicity because of their distinct Nrf2-mediated antioxidant, anti-inflammatory, and mitochondrial functional/biogenetic effects, but MMF does so without depleting glutathione and inhibiting mitochondrial and glycolytic functions. Given that oxidative damage, neuroinflammation, and mitochondrial dysfunction are all implicated in PD pathogenesis, our results provide preclinical evidence for the development of MMF rather than DMF as a novel PD therapeutic.","author":[{"dropping-particle":"","family":"Ahuja","given":"Manuj","non-dropping-particle":"","parse-names":false,"suffix":""},{"dropping-particle":"","family":"Ammal Kaidery","given":"Navneet","non-dropping-particle":"","parse-names":false,"suffix":""},{"dropping-particle":"","family":"Yang","given":"Lichuan","non-dropping-particle":"","parse-names":false,"suffix":""},{"dropping-particle":"","family":"Calingasan","given":"Noel","non-dropping-particle":"","parse-names":false,"suffix":""},{"dropping-particle":"","family":"Smirnova","given":"Natalya","non-dropping-particle":"","parse-names":false,"suffix":""},{"dropping-particle":"","family":"Gaisin","given":"Arsen","non-dropping-particle":"","parse-names":false,"suffix":""},{"dropping-particle":"","family":"Gaisina","given":"Irina N.","non-dropping-particle":"","parse-names":false,"suffix":""},{"dropping-particle":"","family":"Gazaryan","given":"Irina","non-dropping-particle":"","parse-names":false,"suffix":""},{"dropping-particle":"","family":"Hushpulian","given":"Dmitry M.","non-dropping-particle":"","parse-names":false,"suffix":""},{"dropping-particle":"","family":"Kaddour-Djebbar","given":"Ismail","non-dropping-particle":"","parse-names":false,"suffix":""},{"dropping-particle":"","family":"Bollag","given":"Wendy B.","non-dropping-particle":"","parse-names":false,"suffix":""},{"dropping-particle":"","family":"Morgan","given":"John C.","non-dropping-particle":"","parse-names":false,"suffix":""},{"dropping-particle":"","family":"Ratan","given":"Rajiv R.","non-dropping-particle":"","parse-names":false,"suffix":""},{"dropping-particle":"","family":"Starkov","given":"Anatoly A.","non-dropping-particle":"","parse-names":false,"suffix":""},{"dropping-particle":"","family":"Beal","given":"M. Flint","non-dropping-particle":"","parse-names":false,"suffix":""},{"dropping-particle":"","family":"Thomas","given":"Bobby","non-dropping-particle":"","parse-names":false,"suffix":""}],"container-title":"The Journal of Neuroscience","id":"ITEM-1","issued":{"date-parts":[["2016"]]},"title":"Distinct Nrf2 Signaling Mechanisms of Fumaric Acid Esters and Their Role in Neuroprotection against 1-Methyl-4-Phenyl-1,2,3,6-Tetrahydropyridine-Induced Experimental Parkinson's-Like Disease","type":"article-journal"},"uris":["http://www.mendeley.com/documents/?uuid=064a7b20-7c7d-4ccb-8a62-8682467262e4"]}],"mendeley":{"formattedCitation":"(Ahuja et al., 2016)","plainTextFormattedCitation":"(Ahuja et al., 2016)","previouslyFormattedCitation":"(Ahuja et al., 2016)"},"properties":{"noteIndex":0},"schema":"https://github.com/citation-style-language/schema/raw/master/csl-citation.json"}</w:instrText>
      </w:r>
      <w:r w:rsidR="00FF5043" w:rsidRPr="00CB1C44">
        <w:rPr>
          <w:rFonts w:ascii="Arial" w:hAnsi="Arial" w:cs="Arial"/>
          <w:lang w:val="en-US"/>
        </w:rPr>
        <w:fldChar w:fldCharType="separate"/>
      </w:r>
      <w:r w:rsidR="00FF5043" w:rsidRPr="00CB1C44">
        <w:rPr>
          <w:rFonts w:ascii="Arial" w:hAnsi="Arial" w:cs="Arial"/>
          <w:noProof/>
          <w:lang w:val="en-US"/>
        </w:rPr>
        <w:t>(Ahuja et al., 2016)</w:t>
      </w:r>
      <w:r w:rsidR="00FF5043" w:rsidRPr="00CB1C44">
        <w:rPr>
          <w:rFonts w:ascii="Arial" w:hAnsi="Arial" w:cs="Arial"/>
          <w:lang w:val="en-US"/>
        </w:rPr>
        <w:fldChar w:fldCharType="end"/>
      </w:r>
      <w:r w:rsidR="004C27FE" w:rsidRPr="00CB1C44">
        <w:rPr>
          <w:rFonts w:ascii="Arial" w:hAnsi="Arial" w:cs="Arial"/>
          <w:lang w:val="en-US"/>
        </w:rPr>
        <w:t>.</w:t>
      </w:r>
      <w:r w:rsidR="00FF5043" w:rsidRPr="00CB1C44">
        <w:rPr>
          <w:rFonts w:ascii="Arial" w:hAnsi="Arial" w:cs="Arial"/>
          <w:lang w:val="en-US"/>
        </w:rPr>
        <w:t xml:space="preserve"> </w:t>
      </w:r>
      <w:r w:rsidR="00A771A7" w:rsidRPr="00CB1C44">
        <w:rPr>
          <w:rFonts w:ascii="Arial" w:hAnsi="Arial" w:cs="Arial"/>
          <w:lang w:val="en-US"/>
        </w:rPr>
        <w:t xml:space="preserve">On </w:t>
      </w:r>
      <w:r w:rsidR="004E2E37" w:rsidRPr="00CB1C44">
        <w:rPr>
          <w:rFonts w:ascii="Arial" w:hAnsi="Arial" w:cs="Arial"/>
          <w:lang w:val="en-US"/>
        </w:rPr>
        <w:t xml:space="preserve">the </w:t>
      </w:r>
      <w:r w:rsidR="00A771A7" w:rsidRPr="00CB1C44">
        <w:rPr>
          <w:rFonts w:ascii="Arial" w:hAnsi="Arial" w:cs="Arial"/>
          <w:lang w:val="en-US"/>
        </w:rPr>
        <w:t xml:space="preserve">other hand, </w:t>
      </w:r>
      <w:r w:rsidR="007D4946" w:rsidRPr="00CB1C44">
        <w:rPr>
          <w:rFonts w:ascii="Arial" w:hAnsi="Arial" w:cs="Arial"/>
          <w:lang w:val="en-US"/>
        </w:rPr>
        <w:t>moderate</w:t>
      </w:r>
      <w:r w:rsidR="00D00974" w:rsidRPr="00CB1C44">
        <w:rPr>
          <w:rFonts w:ascii="Arial" w:hAnsi="Arial" w:cs="Arial"/>
          <w:lang w:val="en-US"/>
        </w:rPr>
        <w:t xml:space="preserve"> </w:t>
      </w:r>
      <w:r w:rsidR="007D4946" w:rsidRPr="00CB1C44">
        <w:rPr>
          <w:rFonts w:ascii="Arial" w:hAnsi="Arial" w:cs="Arial"/>
          <w:lang w:val="en-US"/>
        </w:rPr>
        <w:t xml:space="preserve">physical exercise was shown to be protective in mice treated with 6-OHDA through Nrf2 neuroprotective </w:t>
      </w:r>
      <w:r w:rsidR="008979FC" w:rsidRPr="00CB1C44">
        <w:rPr>
          <w:rFonts w:ascii="Arial" w:hAnsi="Arial" w:cs="Arial"/>
          <w:lang w:val="en-US"/>
        </w:rPr>
        <w:t>activity</w:t>
      </w:r>
      <w:r w:rsidR="00E7449A" w:rsidRPr="00CB1C44">
        <w:rPr>
          <w:rFonts w:ascii="Arial" w:hAnsi="Arial" w:cs="Arial"/>
          <w:lang w:val="en-US"/>
        </w:rPr>
        <w:t>, favoring mitochondrial biogenesis activation</w:t>
      </w:r>
      <w:r w:rsidR="00881C85" w:rsidRPr="00CB1C44">
        <w:rPr>
          <w:rFonts w:ascii="Arial" w:hAnsi="Arial" w:cs="Arial"/>
          <w:lang w:val="en-US"/>
        </w:rPr>
        <w:t xml:space="preserve"> and preventing the development of </w:t>
      </w:r>
      <w:r w:rsidRPr="00CB1C44">
        <w:rPr>
          <w:rFonts w:ascii="Arial" w:hAnsi="Arial" w:cs="Arial"/>
          <w:lang w:val="en-US"/>
        </w:rPr>
        <w:t>p</w:t>
      </w:r>
      <w:r w:rsidR="00881C85" w:rsidRPr="00CB1C44">
        <w:rPr>
          <w:rFonts w:ascii="Arial" w:hAnsi="Arial" w:cs="Arial"/>
          <w:lang w:val="en-US"/>
        </w:rPr>
        <w:t>arkinsonism</w:t>
      </w:r>
      <w:r w:rsidR="008979FC" w:rsidRPr="00CB1C44">
        <w:rPr>
          <w:rFonts w:ascii="Arial" w:hAnsi="Arial" w:cs="Arial"/>
          <w:lang w:val="en-US"/>
        </w:rPr>
        <w:t xml:space="preserve"> </w:t>
      </w:r>
      <w:r w:rsidR="00217EF0" w:rsidRPr="00CB1C44">
        <w:rPr>
          <w:rFonts w:ascii="Arial" w:hAnsi="Arial" w:cs="Arial"/>
          <w:lang w:val="en-US"/>
        </w:rPr>
        <w:fldChar w:fldCharType="begin" w:fldLock="1"/>
      </w:r>
      <w:r w:rsidR="00A774E7" w:rsidRPr="00CB1C44">
        <w:rPr>
          <w:rFonts w:ascii="Arial" w:hAnsi="Arial" w:cs="Arial"/>
          <w:lang w:val="en-US"/>
        </w:rPr>
        <w:instrText>ADDIN CSL_CITATION {"citationItems":[{"id":"ITEM-1","itemData":{"DOI":"10.1007/s11064-015-1709-8","ISSN":"15736903","abstract":"INTRODUCTION: Exercise improves the motor symptoms of patients with Parkinson disease in a palliative manner. Existing evidence demonstrates that exercise induces neuroprotection based on the neurotrophic properties. We investigated the effect of exercise on mitochondrial physiology and oxidative stress in an animal model of hemiparkinsonism.\\n\\nMETHODS: C57BL/6 mice completed a 6-week exercise program on a treadmill. We injected 6-hydroxydopamine (6-OHDA; 4 μg/2 μl) into the midstriatum. The animals progressively developed bradykinesia and R(-)-apomorphine-induced rotations that were attenuated by exercise. Transcriptional activation of protective genes is mediated by the antioxidant response element (ARE). Nuclear factor (erythroid-derived 2)-like 2 (Nrf2) binds to ARE. We investigated the Nrf2-ARE pathway in the striatum of animals.\\n\\nRESULTS: Exercise protected 6-OHDA-induced loss of tyrosine hydroxylase immunolabeling and activated the Nrf2-ARE pathway in the nigrostriatal pathway. Exercise stimulated mitochondrial biogenesis in the striatum of animals that was more resistant to oxidant 6-OHDA and nitric oxide donor (±)-S-nitroso-N-acetylpenicillamine.\\n\\nCONCLUSIONS: In mice, exercise activated Nrf2-ARE signaling in the nigrostriatal pathway that was protective against the development of hemiparkinsonism.","author":[{"dropping-particle":"","family":"Aguiar","given":"Aderbal Silva","non-dropping-particle":"","parse-names":false,"suffix":""},{"dropping-particle":"","family":"Duzzioni","given":"Marcelo","non-dropping-particle":"","parse-names":false,"suffix":""},{"dropping-particle":"","family":"Remor","given":"Aline Pertile","non-dropping-particle":"","parse-names":false,"suffix":""},{"dropping-particle":"","family":"Tristão","given":"Fabrine Sales Massafera","non-dropping-particle":"","parse-names":false,"suffix":""},{"dropping-particle":"","family":"Matheus","given":"Filipe C.","non-dropping-particle":"","parse-names":false,"suffix":""},{"dropping-particle":"","family":"Raisman-Vozari","given":"Rita","non-dropping-particle":"","parse-names":false,"suffix":""},{"dropping-particle":"","family":"Latini","given":"Alexandra","non-dropping-particle":"","parse-names":false,"suffix":""},{"dropping-particle":"","family":"Prediger","given":"Rui Daniel","non-dropping-particle":"","parse-names":false,"suffix":""}],"container-title":"Neurochemical Research","id":"ITEM-1","issued":{"date-parts":[["2016"]]},"title":"Moderate-intensity physical exercise protects against experimental 6-hydroxydopamine-induced hemiparkinsonism through Nrf2-antioxidant response element pathway","type":"article-journal"},"uris":["http://www.mendeley.com/documents/?uuid=fb28ea19-3c8d-4a3c-ad07-a07b22354110"]}],"mendeley":{"formattedCitation":"(Aguiar et al., 2016)","plainTextFormattedCitation":"(Aguiar et al., 2016)","previouslyFormattedCitation":"(Aguiar et al., 2016)"},"properties":{"noteIndex":0},"schema":"https://github.com/citation-style-language/schema/raw/master/csl-citation.json"}</w:instrText>
      </w:r>
      <w:r w:rsidR="00217EF0" w:rsidRPr="00CB1C44">
        <w:rPr>
          <w:rFonts w:ascii="Arial" w:hAnsi="Arial" w:cs="Arial"/>
          <w:lang w:val="en-US"/>
        </w:rPr>
        <w:fldChar w:fldCharType="separate"/>
      </w:r>
      <w:r w:rsidR="00217EF0" w:rsidRPr="00CB1C44">
        <w:rPr>
          <w:rFonts w:ascii="Arial" w:hAnsi="Arial" w:cs="Arial"/>
          <w:noProof/>
          <w:lang w:val="en-US"/>
        </w:rPr>
        <w:t>(Aguiar et al., 2016)</w:t>
      </w:r>
      <w:r w:rsidR="00217EF0" w:rsidRPr="00CB1C44">
        <w:rPr>
          <w:rFonts w:ascii="Arial" w:hAnsi="Arial" w:cs="Arial"/>
          <w:lang w:val="en-US"/>
        </w:rPr>
        <w:fldChar w:fldCharType="end"/>
      </w:r>
      <w:r w:rsidR="008979FC" w:rsidRPr="00CB1C44">
        <w:rPr>
          <w:rFonts w:ascii="Arial" w:hAnsi="Arial" w:cs="Arial"/>
          <w:lang w:val="en-US"/>
        </w:rPr>
        <w:t>.</w:t>
      </w:r>
      <w:r w:rsidR="00377859" w:rsidRPr="00CB1C44">
        <w:rPr>
          <w:rFonts w:ascii="Arial" w:hAnsi="Arial" w:cs="Arial"/>
          <w:lang w:val="en-US"/>
        </w:rPr>
        <w:t xml:space="preserve"> </w:t>
      </w:r>
      <w:r w:rsidR="00195967" w:rsidRPr="00CB1C44">
        <w:rPr>
          <w:rFonts w:ascii="Arial" w:hAnsi="Arial" w:cs="Arial"/>
          <w:lang w:val="en-US"/>
        </w:rPr>
        <w:t>Thus</w:t>
      </w:r>
      <w:r w:rsidR="008C0AB0" w:rsidRPr="00CB1C44">
        <w:rPr>
          <w:rFonts w:ascii="Arial" w:hAnsi="Arial" w:cs="Arial"/>
          <w:lang w:val="en-US"/>
        </w:rPr>
        <w:t xml:space="preserve">, </w:t>
      </w:r>
      <w:r w:rsidR="00EA2772" w:rsidRPr="00CB1C44">
        <w:rPr>
          <w:rFonts w:ascii="Arial" w:hAnsi="Arial" w:cs="Arial"/>
          <w:lang w:val="en-US"/>
        </w:rPr>
        <w:t>altered mitochondria</w:t>
      </w:r>
      <w:r w:rsidR="00A774E7" w:rsidRPr="00CB1C44">
        <w:rPr>
          <w:rFonts w:ascii="Arial" w:hAnsi="Arial" w:cs="Arial"/>
          <w:lang w:val="en-US"/>
        </w:rPr>
        <w:t>l</w:t>
      </w:r>
      <w:r w:rsidR="00EA2772" w:rsidRPr="00CB1C44">
        <w:rPr>
          <w:rFonts w:ascii="Arial" w:hAnsi="Arial" w:cs="Arial"/>
          <w:lang w:val="en-US"/>
        </w:rPr>
        <w:t xml:space="preserve"> </w:t>
      </w:r>
      <w:r w:rsidR="000E7C33" w:rsidRPr="00CB1C44">
        <w:rPr>
          <w:rFonts w:ascii="Arial" w:hAnsi="Arial" w:cs="Arial"/>
          <w:lang w:val="en-US"/>
        </w:rPr>
        <w:t xml:space="preserve">mitophagy, </w:t>
      </w:r>
      <w:r w:rsidRPr="00CB1C44">
        <w:rPr>
          <w:rFonts w:ascii="Arial" w:hAnsi="Arial" w:cs="Arial"/>
          <w:lang w:val="en-US"/>
        </w:rPr>
        <w:t>function</w:t>
      </w:r>
      <w:r w:rsidR="00A774E7" w:rsidRPr="00CB1C44">
        <w:rPr>
          <w:rFonts w:ascii="Arial" w:hAnsi="Arial" w:cs="Arial"/>
          <w:lang w:val="en-US"/>
        </w:rPr>
        <w:t xml:space="preserve"> and biogenesis </w:t>
      </w:r>
      <w:r w:rsidR="00EA2772" w:rsidRPr="00CB1C44">
        <w:rPr>
          <w:rFonts w:ascii="Arial" w:hAnsi="Arial" w:cs="Arial"/>
          <w:lang w:val="en-US"/>
        </w:rPr>
        <w:t xml:space="preserve">are important </w:t>
      </w:r>
      <w:r w:rsidRPr="00CB1C44">
        <w:rPr>
          <w:rFonts w:ascii="Arial" w:hAnsi="Arial" w:cs="Arial"/>
          <w:lang w:val="en-US"/>
        </w:rPr>
        <w:t xml:space="preserve">pathological </w:t>
      </w:r>
      <w:r w:rsidR="00EA2772" w:rsidRPr="00CB1C44">
        <w:rPr>
          <w:rFonts w:ascii="Arial" w:hAnsi="Arial" w:cs="Arial"/>
          <w:lang w:val="en-US"/>
        </w:rPr>
        <w:t>features in PD</w:t>
      </w:r>
      <w:r w:rsidRPr="00CB1C44">
        <w:rPr>
          <w:rFonts w:ascii="Arial" w:hAnsi="Arial" w:cs="Arial"/>
          <w:lang w:val="en-US"/>
        </w:rPr>
        <w:t>,</w:t>
      </w:r>
      <w:r w:rsidR="00EA2772" w:rsidRPr="00CB1C44">
        <w:rPr>
          <w:rFonts w:ascii="Arial" w:hAnsi="Arial" w:cs="Arial"/>
          <w:lang w:val="en-US"/>
        </w:rPr>
        <w:t xml:space="preserve"> and Nrf2 is an important transcription factor that </w:t>
      </w:r>
      <w:r w:rsidRPr="00CB1C44">
        <w:rPr>
          <w:rFonts w:ascii="Arial" w:hAnsi="Arial" w:cs="Arial"/>
          <w:lang w:val="en-US"/>
        </w:rPr>
        <w:t>regulates</w:t>
      </w:r>
      <w:r w:rsidR="00EA2772" w:rsidRPr="00CB1C44">
        <w:rPr>
          <w:rFonts w:ascii="Arial" w:hAnsi="Arial" w:cs="Arial"/>
          <w:lang w:val="en-US"/>
        </w:rPr>
        <w:t xml:space="preserve"> mitochondrial quality control</w:t>
      </w:r>
      <w:r w:rsidR="00A774E7" w:rsidRPr="00CB1C44">
        <w:rPr>
          <w:rFonts w:ascii="Arial" w:hAnsi="Arial" w:cs="Arial"/>
          <w:lang w:val="en-US"/>
        </w:rPr>
        <w:t xml:space="preserve"> and homeostasis </w:t>
      </w:r>
      <w:r w:rsidR="00A774E7" w:rsidRPr="00CB1C44">
        <w:rPr>
          <w:rFonts w:ascii="Arial" w:hAnsi="Arial" w:cs="Arial"/>
          <w:lang w:val="en-US"/>
        </w:rPr>
        <w:fldChar w:fldCharType="begin" w:fldLock="1"/>
      </w:r>
      <w:r w:rsidR="002F0750" w:rsidRPr="00CB1C44">
        <w:rPr>
          <w:rFonts w:ascii="Arial" w:hAnsi="Arial" w:cs="Arial"/>
          <w:lang w:val="en-US"/>
        </w:rPr>
        <w:instrText>ADDIN CSL_CITATION {"citationItems":[{"id":"ITEM-1","itemData":{"DOI":"10.1016/j.freeradbiomed.2015.04.036","ISSN":"18734596","abstract":"The transcription factor NF-E2 p45-related factor 2 (Nrf2; gene name NFE2L2) allows adaptation and survival under conditions of stress by regulating the gene expression of diverse networks of cytoprotective proteins, including antioxidant, anti-inflammatory, and detoxification enzymes as well as proteins that assist in the repair or removal of damaged macromolecules. Nrf2 has a crucial role in the maintenance of cellular redox homeostasis by regulating the biosynthesis, utilization, and regeneration of glutathione, thioredoxin, and NADPH and by controlling the production of reactive oxygen species by mitochondria and NADPH oxidase. Under homeostatic conditions, Nrf2 affects the mitochondrial membrane potential, fatty acid oxidation, availability of substrates (NADH and FADH2/succinate) for respiration, and ATP synthesis. Under conditions of stress or growth factor stimulation, activation of Nrf2 counteracts the increased reactive oxygen species production in mitochondria via transcriptional upregulation of uncoupling protein 3 and influences mitochondrial biogenesis by maintaining the levels of nuclear respiratory factor 1 and peroxisome proliferator-activated receptor γ coactivator 1α, as well as by promoting purine nucleotide biosynthesis. Pharmacological Nrf2 activators, such as the naturally occurring isothiocyanate sulforaphane, inhibit oxidant-mediated opening of the mitochondrial permeability transition pore and mitochondrial swelling. Curiously, a synthetic 1,4-diphenyl-1,2,3-triazole compound, originally designed as an Nrf2 activator, was found to promote mitophagy, thereby contributing to the overall mitochondrial homeostasis. Thus, Nrf2 is a prominent player in supporting the structural and functional integrity of the mitochondria, and this role is particularly crucial under conditions of stress.","author":[{"dropping-particle":"","family":"Dinkova-Kostova","given":"Albena T.","non-dropping-particle":"","parse-names":false,"suffix":""},{"dropping-particle":"","family":"Abramov","given":"Andrey Y.","non-dropping-particle":"","parse-names":false,"suffix":""}],"container-title":"Free Radical Biology and Medicine","id":"ITEM-1","issued":{"date-parts":[["2015"]]},"title":"The emerging role of Nrf2 in mitochondrial function","type":"article"},"uris":["http://www.mendeley.com/documents/?uuid=a9c3fc0a-79ea-46fd-b92a-ea5a519349a9"]}],"mendeley":{"formattedCitation":"(Dinkova-Kostova and Abramov, 2015)","plainTextFormattedCitation":"(Dinkova-Kostova and Abramov, 2015)","previouslyFormattedCitation":"(Dinkova-Kostova and Abramov, 2015)"},"properties":{"noteIndex":0},"schema":"https://github.com/citation-style-language/schema/raw/master/csl-citation.json"}</w:instrText>
      </w:r>
      <w:r w:rsidR="00A774E7" w:rsidRPr="00CB1C44">
        <w:rPr>
          <w:rFonts w:ascii="Arial" w:hAnsi="Arial" w:cs="Arial"/>
          <w:lang w:val="en-US"/>
        </w:rPr>
        <w:fldChar w:fldCharType="separate"/>
      </w:r>
      <w:r w:rsidR="00A774E7" w:rsidRPr="00CB1C44">
        <w:rPr>
          <w:rFonts w:ascii="Arial" w:hAnsi="Arial" w:cs="Arial"/>
          <w:noProof/>
          <w:lang w:val="en-US"/>
        </w:rPr>
        <w:t>(Dinkova-Kostova and Abramov, 2015)</w:t>
      </w:r>
      <w:r w:rsidR="00A774E7" w:rsidRPr="00CB1C44">
        <w:rPr>
          <w:rFonts w:ascii="Arial" w:hAnsi="Arial" w:cs="Arial"/>
          <w:lang w:val="en-US"/>
        </w:rPr>
        <w:fldChar w:fldCharType="end"/>
      </w:r>
      <w:r w:rsidR="00EA2772" w:rsidRPr="00CB1C44">
        <w:rPr>
          <w:rFonts w:ascii="Arial" w:hAnsi="Arial" w:cs="Arial"/>
          <w:lang w:val="en-US"/>
        </w:rPr>
        <w:t>.</w:t>
      </w:r>
      <w:r w:rsidR="00A774E7" w:rsidRPr="00CB1C44">
        <w:rPr>
          <w:rFonts w:ascii="Arial" w:hAnsi="Arial" w:cs="Arial"/>
          <w:lang w:val="en-US"/>
        </w:rPr>
        <w:t xml:space="preserve"> </w:t>
      </w:r>
      <w:r w:rsidR="001D7E45" w:rsidRPr="00CB1C44">
        <w:rPr>
          <w:rFonts w:ascii="Arial" w:hAnsi="Arial" w:cs="Arial"/>
          <w:lang w:val="en-US"/>
        </w:rPr>
        <w:t>Therefore, there are several evidences of the</w:t>
      </w:r>
      <w:r w:rsidR="006958D1" w:rsidRPr="00CB1C44">
        <w:rPr>
          <w:rFonts w:ascii="Arial" w:hAnsi="Arial" w:cs="Arial"/>
          <w:lang w:val="en-US"/>
        </w:rPr>
        <w:t xml:space="preserve"> </w:t>
      </w:r>
      <w:r w:rsidR="003969FD" w:rsidRPr="00CB1C44">
        <w:rPr>
          <w:rFonts w:ascii="Arial" w:hAnsi="Arial" w:cs="Arial"/>
          <w:lang w:val="en-US"/>
        </w:rPr>
        <w:lastRenderedPageBreak/>
        <w:t>involvement</w:t>
      </w:r>
      <w:r w:rsidR="001D7E45" w:rsidRPr="00CB1C44">
        <w:rPr>
          <w:rFonts w:ascii="Arial" w:hAnsi="Arial" w:cs="Arial"/>
          <w:lang w:val="en-US"/>
        </w:rPr>
        <w:t xml:space="preserve"> of </w:t>
      </w:r>
      <w:r w:rsidR="002163D4" w:rsidRPr="00CB1C44">
        <w:rPr>
          <w:rFonts w:ascii="Arial" w:hAnsi="Arial" w:cs="Arial"/>
          <w:lang w:val="en-US"/>
        </w:rPr>
        <w:t>Nrf2</w:t>
      </w:r>
      <w:r w:rsidR="00343957" w:rsidRPr="00CB1C44">
        <w:rPr>
          <w:rFonts w:ascii="Arial" w:hAnsi="Arial" w:cs="Arial"/>
          <w:lang w:val="en-US"/>
        </w:rPr>
        <w:t xml:space="preserve"> </w:t>
      </w:r>
      <w:r w:rsidR="009C74A5" w:rsidRPr="00CB1C44">
        <w:rPr>
          <w:rFonts w:ascii="Arial" w:hAnsi="Arial" w:cs="Arial"/>
          <w:lang w:val="en-US"/>
        </w:rPr>
        <w:t>activity</w:t>
      </w:r>
      <w:r w:rsidR="002163D4" w:rsidRPr="00CB1C44">
        <w:rPr>
          <w:rFonts w:ascii="Arial" w:hAnsi="Arial" w:cs="Arial"/>
          <w:lang w:val="en-US"/>
        </w:rPr>
        <w:t xml:space="preserve"> in PD </w:t>
      </w:r>
      <w:r w:rsidR="001D7E45" w:rsidRPr="00CB1C44">
        <w:rPr>
          <w:rFonts w:ascii="Arial" w:hAnsi="Arial" w:cs="Arial"/>
          <w:lang w:val="en-US"/>
        </w:rPr>
        <w:t>etiopathology</w:t>
      </w:r>
      <w:r w:rsidR="002163D4" w:rsidRPr="00CB1C44">
        <w:rPr>
          <w:rFonts w:ascii="Arial" w:hAnsi="Arial" w:cs="Arial"/>
          <w:lang w:val="en-US"/>
        </w:rPr>
        <w:t xml:space="preserve">, suggesting the </w:t>
      </w:r>
      <w:r w:rsidR="001D7E45" w:rsidRPr="00CB1C44">
        <w:rPr>
          <w:rFonts w:ascii="Arial" w:hAnsi="Arial" w:cs="Arial"/>
          <w:lang w:val="en-US"/>
        </w:rPr>
        <w:t xml:space="preserve">interest of </w:t>
      </w:r>
      <w:r w:rsidR="00B91D6D" w:rsidRPr="00CB1C44">
        <w:rPr>
          <w:rFonts w:ascii="Arial" w:hAnsi="Arial" w:cs="Arial"/>
          <w:lang w:val="en-US"/>
        </w:rPr>
        <w:t xml:space="preserve">targeting the </w:t>
      </w:r>
      <w:r w:rsidR="002163D4" w:rsidRPr="00CB1C44">
        <w:rPr>
          <w:rFonts w:ascii="Arial" w:hAnsi="Arial" w:cs="Arial"/>
          <w:lang w:val="en-US"/>
        </w:rPr>
        <w:t>Nrf2-ARE</w:t>
      </w:r>
      <w:r w:rsidR="00343957" w:rsidRPr="00CB1C44">
        <w:rPr>
          <w:rFonts w:ascii="Arial" w:hAnsi="Arial" w:cs="Arial"/>
          <w:lang w:val="en-US"/>
        </w:rPr>
        <w:t xml:space="preserve"> </w:t>
      </w:r>
      <w:r w:rsidR="002163D4" w:rsidRPr="00CB1C44">
        <w:rPr>
          <w:rFonts w:ascii="Arial" w:hAnsi="Arial" w:cs="Arial"/>
          <w:lang w:val="en-US"/>
        </w:rPr>
        <w:t>pathway</w:t>
      </w:r>
      <w:r w:rsidR="001D7E45" w:rsidRPr="00CB1C44">
        <w:rPr>
          <w:rFonts w:ascii="Arial" w:hAnsi="Arial" w:cs="Arial"/>
          <w:lang w:val="en-US"/>
        </w:rPr>
        <w:t xml:space="preserve"> </w:t>
      </w:r>
      <w:r w:rsidR="002163D4" w:rsidRPr="00CB1C44">
        <w:rPr>
          <w:rFonts w:ascii="Arial" w:hAnsi="Arial" w:cs="Arial"/>
          <w:lang w:val="en-US"/>
        </w:rPr>
        <w:t>as a</w:t>
      </w:r>
      <w:r w:rsidR="001D7E45" w:rsidRPr="00CB1C44">
        <w:rPr>
          <w:rFonts w:ascii="Arial" w:hAnsi="Arial" w:cs="Arial"/>
          <w:lang w:val="en-US"/>
        </w:rPr>
        <w:t>n</w:t>
      </w:r>
      <w:r w:rsidR="002163D4" w:rsidRPr="00CB1C44">
        <w:rPr>
          <w:rFonts w:ascii="Arial" w:hAnsi="Arial" w:cs="Arial"/>
          <w:lang w:val="en-US"/>
        </w:rPr>
        <w:t xml:space="preserve"> </w:t>
      </w:r>
      <w:r w:rsidR="001D7E45" w:rsidRPr="00CB1C44">
        <w:rPr>
          <w:rFonts w:ascii="Arial" w:hAnsi="Arial" w:cs="Arial"/>
          <w:lang w:val="en-US"/>
        </w:rPr>
        <w:t>e</w:t>
      </w:r>
      <w:r w:rsidR="00B91D6D" w:rsidRPr="00CB1C44">
        <w:rPr>
          <w:rFonts w:ascii="Arial" w:hAnsi="Arial" w:cs="Arial"/>
          <w:lang w:val="en-US"/>
        </w:rPr>
        <w:t>f</w:t>
      </w:r>
      <w:r w:rsidR="001D7E45" w:rsidRPr="00CB1C44">
        <w:rPr>
          <w:rFonts w:ascii="Arial" w:hAnsi="Arial" w:cs="Arial"/>
          <w:lang w:val="en-US"/>
        </w:rPr>
        <w:t xml:space="preserve">ficient </w:t>
      </w:r>
      <w:r w:rsidR="002163D4" w:rsidRPr="00CB1C44">
        <w:rPr>
          <w:rFonts w:ascii="Arial" w:hAnsi="Arial" w:cs="Arial"/>
          <w:lang w:val="en-US"/>
        </w:rPr>
        <w:t xml:space="preserve">PD </w:t>
      </w:r>
      <w:r w:rsidR="00BD3402" w:rsidRPr="00CB1C44">
        <w:rPr>
          <w:rFonts w:ascii="Arial" w:hAnsi="Arial" w:cs="Arial"/>
          <w:lang w:val="en-US"/>
        </w:rPr>
        <w:t>therapeutic</w:t>
      </w:r>
      <w:r w:rsidR="00B91D6D" w:rsidRPr="00CB1C44">
        <w:rPr>
          <w:rFonts w:ascii="Arial" w:hAnsi="Arial" w:cs="Arial"/>
          <w:lang w:val="en-US"/>
        </w:rPr>
        <w:t>s</w:t>
      </w:r>
      <w:r w:rsidR="002163D4" w:rsidRPr="00CB1C44">
        <w:rPr>
          <w:rFonts w:ascii="Arial" w:hAnsi="Arial" w:cs="Arial"/>
          <w:lang w:val="en-US"/>
        </w:rPr>
        <w:t xml:space="preserve">. </w:t>
      </w:r>
    </w:p>
    <w:p w14:paraId="616A711E" w14:textId="77777777" w:rsidR="00BB52DF" w:rsidRPr="00CB1C44" w:rsidRDefault="00BB52DF" w:rsidP="00BB52DF">
      <w:pPr>
        <w:spacing w:after="0" w:line="360" w:lineRule="auto"/>
        <w:jc w:val="both"/>
        <w:outlineLvl w:val="0"/>
        <w:rPr>
          <w:rFonts w:ascii="Arial" w:hAnsi="Arial" w:cs="Arial"/>
          <w:b/>
          <w:lang w:val="en-US"/>
        </w:rPr>
      </w:pPr>
    </w:p>
    <w:p w14:paraId="1E3EB193" w14:textId="24BD3FB6" w:rsidR="00E03D20" w:rsidRPr="00CB1C44" w:rsidRDefault="00E969E5" w:rsidP="004D2D35">
      <w:pPr>
        <w:spacing w:after="0" w:line="360" w:lineRule="auto"/>
        <w:jc w:val="both"/>
        <w:outlineLvl w:val="0"/>
        <w:rPr>
          <w:rFonts w:ascii="Arial" w:hAnsi="Arial" w:cs="Arial"/>
          <w:b/>
          <w:lang w:val="en-US"/>
        </w:rPr>
      </w:pPr>
      <w:r w:rsidRPr="00CB1C44">
        <w:rPr>
          <w:rFonts w:ascii="Arial" w:hAnsi="Arial" w:cs="Arial"/>
          <w:b/>
          <w:lang w:val="en-US"/>
        </w:rPr>
        <w:t>3.</w:t>
      </w:r>
      <w:r w:rsidR="00F76388" w:rsidRPr="00CB1C44">
        <w:rPr>
          <w:rFonts w:ascii="Arial" w:hAnsi="Arial" w:cs="Arial"/>
          <w:b/>
          <w:lang w:val="en-US"/>
        </w:rPr>
        <w:t>2</w:t>
      </w:r>
      <w:r w:rsidRPr="00CB1C44">
        <w:rPr>
          <w:rFonts w:ascii="Arial" w:hAnsi="Arial" w:cs="Arial"/>
          <w:b/>
          <w:lang w:val="en-US"/>
        </w:rPr>
        <w:t>.2</w:t>
      </w:r>
      <w:r w:rsidR="004D2D35" w:rsidRPr="00CB1C44">
        <w:rPr>
          <w:rFonts w:ascii="Arial" w:hAnsi="Arial" w:cs="Arial"/>
          <w:b/>
          <w:lang w:val="en-US"/>
        </w:rPr>
        <w:t xml:space="preserve"> Targeting Nrf2-regulator pathways as potential therapeutic targets in </w:t>
      </w:r>
      <w:r w:rsidR="00702526" w:rsidRPr="00CB1C44">
        <w:rPr>
          <w:rFonts w:ascii="Arial" w:hAnsi="Arial" w:cs="Arial"/>
          <w:b/>
          <w:lang w:val="en-US"/>
        </w:rPr>
        <w:t>Parkinson’s</w:t>
      </w:r>
      <w:r w:rsidR="00E03D20" w:rsidRPr="00CB1C44">
        <w:rPr>
          <w:rFonts w:ascii="Arial" w:hAnsi="Arial" w:cs="Arial"/>
          <w:b/>
          <w:lang w:val="en-US"/>
        </w:rPr>
        <w:t xml:space="preserve"> disease </w:t>
      </w:r>
    </w:p>
    <w:p w14:paraId="46A726AB" w14:textId="16FA81A0" w:rsidR="006D4247" w:rsidRPr="00CB1C44" w:rsidRDefault="005F6069" w:rsidP="004038B5">
      <w:pPr>
        <w:spacing w:after="0" w:line="360" w:lineRule="auto"/>
        <w:jc w:val="both"/>
        <w:rPr>
          <w:rFonts w:ascii="Arial" w:hAnsi="Arial" w:cs="Arial"/>
          <w:lang w:val="en-US"/>
        </w:rPr>
      </w:pPr>
      <w:r w:rsidRPr="00CB1C44">
        <w:rPr>
          <w:rFonts w:ascii="Arial" w:hAnsi="Arial" w:cs="Arial"/>
          <w:lang w:val="en-US"/>
        </w:rPr>
        <w:t>As in AD, several Nrf2 regulator</w:t>
      </w:r>
      <w:r w:rsidR="00B91D6D" w:rsidRPr="00CB1C44">
        <w:rPr>
          <w:rFonts w:ascii="Arial" w:hAnsi="Arial" w:cs="Arial"/>
          <w:lang w:val="en-US"/>
        </w:rPr>
        <w:t>y</w:t>
      </w:r>
      <w:r w:rsidRPr="00CB1C44">
        <w:rPr>
          <w:rFonts w:ascii="Arial" w:hAnsi="Arial" w:cs="Arial"/>
          <w:lang w:val="en-US"/>
        </w:rPr>
        <w:t xml:space="preserve"> pathways are altered in PD. Thus, </w:t>
      </w:r>
      <w:r w:rsidR="00B91D6D" w:rsidRPr="00CB1C44">
        <w:rPr>
          <w:rFonts w:ascii="Arial" w:hAnsi="Arial" w:cs="Arial"/>
          <w:lang w:val="en-US"/>
        </w:rPr>
        <w:t xml:space="preserve">next </w:t>
      </w:r>
      <w:r w:rsidR="00FF572E" w:rsidRPr="00CB1C44">
        <w:rPr>
          <w:rFonts w:ascii="Arial" w:hAnsi="Arial" w:cs="Arial"/>
          <w:lang w:val="en-US"/>
        </w:rPr>
        <w:t xml:space="preserve">we </w:t>
      </w:r>
      <w:r w:rsidRPr="00CB1C44">
        <w:rPr>
          <w:rFonts w:ascii="Arial" w:hAnsi="Arial" w:cs="Arial"/>
          <w:lang w:val="en-US"/>
        </w:rPr>
        <w:t>describe</w:t>
      </w:r>
      <w:r w:rsidR="00B30F05" w:rsidRPr="00CB1C44">
        <w:rPr>
          <w:rFonts w:ascii="Arial" w:hAnsi="Arial" w:cs="Arial"/>
          <w:lang w:val="en-US"/>
        </w:rPr>
        <w:t xml:space="preserve"> </w:t>
      </w:r>
      <w:r w:rsidRPr="00CB1C44">
        <w:rPr>
          <w:rFonts w:ascii="Arial" w:hAnsi="Arial" w:cs="Arial"/>
          <w:lang w:val="en-US"/>
        </w:rPr>
        <w:t>promising results obtained by the regu</w:t>
      </w:r>
      <w:r w:rsidR="001B0BCB" w:rsidRPr="00CB1C44">
        <w:rPr>
          <w:rFonts w:ascii="Arial" w:hAnsi="Arial" w:cs="Arial"/>
          <w:lang w:val="en-US"/>
        </w:rPr>
        <w:t>lation of Nrf2-regulator</w:t>
      </w:r>
      <w:r w:rsidRPr="00CB1C44">
        <w:rPr>
          <w:rFonts w:ascii="Arial" w:hAnsi="Arial" w:cs="Arial"/>
          <w:lang w:val="en-US"/>
        </w:rPr>
        <w:t xml:space="preserve"> proteins. </w:t>
      </w:r>
    </w:p>
    <w:p w14:paraId="3E350AAA" w14:textId="7B99CEB8" w:rsidR="00B64A14" w:rsidRPr="00CB1C44" w:rsidRDefault="00F0325B" w:rsidP="004038B5">
      <w:pPr>
        <w:spacing w:after="0" w:line="360" w:lineRule="auto"/>
        <w:jc w:val="both"/>
        <w:rPr>
          <w:rFonts w:ascii="Arial" w:hAnsi="Arial" w:cs="Arial"/>
          <w:lang w:val="en-US"/>
        </w:rPr>
      </w:pPr>
      <w:r w:rsidRPr="00CB1C44">
        <w:rPr>
          <w:rFonts w:ascii="Arial" w:hAnsi="Arial" w:cs="Arial"/>
          <w:lang w:val="en-US"/>
        </w:rPr>
        <w:t>T</w:t>
      </w:r>
      <w:r w:rsidR="00E81EA5" w:rsidRPr="00CB1C44">
        <w:rPr>
          <w:rFonts w:ascii="Arial" w:hAnsi="Arial" w:cs="Arial"/>
          <w:lang w:val="en-US"/>
        </w:rPr>
        <w:t xml:space="preserve">he </w:t>
      </w:r>
      <w:r w:rsidR="00724A06" w:rsidRPr="00CB1C44">
        <w:rPr>
          <w:rFonts w:ascii="Arial" w:hAnsi="Arial" w:cs="Arial"/>
          <w:lang w:val="en-US"/>
        </w:rPr>
        <w:t xml:space="preserve">p62 </w:t>
      </w:r>
      <w:r w:rsidR="00B91D6D" w:rsidRPr="00CB1C44">
        <w:rPr>
          <w:rFonts w:ascii="Arial" w:hAnsi="Arial" w:cs="Arial"/>
          <w:lang w:val="en-US"/>
        </w:rPr>
        <w:t xml:space="preserve">protein was shown to </w:t>
      </w:r>
      <w:r w:rsidR="00724A06" w:rsidRPr="00CB1C44">
        <w:rPr>
          <w:rFonts w:ascii="Arial" w:hAnsi="Arial" w:cs="Arial"/>
          <w:lang w:val="en-US"/>
        </w:rPr>
        <w:t xml:space="preserve">participate in proteasomal and/or autophagic degradation of misfolded or aggregated proteins and </w:t>
      </w:r>
      <w:r w:rsidR="00B91D6D" w:rsidRPr="00CB1C44">
        <w:rPr>
          <w:rFonts w:ascii="Arial" w:hAnsi="Arial" w:cs="Arial"/>
          <w:lang w:val="en-US"/>
        </w:rPr>
        <w:t xml:space="preserve">to indirectly </w:t>
      </w:r>
      <w:r w:rsidR="00724A06" w:rsidRPr="00CB1C44">
        <w:rPr>
          <w:rFonts w:ascii="Arial" w:hAnsi="Arial" w:cs="Arial"/>
          <w:lang w:val="en-US"/>
        </w:rPr>
        <w:t>regulate</w:t>
      </w:r>
      <w:r w:rsidR="00DA7186" w:rsidRPr="00CB1C44">
        <w:rPr>
          <w:rFonts w:ascii="Arial" w:hAnsi="Arial" w:cs="Arial"/>
          <w:lang w:val="en-US"/>
        </w:rPr>
        <w:t xml:space="preserve"> </w:t>
      </w:r>
      <w:r w:rsidR="00BB44D4" w:rsidRPr="00CB1C44">
        <w:rPr>
          <w:rFonts w:ascii="Arial" w:hAnsi="Arial" w:cs="Arial"/>
          <w:lang w:val="en-US"/>
        </w:rPr>
        <w:t xml:space="preserve">the </w:t>
      </w:r>
      <w:r w:rsidR="00724A06" w:rsidRPr="00CB1C44">
        <w:rPr>
          <w:rFonts w:ascii="Arial" w:hAnsi="Arial" w:cs="Arial"/>
          <w:lang w:val="en-US"/>
        </w:rPr>
        <w:t>Nrf2 pathway</w:t>
      </w:r>
      <w:r w:rsidR="00DB5AF5" w:rsidRPr="00CB1C44">
        <w:rPr>
          <w:rFonts w:ascii="Arial" w:hAnsi="Arial" w:cs="Arial"/>
          <w:lang w:val="en-US"/>
        </w:rPr>
        <w:t xml:space="preserve">. </w:t>
      </w:r>
      <w:r w:rsidR="006E4F96" w:rsidRPr="00CB1C44">
        <w:rPr>
          <w:rFonts w:ascii="Arial" w:hAnsi="Arial" w:cs="Arial"/>
          <w:lang w:val="en-US"/>
        </w:rPr>
        <w:t>Several studies highlighted the importance of p62 in PD pathogenesis</w:t>
      </w:r>
      <w:r w:rsidR="00507281" w:rsidRPr="00CB1C44">
        <w:rPr>
          <w:rFonts w:ascii="Arial" w:hAnsi="Arial" w:cs="Arial"/>
          <w:lang w:val="en-US"/>
        </w:rPr>
        <w:t xml:space="preserve">. </w:t>
      </w:r>
      <w:r w:rsidR="00D61611" w:rsidRPr="00CB1C44">
        <w:rPr>
          <w:rFonts w:ascii="Arial" w:hAnsi="Arial" w:cs="Arial"/>
          <w:lang w:val="en-US"/>
        </w:rPr>
        <w:t xml:space="preserve">Importantly, p62 appears physically associated to abnormal α-Syn inclusions in the </w:t>
      </w:r>
      <w:r w:rsidR="00D61611" w:rsidRPr="00CB1C44">
        <w:rPr>
          <w:rFonts w:ascii="Arial" w:hAnsi="Arial" w:cs="Arial"/>
          <w:i/>
          <w:lang w:val="en-US"/>
        </w:rPr>
        <w:t xml:space="preserve">substantia </w:t>
      </w:r>
      <w:proofErr w:type="spellStart"/>
      <w:r w:rsidR="00D61611" w:rsidRPr="00CB1C44">
        <w:rPr>
          <w:rFonts w:ascii="Arial" w:hAnsi="Arial" w:cs="Arial"/>
          <w:i/>
          <w:lang w:val="en-US"/>
        </w:rPr>
        <w:t>nigra</w:t>
      </w:r>
      <w:proofErr w:type="spellEnd"/>
      <w:r w:rsidR="00D61611" w:rsidRPr="00CB1C44">
        <w:rPr>
          <w:rFonts w:ascii="Arial" w:hAnsi="Arial" w:cs="Arial"/>
          <w:lang w:val="en-US"/>
        </w:rPr>
        <w:t xml:space="preserve"> of PD brains at early stages </w:t>
      </w:r>
      <w:r w:rsidR="00D616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{"citationItems":[{"id":"ITEM-1","itemData":{"ISBN":"00223069","ISSN":"0022-3069","PMID":"14692700","abstract":"The formation of Lewy bodies (LBs) and their relationship to other types of nigral inclusions associated with Parkinson disease (PD), such as pale bodies (PBs), remain poorly understood. Known constituents of LBs include alpha-synuclein (alphaS) and ubiquitin (Ub), providing windows to their morphogenesis. Additionally, p62/sequestosome 1 has been identified as a common component of neuropathological and hepatocytic inclusions. To study the formation of PD-associated nigral inclusions, we analyzed the substantia nigra of cases with abundant LBs and PBs in hematoxylin and eosin (H&amp;E) stain, using immunohistochemistry for alphaS, Ub, and p62. We found morphologically diverse alphaS-immunoreactive deposits within neuronal perikarya and neurites. Perikaryal types extended from punctate cytoplasmic staining to variform compact (i.e. PB-type and LB-type) inclusions. Using H&amp;E, only a small subset of the compact deposits could be unambiguously identified. Labeling for p62 was highly similar to alphaS in compact perikaryal inclusions, whereas no punctate staining or intraneuritic inclusions were detected. Ubiquitin antibodies labeled compact deposits both within perikarya and neurites. The data suggest that pathological alphaS is first evident as punctate perikaryal material that, via coalescence and incorporation of p62 and Ub, yields PB-type structures from which LB-type inclusions form in a compaction-like manner. The results also point at dissimilarities in the formation of perikaryal vs intraneuritic inclusions.","author":[{"dropping-particle":"","family":"Kuusisto","given":"Erkki","non-dropping-particle":"","parse-names":false,"suffix":""},{"dropping-particle":"","family":"Parkkinen","given":"Laura","non-dropping-particle":"","parse-names":false,"suffix":""},{"dropping-particle":"","family":"Alafuzoff","given":"Irina","non-dropping-particle":"","parse-names":false,"suffix":""}],"container-title":"Journal of neuropathology and experimental neurology","id":"ITEM-1","issue":"12","issued":{"date-parts":[["2003"]]},"page":"1241-1253","title":"Morphogenesis of Lewy bodies: dissimilar incorporation of alpha-synuclein, ubiquitin, and p62.","type":"article-journal","volume":"62"},"uris":["http://www.mendeley.com/documents/?uuid=d5f3ff85-6d83-489e-9098-de74ce4cd70b"]}],"mendeley":{"formattedCitation":"(Kuusisto et al., 2003)","plainTextFormattedCitation":"(Kuusisto et al., 2003)","previouslyFormattedCitation":"(Kuusisto et al., 2003)"},"properties":{"noteIndex":0},"schema":"https://github.com/citation-style-language/schema/raw/master/csl-citation.json"}</w:instrText>
      </w:r>
      <w:r w:rsidR="00D61611" w:rsidRPr="00CB1C44">
        <w:rPr>
          <w:rFonts w:ascii="Arial" w:hAnsi="Arial" w:cs="Arial"/>
          <w:lang w:val="en-US"/>
        </w:rPr>
        <w:fldChar w:fldCharType="separate"/>
      </w:r>
      <w:r w:rsidR="00DD645C" w:rsidRPr="00CB1C44">
        <w:rPr>
          <w:rFonts w:ascii="Arial" w:hAnsi="Arial" w:cs="Arial"/>
          <w:noProof/>
          <w:lang w:val="en-US"/>
        </w:rPr>
        <w:t>(Kuusisto et al., 2003)</w:t>
      </w:r>
      <w:r w:rsidR="00D61611" w:rsidRPr="00CB1C44">
        <w:rPr>
          <w:rFonts w:ascii="Arial" w:hAnsi="Arial" w:cs="Arial"/>
          <w:lang w:val="en-US"/>
        </w:rPr>
        <w:fldChar w:fldCharType="end"/>
      </w:r>
      <w:r w:rsidR="00D61611" w:rsidRPr="00CB1C44">
        <w:rPr>
          <w:rFonts w:ascii="Arial" w:hAnsi="Arial" w:cs="Arial"/>
          <w:lang w:val="en-US"/>
        </w:rPr>
        <w:t xml:space="preserve">. Concordantly, the p62 gene promoter showed oxidative damage in PD brain frontal cortex, which may result in decreased p62 expression </w:t>
      </w:r>
      <w:r w:rsidR="00D616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{"citationItems":[{"id":"ITEM-1","itemData":{"DOI":"10.1016/j.nbd.2009.05.015","ISBN":"1095-953X (Electronic)\\r0969-9961 (Linking)","ISSN":"09699961","PMID":"19481605","abstract":"Recently we reported that declined SQSTM1/p62 expression in Alzheimer disease brain was age-correlated with oxidative damage to the p62 promoter. The objective of this study was to examine whether oxidative damage to the p62 promoter is common to DNA recovered from brain of individuals with neurodegenerative disease. Increased 8-OHdG staining was observed in brain sections from Alzheimer's disease (AD), Parkinson disease (PD), Huntington disease (HD), Frontotemporal dementia (FTD), and Pick's disease compared to control subjects. In parallel, the p62 promoter exhibited elevated oxidative damage in samples from various diseases compared to normal brain, and damage was negatively correlated with p62 expression in FTD samples. Oxidative damage to the p62 promoter induced by H2O2 treatment decreased its transcriptional activity. In keeping with this observation, the transcriptional activity of a Sp-1 element deletion mutant displayed reduced stimulus-induced activity. These findings reveal that oxidative damage to the p62 promoter decreased its transcriptional activity and might therefore account for decreased expression of p62. Altogether these results suggest that pharmacological means to increase p62 expression may be beneficial in delaying the onset of neurodegeneration. ?? 2009 Elsevier Inc. All rights reserved.","author":[{"dropping-particle":"","family":"Du","given":"Yifeng","non-dropping-particle":"","parse-names":false,"suffix":""},{"dropping-particle":"","family":"Wooten","given":"Michael C.","non-dropping-particle":"","parse-names":false,"suffix":""},{"dropping-particle":"","family":"Wooten","given":"Marie W.","non-dropping-particle":"","parse-names":false,"suffix":""}],"container-title":"Neurobiology of Disease","id":"ITEM-1","issue":"2","issued":{"date-parts":[["2009"]]},"page":"302-310","title":"Oxidative damage to the promoter region of SQSTM1/p62 is common to neurodegenerative disease","type":"article-journal","volume":"35"},"uris":["http://www.mendeley.com/documents/?uuid=daca5c06-9e6a-4037-8e71-5adb151c0162"]}],"mendeley":{"formattedCitation":"(Du et al., 2009b)","plainTextFormattedCitation":"(Du et al., 2009b)","previouslyFormattedCitation":"(Du et al., 2009b)"},"properties":{"noteIndex":0},"schema":"https://github.com/citation-style-language/schema/raw/master/csl-citation.json"}</w:instrText>
      </w:r>
      <w:r w:rsidR="00D61611" w:rsidRPr="00CB1C44">
        <w:rPr>
          <w:rFonts w:ascii="Arial" w:hAnsi="Arial" w:cs="Arial"/>
          <w:lang w:val="en-US"/>
        </w:rPr>
        <w:fldChar w:fldCharType="separate"/>
      </w:r>
      <w:r w:rsidR="00DD645C" w:rsidRPr="00CB1C44">
        <w:rPr>
          <w:rFonts w:ascii="Arial" w:hAnsi="Arial" w:cs="Arial"/>
          <w:noProof/>
          <w:lang w:val="en-US"/>
        </w:rPr>
        <w:t>(Du et al., 2009b)</w:t>
      </w:r>
      <w:r w:rsidR="00D61611" w:rsidRPr="00CB1C44">
        <w:rPr>
          <w:rFonts w:ascii="Arial" w:hAnsi="Arial" w:cs="Arial"/>
          <w:lang w:val="en-US"/>
        </w:rPr>
        <w:fldChar w:fldCharType="end"/>
      </w:r>
      <w:r w:rsidR="00D61611" w:rsidRPr="00CB1C44">
        <w:rPr>
          <w:rFonts w:ascii="Arial" w:hAnsi="Arial" w:cs="Arial"/>
          <w:lang w:val="en-US"/>
        </w:rPr>
        <w:t xml:space="preserve">. </w:t>
      </w:r>
      <w:r w:rsidR="006E4F96" w:rsidRPr="00CB1C44">
        <w:rPr>
          <w:rFonts w:ascii="Arial" w:hAnsi="Arial" w:cs="Arial"/>
          <w:lang w:val="en-US"/>
        </w:rPr>
        <w:t>Huang and co-workers reported that β-</w:t>
      </w:r>
      <w:proofErr w:type="spellStart"/>
      <w:r w:rsidR="006E4F96" w:rsidRPr="00CB1C44">
        <w:rPr>
          <w:rFonts w:ascii="Arial" w:hAnsi="Arial" w:cs="Arial"/>
          <w:lang w:val="en-US"/>
        </w:rPr>
        <w:t>asarone</w:t>
      </w:r>
      <w:proofErr w:type="spellEnd"/>
      <w:r w:rsidR="006E4F96" w:rsidRPr="00CB1C44">
        <w:rPr>
          <w:rFonts w:ascii="Arial" w:hAnsi="Arial" w:cs="Arial"/>
          <w:lang w:val="en-US"/>
        </w:rPr>
        <w:t xml:space="preserve"> and L-dopa co-administration</w:t>
      </w:r>
      <w:r w:rsidR="00103A22" w:rsidRPr="00CB1C44">
        <w:rPr>
          <w:rFonts w:ascii="Arial" w:hAnsi="Arial" w:cs="Arial"/>
          <w:lang w:val="en-US"/>
        </w:rPr>
        <w:t>, two compounds show</w:t>
      </w:r>
      <w:r w:rsidR="00B91D6D" w:rsidRPr="00CB1C44">
        <w:rPr>
          <w:rFonts w:ascii="Arial" w:hAnsi="Arial" w:cs="Arial"/>
          <w:lang w:val="en-US"/>
        </w:rPr>
        <w:t>n</w:t>
      </w:r>
      <w:r w:rsidR="00103A22" w:rsidRPr="00CB1C44">
        <w:rPr>
          <w:rFonts w:ascii="Arial" w:hAnsi="Arial" w:cs="Arial"/>
          <w:lang w:val="en-US"/>
        </w:rPr>
        <w:t xml:space="preserve"> to be protective in PD,</w:t>
      </w:r>
      <w:r w:rsidR="006E4F96" w:rsidRPr="00CB1C44">
        <w:rPr>
          <w:rFonts w:ascii="Arial" w:hAnsi="Arial" w:cs="Arial"/>
          <w:lang w:val="en-US"/>
        </w:rPr>
        <w:t xml:space="preserve"> </w:t>
      </w:r>
      <w:r w:rsidR="000B780B" w:rsidRPr="00CB1C44">
        <w:rPr>
          <w:rFonts w:ascii="Arial" w:hAnsi="Arial" w:cs="Arial"/>
          <w:lang w:val="en-US"/>
        </w:rPr>
        <w:t xml:space="preserve">act synergistically and </w:t>
      </w:r>
      <w:r w:rsidR="00B91D6D" w:rsidRPr="00CB1C44">
        <w:rPr>
          <w:rFonts w:ascii="Arial" w:hAnsi="Arial" w:cs="Arial"/>
          <w:lang w:val="en-US"/>
        </w:rPr>
        <w:t>are</w:t>
      </w:r>
      <w:r w:rsidR="000B780B" w:rsidRPr="00CB1C44">
        <w:rPr>
          <w:rFonts w:ascii="Arial" w:hAnsi="Arial" w:cs="Arial"/>
          <w:lang w:val="en-US"/>
        </w:rPr>
        <w:t xml:space="preserve"> protective </w:t>
      </w:r>
      <w:r w:rsidR="001B6ED2" w:rsidRPr="00CB1C44">
        <w:rPr>
          <w:rFonts w:ascii="Arial" w:hAnsi="Arial" w:cs="Arial"/>
          <w:lang w:val="en-US"/>
        </w:rPr>
        <w:t>after 6-OHDA damage</w:t>
      </w:r>
      <w:r w:rsidR="006E4F96" w:rsidRPr="00CB1C44">
        <w:rPr>
          <w:rFonts w:ascii="Arial" w:hAnsi="Arial" w:cs="Arial"/>
          <w:lang w:val="en-US"/>
        </w:rPr>
        <w:t xml:space="preserve"> in parkinsonian rat mesencephalon</w:t>
      </w:r>
      <w:r w:rsidR="00E417A5" w:rsidRPr="00CB1C44">
        <w:rPr>
          <w:rFonts w:ascii="Arial" w:hAnsi="Arial" w:cs="Arial"/>
          <w:lang w:val="en-US"/>
        </w:rPr>
        <w:t>,</w:t>
      </w:r>
      <w:r w:rsidR="006E4F96" w:rsidRPr="00CB1C44">
        <w:rPr>
          <w:rFonts w:ascii="Arial" w:hAnsi="Arial" w:cs="Arial"/>
          <w:lang w:val="en-US"/>
        </w:rPr>
        <w:t xml:space="preserve"> due to enhanced p62 expression </w:t>
      </w:r>
      <w:r w:rsidR="006E4F9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{"citationItems":[{"id":"ITEM-1","itemData":{"DOI":"10.1111/1440-1681.12344","ISBN":"1440-1681","ISSN":"03051870","abstract":"? 2014 Wiley Publishing Asia Pty Ltd.In this study, we investigated Beclin-1, light chain (LC)3B, and p62 expression in 6-hydroxydopamine (6-OHDA)-induced parkinsonian rats after ?-asarone and levodopa (l-dopa) co-administration. Unilateral 6-OHDA injection into the medial forebrain bundle was used to create the models, except in sham-operated rats. Rats were divided into eight groups: sham-operated group; 6-OHDA model group; madopar group (75 mg/kg, per os (p.o.)); l-dopa group (60 mg/kg, p.o.); ?-asarone group (15 mg/kg, p.o.); ?-asarone + l-dopa co-administered group (15 mg/kg + 60 mg/kg, p.o.); 3-methyladenine group (500 nmol, intraperitoneal injection); and rapamycin group (1 mg/kg, intraperitoneal injection). Then, Beclin-1, LC3B, and p62 expression in the mesencephalon were detected. The mesencephalon was also observed by transmission electron microscope. The results showed that Beclin-1 and LC3B expression decreased and that p62 expression increased significantly in the madopar, l-dopa, ?-asarone, and co-administered groups when compared with the 6-OHDA model. Beclin-1 and LC3B expression in the ?-asarone and co-administered groups were less than in the madopar or l-dopa groups, whereas p62 expression in the ?-asarone and co-administered groups was higher than in the madopar or l-dopa groups. In addition, a significant decrease in autophagosome was exhibited in the ?-asarone and co-administered groups when compared with the 6-OHDA group. Our findings indicate that Beclin-1 and LC3B expression decreased, whereas p62 expression increased after co-administration treatment. In sum, all data suggest that the co-administration of ?-asarone and l-dopa may contribute to the treatment of 6-OHDA-induced damage in rats by inhibiting autophagy activity.","author":[{"dropping-particle":"","family":"Huang","given":"Li-Ping","non-dropping-particle":"","parse-names":false,"suffix":""},{"dropping-particle":"","family":"Deng","given":"Min-Zhen","non-dropping-particle":"","parse-names":false,"suffix":""},{"dropping-particle":"","family":"He","given":"Yu-Ping","non-dropping-particle":"","parse-names":false,"suffix":""},{"dropping-particle":"","family":"Fang","given":"Yong-Qi","non-dropping-particle":"","parse-names":false,"suffix":""}],"container-title":"Clinical and Experimental Pharmacology and Physiology","id":"ITEM-1","issue":"3","issued":{"date-parts":[["2015","3"]]},"page":"269-277","title":"β-asarone and levodopa co-administration protects against 6-hydroxydopamine-induced damage in parkinsonian rat mesencephalon by regulating autophagy: down-expression Beclin-1 and light chain 3B and up-expression P62","type":"article-journal","volume":"42"},"uris":["http://www.mendeley.com/documents/?uuid=ebfb4718-74d5-4f8d-9a20-bf9df0278c60"]}],"mendeley":{"formattedCitation":"(Huang et al., 2015)","plainTextFormattedCitation":"(Huang et al., 2015)","previouslyFormattedCitation":"(Huang et al., 2015)"},"properties":{"noteIndex":0},"schema":"https://github.com/citation-style-language/schema/raw/master/csl-citation.json"}</w:instrText>
      </w:r>
      <w:r w:rsidR="006E4F96" w:rsidRPr="00CB1C44">
        <w:rPr>
          <w:rFonts w:ascii="Arial" w:hAnsi="Arial" w:cs="Arial"/>
          <w:lang w:val="en-US"/>
        </w:rPr>
        <w:fldChar w:fldCharType="separate"/>
      </w:r>
      <w:r w:rsidR="00DD645C" w:rsidRPr="00CB1C44">
        <w:rPr>
          <w:rFonts w:ascii="Arial" w:hAnsi="Arial" w:cs="Arial"/>
          <w:noProof/>
          <w:lang w:val="en-US"/>
        </w:rPr>
        <w:t>(Huang et al., 2015)</w:t>
      </w:r>
      <w:r w:rsidR="006E4F96" w:rsidRPr="00CB1C44">
        <w:rPr>
          <w:rFonts w:ascii="Arial" w:hAnsi="Arial" w:cs="Arial"/>
          <w:lang w:val="en-US"/>
        </w:rPr>
        <w:fldChar w:fldCharType="end"/>
      </w:r>
      <w:r w:rsidR="006E4F96" w:rsidRPr="00CB1C44">
        <w:rPr>
          <w:rFonts w:ascii="Arial" w:hAnsi="Arial" w:cs="Arial"/>
          <w:lang w:val="en-US"/>
        </w:rPr>
        <w:t xml:space="preserve">. Moreover, </w:t>
      </w:r>
      <w:r w:rsidR="00C84006" w:rsidRPr="00CB1C44">
        <w:rPr>
          <w:rFonts w:ascii="Arial" w:hAnsi="Arial" w:cs="Arial"/>
          <w:lang w:val="en-US"/>
        </w:rPr>
        <w:t xml:space="preserve">p62 </w:t>
      </w:r>
      <w:r w:rsidR="006E4F96" w:rsidRPr="00CB1C44">
        <w:rPr>
          <w:rFonts w:ascii="Arial" w:hAnsi="Arial" w:cs="Arial"/>
          <w:lang w:val="en-US"/>
        </w:rPr>
        <w:t xml:space="preserve">KO </w:t>
      </w:r>
      <w:r w:rsidR="00C84006" w:rsidRPr="00CB1C44">
        <w:rPr>
          <w:rFonts w:ascii="Arial" w:hAnsi="Arial" w:cs="Arial"/>
          <w:lang w:val="en-US"/>
        </w:rPr>
        <w:t>in tra</w:t>
      </w:r>
      <w:r w:rsidR="00B91D6D" w:rsidRPr="00CB1C44">
        <w:rPr>
          <w:rFonts w:ascii="Arial" w:hAnsi="Arial" w:cs="Arial"/>
          <w:lang w:val="en-US"/>
        </w:rPr>
        <w:t>n</w:t>
      </w:r>
      <w:r w:rsidR="00C84006" w:rsidRPr="00CB1C44">
        <w:rPr>
          <w:rFonts w:ascii="Arial" w:hAnsi="Arial" w:cs="Arial"/>
          <w:lang w:val="en-US"/>
        </w:rPr>
        <w:t>sgenic</w:t>
      </w:r>
      <w:r w:rsidR="006E4F96" w:rsidRPr="00CB1C44">
        <w:rPr>
          <w:rFonts w:ascii="Arial" w:hAnsi="Arial" w:cs="Arial"/>
          <w:lang w:val="en-US"/>
        </w:rPr>
        <w:t xml:space="preserve"> mice overexpressing α-Syn evidenced increased α-Syn accumulation when compared with mice overexpressi</w:t>
      </w:r>
      <w:r w:rsidR="00B91D6D" w:rsidRPr="00CB1C44">
        <w:rPr>
          <w:rFonts w:ascii="Arial" w:hAnsi="Arial" w:cs="Arial"/>
          <w:lang w:val="en-US"/>
        </w:rPr>
        <w:t>ng</w:t>
      </w:r>
      <w:r w:rsidR="006E4F96" w:rsidRPr="00CB1C44">
        <w:rPr>
          <w:rFonts w:ascii="Arial" w:hAnsi="Arial" w:cs="Arial"/>
          <w:lang w:val="en-US"/>
        </w:rPr>
        <w:t xml:space="preserve"> α-Syn alone </w:t>
      </w:r>
      <w:r w:rsidR="006E4F96"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{"citationItems":[{"id":"ITEM-1","itemData":{"DOI":"10.1111/bpa.12214","ISSN":"17503639","PMID":"25412696","abstract":"In Lewy body disease (LBD) such as dementia with LBs and Parkinson's disease, several lines of evidence show that disrupted proteolysis occurs. p62/SQSTM1 (p62) is highly involved with intracellular proteolysis and is a component of ubiquitin-positive inclusions in various neurodegenerative disorders. However, it is not clear whether p62 deficiency affects inclusion formation and abnormal protein accumulation. To answer this question, we used a mouse model of LBD that lacks p62, and found that LB-like inclusions were observed in transgenic mice that overexpressed α-synuclein (Tg mice) with or without the p62 protein. p62 deficiency enhanced α-synuclein pathology with regard to the number of inclusions and staining intensity compared with Tg mice that expressed p62. To further investigate the molecular mechanisms associated with the loss of p62 in Tg mice, we assessed the mRNA and protein levels of several molecules, and found that the neighbor of the brca1 gene (NBr1), which is functionally and structurally similar to p62, is increased in Tg mice without p62 compared with control Tg mice. These findings suggest that p62 and NBR1 affect the pathogenesis of neurodegenerative diseases through the cooperative modulation of α-synuclein aggregation.","author":[{"dropping-particle":"","family":"Tanji","given":"Kunikazu","non-dropping-particle":"","parse-names":false,"suffix":""},{"dropping-particle":"","family":"Odagiri","given":"Saori","non-dropping-particle":"","parse-names":false,"suffix":""},{"dropping-particle":"","family":"Miki","given":"Yasuo","non-dropping-particle":"","parse-names":false,"suffix":""},{"dropping-particle":"","family":"Maruyama","given":"Atsushi","non-dropping-particle":"","parse-names":false,"suffix":""},{"dropping-particle":"","family":"Nikaido","given":"Yoshikazu","non-dropping-particle":"","parse-names":false,"suffix":""},{"dropping-particle":"","family":"Mimura","given":"Junsei","non-dropping-particle":"","parse-names":false,"suffix":""},{"dropping-particle":"","family":"Mori","given":"Fumiaki","non-dropping-particle":"","parse-names":false,"suffix":""},{"dropping-particle":"","family":"Warabi","given":"Eiji","non-dropping-particle":"","parse-names":false,"suffix":""},{"dropping-particle":"","family":"Yanagawa","given":"Toru","non-dropping-particle":"","parse-names":false,"suffix":""},{"dropping-particle":"","family":"Ueno","given":"Shinya","non-dropping-particle":"","parse-names":false,"suffix":""},{"dropping-particle":"","family":"Itoh","given":"Ken","non-dropping-particle":"","parse-names":false,"suffix":""},{"dropping-particle":"","family":"Wakabayashi","given":"Koichi","non-dropping-particle":"","parse-names":false,"suffix":""}],"container-title":"Brain Pathology","id":"ITEM-1","issue":"5","issued":{"date-parts":[["2015"]]},"page":"552-564","title":"P62 deficiency enhances α-synuclein pathology in mice","type":"article-journal","volume":"25"},"uris":["http://www.mendeley.com/documents/?uuid=1aeda32b-9b3a-4371-bf81-b824e6d32ced"]}],"mendeley":{"formattedCitation":"(Tanji et al., 2015)","plainTextFormattedCitation":"(Tanji et al., 2015)","previouslyFormattedCitation":"(Tanji et al., 2015)"},"properties":{"noteIndex":0},"schema":"https://github.com/citation-style-language/schema/raw/master/csl-citation.json"}</w:instrText>
      </w:r>
      <w:r w:rsidR="006E4F96" w:rsidRPr="00CB1C44">
        <w:rPr>
          <w:rFonts w:ascii="Arial" w:hAnsi="Arial" w:cs="Arial"/>
          <w:lang w:val="en-US"/>
        </w:rPr>
        <w:fldChar w:fldCharType="separate"/>
      </w:r>
      <w:r w:rsidR="00DD645C" w:rsidRPr="00CB1C44">
        <w:rPr>
          <w:rFonts w:ascii="Arial" w:hAnsi="Arial" w:cs="Arial"/>
          <w:noProof/>
          <w:lang w:val="en-US"/>
        </w:rPr>
        <w:t>(Tanji et al., 2015)</w:t>
      </w:r>
      <w:r w:rsidR="006E4F96" w:rsidRPr="00CB1C44">
        <w:rPr>
          <w:rFonts w:ascii="Arial" w:hAnsi="Arial" w:cs="Arial"/>
          <w:lang w:val="en-US"/>
        </w:rPr>
        <w:fldChar w:fldCharType="end"/>
      </w:r>
      <w:r w:rsidR="006E4F96" w:rsidRPr="00CB1C44">
        <w:rPr>
          <w:rFonts w:ascii="Arial" w:hAnsi="Arial" w:cs="Arial"/>
          <w:lang w:val="en-US"/>
        </w:rPr>
        <w:t xml:space="preserve">. </w:t>
      </w:r>
      <w:r w:rsidR="00A5544A" w:rsidRPr="00CB1C44">
        <w:rPr>
          <w:rFonts w:ascii="Arial" w:hAnsi="Arial" w:cs="Arial"/>
          <w:lang w:val="en-US"/>
        </w:rPr>
        <w:t xml:space="preserve">On </w:t>
      </w:r>
      <w:r w:rsidR="00D72158" w:rsidRPr="00CB1C44">
        <w:rPr>
          <w:rFonts w:ascii="Arial" w:hAnsi="Arial" w:cs="Arial"/>
          <w:lang w:val="en-US"/>
        </w:rPr>
        <w:t xml:space="preserve">the </w:t>
      </w:r>
      <w:r w:rsidR="00A5544A" w:rsidRPr="00CB1C44">
        <w:rPr>
          <w:rFonts w:ascii="Arial" w:hAnsi="Arial" w:cs="Arial"/>
          <w:lang w:val="en-US"/>
        </w:rPr>
        <w:t>other hand, parkin</w:t>
      </w:r>
      <w:r w:rsidR="00103A22" w:rsidRPr="00CB1C44">
        <w:rPr>
          <w:rFonts w:ascii="Arial" w:hAnsi="Arial" w:cs="Arial"/>
          <w:lang w:val="en-US"/>
        </w:rPr>
        <w:t>, which</w:t>
      </w:r>
      <w:r w:rsidR="00A5544A" w:rsidRPr="00CB1C44">
        <w:rPr>
          <w:rFonts w:ascii="Arial" w:hAnsi="Arial" w:cs="Arial"/>
          <w:lang w:val="en-US"/>
        </w:rPr>
        <w:t xml:space="preserve"> interact</w:t>
      </w:r>
      <w:r w:rsidR="00103A22" w:rsidRPr="00CB1C44">
        <w:rPr>
          <w:rFonts w:ascii="Arial" w:hAnsi="Arial" w:cs="Arial"/>
          <w:lang w:val="en-US"/>
        </w:rPr>
        <w:t>s</w:t>
      </w:r>
      <w:r w:rsidR="00A5544A" w:rsidRPr="00CB1C44">
        <w:rPr>
          <w:rFonts w:ascii="Arial" w:hAnsi="Arial" w:cs="Arial"/>
          <w:lang w:val="en-US"/>
        </w:rPr>
        <w:t xml:space="preserve"> with p62</w:t>
      </w:r>
      <w:r w:rsidR="00103A22" w:rsidRPr="00CB1C44">
        <w:rPr>
          <w:rFonts w:ascii="Arial" w:hAnsi="Arial" w:cs="Arial"/>
          <w:lang w:val="en-US"/>
        </w:rPr>
        <w:t xml:space="preserve"> </w:t>
      </w:r>
      <w:r w:rsidR="00CC45BA" w:rsidRPr="00CB1C44">
        <w:rPr>
          <w:rFonts w:ascii="Arial" w:hAnsi="Arial" w:cs="Arial"/>
          <w:lang w:val="en-US"/>
        </w:rPr>
        <w:t xml:space="preserve">in normal conditions, </w:t>
      </w:r>
      <w:r w:rsidR="00103A22" w:rsidRPr="00CB1C44">
        <w:rPr>
          <w:rFonts w:ascii="Arial" w:hAnsi="Arial" w:cs="Arial"/>
          <w:lang w:val="en-US"/>
        </w:rPr>
        <w:t xml:space="preserve">is able to </w:t>
      </w:r>
      <w:r w:rsidR="00CC45BA" w:rsidRPr="00CB1C44">
        <w:rPr>
          <w:rFonts w:ascii="Arial" w:hAnsi="Arial" w:cs="Arial"/>
          <w:lang w:val="en-US"/>
        </w:rPr>
        <w:t>stabilize p62 possibly through its E3 ligase activity</w:t>
      </w:r>
      <w:r w:rsidR="003866AC"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{"citationItems":[{"id":"ITEM-1","itemData":{"DOI":"10.1007/s13238-015-0230-9","ISBN":"1323801502","ISSN":"16748018","PMID":"26746706","abstract":"Mutations or inactivation of parkin, an E3 ubiquitin ligase, are associated with familial form or sporadic Parkinson's disease (PD), respectively, which manifested with the selective vulnerability of neuronal cells in substantia nigra (SN) and striatum (STR) regions. However, the underlying molecular mechanism linking parkin with the etiology of PD remains elusive. Here we report that p62, a critical regulator for protein quality control, inclusion body formation, selective autophagy and diverse signaling pathways, is a new substrate of parkin. P62 levels were increased in the SN and STR regions, but not in other brain regions in parkin knockout mice. Parkin directly interacts with and ubiquitinates p62 at the K13 to promote proteasomal degradation of p62 even in the absence of ATG5. Pathogenic mutations, knockdown of parkin or mutation of p62 at K13 prevented the degradation of p62. We further showed that parkin deficiency mice have pronounced loss of tyrosine hydroxylase positive neurons and have worse performance in motor test when treated with 6-hydroxydopamine hydrochloride in aged mice. These results suggest that, in addition to their critical role in regulating autophagy, p62 are subjected to parkin mediated proteasomal degradation and implicate that the dysregulation of parkin/p62 axis may involve in the selective vulnerability of neuronal cells during the onset of PD pathogenesis.","author":[{"dropping-particle":"","family":"Song","given":"Pingping","non-dropping-particle":"","parse-names":false,"suffix":""},{"dropping-particle":"","family":"Li","given":"Shanshan","non-dropping-particle":"","parse-names":false,"suffix":""},{"dropping-particle":"","family":"Wu","given":"Hao","non-dropping-particle":"","parse-names":false,"suffix":""},{"dropping-particle":"","family":"Gao","given":"Ruize","non-dropping-particle":"","parse-names":false,"suffix":""},{"dropping-particle":"","family":"Rao","given":"Guanhua","non-dropping-particle":"","parse-names":false,"suffix":""},{"dropping-particle":"","family":"Wang","given":"Dongmei","non-dropping-particle":"","parse-names":false,"suffix":""},{"dropping-particle":"","family":"Chen","given":"Ziheng","non-dropping-particle":"","parse-names":false,"suffix":""},{"dropping-particle":"","family":"Ma","given":"Biao","non-dropping-particle":"","parse-names":false,"suffix":""},{"dropping-particle":"","family":"Wang","given":"Hongxia","non-dropping-particle":"","parse-names":false,"suffix":""},{"dropping-particle":"","family":"Sui","given":"Nan","non-dropping-particle":"","parse-names":false,"suffix":""},{"dropping-particle":"","family":"Deng","given":"Haiteng","non-dropping-particle":"","parse-names":false,"suffix":""},{"dropping-particle":"","family":"Zhang","given":"Zhuohua","non-dropping-particle":"","parse-names":false,"suffix":""},{"dropping-particle":"","family":"Tang","given":"Tieshan","non-dropping-particle":"","parse-names":false,"suffix":""},{"dropping-particle":"","family":"Tan","given":"Zheng","non-dropping-particle":"","parse-names":false,"suffix":""},{"dropping-particle":"","family":"Han","given":"Zehan","non-dropping-particle":"","parse-names":false,"suffix":""},{"dropping-particle":"","family":"Lu","given":"Tieyuan","non-dropping-particle":"","parse-names":false,"suffix":""},{"dropping-particle":"","family":"Zhu","given":"Yushan","non-dropping-particle":"","parse-names":false,"suffix":""},{"dropping-particle":"","family":"Chen","given":"Quan","non-dropping-particle":"","parse-names":false,"suffix":""}],"container-title":"Protein and Cell","id":"ITEM-1","issue":"2","issued":{"date-parts":[["2016"]]},"page":"114-129","publisher":"Higher Education Press","title":"Parkin promotes proteasomal degradation of p62: implication of selective vulnerability of neuronal cells in the pathogenesis of Parkinson’s disease","type":"article-journal","volume":"7"},"uris":["http://www.mendeley.com/documents/?uuid=e3cd6769-71bf-48e2-a618-2f7419238e5a"]}],"mendeley":{"formattedCitation":"(Song et al., 2016)","plainTextFormattedCitation":"(Song et al., 2016)","previouslyFormattedCitation":"(Song et al., 2016)"},"properties":{"noteIndex":0},"schema":"https://github.com/citation-style-language/schema/raw/master/csl-citation.json"}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(Song et al., 2016)</w:t>
      </w:r>
      <w:r w:rsidR="00844011" w:rsidRPr="00CB1C44">
        <w:rPr>
          <w:rFonts w:ascii="Arial" w:hAnsi="Arial" w:cs="Arial"/>
          <w:lang w:val="en-US"/>
        </w:rPr>
        <w:fldChar w:fldCharType="end"/>
      </w:r>
      <w:r w:rsidR="00017328" w:rsidRPr="00CB1C44">
        <w:rPr>
          <w:rFonts w:ascii="Arial" w:hAnsi="Arial" w:cs="Arial"/>
          <w:lang w:val="en-US"/>
        </w:rPr>
        <w:t xml:space="preserve">. However, in PD cases associated with mutations in </w:t>
      </w:r>
      <w:r w:rsidR="00017328" w:rsidRPr="00CB1C44">
        <w:rPr>
          <w:rFonts w:ascii="Arial" w:hAnsi="Arial" w:cs="Arial"/>
          <w:i/>
          <w:lang w:val="en-US"/>
        </w:rPr>
        <w:t>parkin</w:t>
      </w:r>
      <w:r w:rsidR="00017328" w:rsidRPr="00CB1C44">
        <w:rPr>
          <w:rFonts w:ascii="Arial" w:hAnsi="Arial" w:cs="Arial"/>
          <w:lang w:val="en-US"/>
        </w:rPr>
        <w:t xml:space="preserve"> gene </w:t>
      </w:r>
      <w:r w:rsidR="00A13C6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{"citationItems":[{"id":"ITEM-1","itemData":{"DOI":"10.1093/hmg/ddp012","ISBN":"1460-2083 (Electronic)\\r0964-6906 (Linking)","ISSN":"09646906","PMID":"19297401","abstract":"Research in Parkinson's disease (PD) genetics has been extremely prolific over the past decade. More than 13 loci and 9 genes have been identified, but their implication in PD is not always certain. Point mutations, duplications and triplications in the alpha-synuclein (SNCA) gene cause a rare dominant form of PD in familial and sporadic cases. Mutations in the leucine-rich repeat kinase 2 (LRRK2) gene are a more frequent cause of autosomal dominant PD, particularly in certain ethnic groups. Loss-of-function mutations in Parkin, PINK1, DJ-1 and ATP13A2 cause autosomal recessive parkinsonism with early-onset. Identification of other Mendelian forms of PD will be a main challenge for the next decade. In addition, susceptibility variants that contribute to PD have been identified in several populations, such as polymorphisms in the SNCA, LRRK2 genes and heterozygous mutations in the beta-glucocerebrosidase (GBA) gene. Genome-wide associations and re-sequencing projects, together with gene-environment interaction studies, are expected to further define the causal role of genetic determinants in the pathogenesis of PD, and improve prevention and treatment.","author":[{"dropping-particle":"","family":"Lesage","given":"Suzanne","non-dropping-particle":"","parse-names":false,"suffix":""},{"dropping-particle":"","family":"Brice","given":"Alexis","non-dropping-particle":"","parse-names":false,"suffix":""}],"container-title":"Human Molecular Genetics","id":"ITEM-1","issue":"R1","issued":{"date-parts":[["2009"]]},"title":"Parkinson's disease: From monogenic forms to genetic susceptibility factors","type":"article","volume":"18"},"uris":["http://www.mendeley.com/documents/?uuid=e98e8622-45ec-499c-adee-0633cfae3bd6"]}],"mendeley":{"formattedCitation":"(Lesage and Brice, 2009)","plainTextFormattedCitation":"(Lesage and Brice, 2009)","previouslyFormattedCitation":"(Lesage and Brice, 2009)"},"properties":{"noteIndex":0},"schema":"https://github.com/citation-style-language/schema/raw/master/csl-citation.json"}</w:instrText>
      </w:r>
      <w:r w:rsidR="00A13C60" w:rsidRPr="00CB1C44">
        <w:rPr>
          <w:rFonts w:ascii="Arial" w:hAnsi="Arial" w:cs="Arial"/>
          <w:lang w:val="en-US"/>
        </w:rPr>
        <w:fldChar w:fldCharType="separate"/>
      </w:r>
      <w:r w:rsidR="00DD645C" w:rsidRPr="00CB1C44">
        <w:rPr>
          <w:rFonts w:ascii="Arial" w:hAnsi="Arial" w:cs="Arial"/>
          <w:noProof/>
          <w:lang w:val="en-US"/>
        </w:rPr>
        <w:t>(Lesage and Brice, 2009)</w:t>
      </w:r>
      <w:r w:rsidR="00A13C60" w:rsidRPr="00CB1C44">
        <w:rPr>
          <w:rFonts w:ascii="Arial" w:hAnsi="Arial" w:cs="Arial"/>
          <w:lang w:val="en-US"/>
        </w:rPr>
        <w:fldChar w:fldCharType="end"/>
      </w:r>
      <w:r w:rsidR="00017328" w:rsidRPr="00CB1C44">
        <w:rPr>
          <w:rFonts w:ascii="Arial" w:hAnsi="Arial" w:cs="Arial"/>
          <w:lang w:val="en-US"/>
        </w:rPr>
        <w:t>, changes in parkin function</w:t>
      </w:r>
      <w:r w:rsidR="003A7FFC" w:rsidRPr="00CB1C44">
        <w:rPr>
          <w:rFonts w:ascii="Arial" w:hAnsi="Arial" w:cs="Arial"/>
          <w:noProof/>
          <w:lang w:val="en-US"/>
        </w:rPr>
        <w:t xml:space="preserve"> </w:t>
      </w:r>
      <w:r w:rsidR="00103A22" w:rsidRPr="00CB1C44">
        <w:rPr>
          <w:rFonts w:ascii="Arial" w:hAnsi="Arial" w:cs="Arial"/>
          <w:noProof/>
          <w:lang w:val="en-US"/>
        </w:rPr>
        <w:t xml:space="preserve">lead to </w:t>
      </w:r>
      <w:r w:rsidR="00103A22" w:rsidRPr="00CB1C44">
        <w:rPr>
          <w:rFonts w:ascii="Arial" w:hAnsi="Arial" w:cs="Arial"/>
          <w:lang w:val="en-US"/>
        </w:rPr>
        <w:t>p62 proteasomal degradation</w:t>
      </w:r>
      <w:r w:rsidR="003A7FFC" w:rsidRPr="00CB1C44">
        <w:rPr>
          <w:rFonts w:ascii="Arial" w:hAnsi="Arial" w:cs="Arial"/>
          <w:lang w:val="en-US"/>
        </w:rPr>
        <w:t xml:space="preserve"> </w:t>
      </w:r>
      <w:r w:rsidR="003A7FFC"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{"citationItems":[{"id":"ITEM-1","itemData":{"DOI":"10.1007/s13238-015-0230-9","ISBN":"1323801502","ISSN":"16748018","PMID":"26746706","abstract":"Mutations or inactivation of parkin, an E3 ubiquitin ligase, are associated with familial form or sporadic Parkinson's disease (PD), respectively, which manifested with the selective vulnerability of neuronal cells in substantia nigra (SN) and striatum (STR) regions. However, the underlying molecular mechanism linking parkin with the etiology of PD remains elusive. Here we report that p62, a critical regulator for protein quality control, inclusion body formation, selective autophagy and diverse signaling pathways, is a new substrate of parkin. P62 levels were increased in the SN and STR regions, but not in other brain regions in parkin knockout mice. Parkin directly interacts with and ubiquitinates p62 at the K13 to promote proteasomal degradation of p62 even in the absence of ATG5. Pathogenic mutations, knockdown of parkin or mutation of p62 at K13 prevented the degradation of p62. We further showed that parkin deficiency mice have pronounced loss of tyrosine hydroxylase positive neurons and have worse performance in motor test when treated with 6-hydroxydopamine hydrochloride in aged mice. These results suggest that, in addition to their critical role in regulating autophagy, p62 are subjected to parkin mediated proteasomal degradation and implicate that the dysregulation of parkin/p62 axis may involve in the selective vulnerability of neuronal cells during the onset of PD pathogenesis.","author":[{"dropping-particle":"","family":"Song","given":"Pingping","non-dropping-particle":"","parse-names":false,"suffix":""},{"dropping-particle":"","family":"Li","given":"Shanshan","non-dropping-particle":"","parse-names":false,"suffix":""},{"dropping-particle":"","family":"Wu","given":"Hao","non-dropping-particle":"","parse-names":false,"suffix":""},{"dropping-particle":"","family":"Gao","given":"Ruize","non-dropping-particle":"","parse-names":false,"suffix":""},{"dropping-particle":"","family":"Rao","given":"Guanhua","non-dropping-particle":"","parse-names":false,"suffix":""},{"dropping-particle":"","family":"Wang","given":"Dongmei","non-dropping-particle":"","parse-names":false,"suffix":""},{"dropping-particle":"","family":"Chen","given":"Ziheng","non-dropping-particle":"","parse-names":false,"suffix":""},{"dropping-particle":"","family":"Ma","given":"Biao","non-dropping-particle":"","parse-names":false,"suffix":""},{"dropping-particle":"","family":"Wang","given":"Hongxia","non-dropping-particle":"","parse-names":false,"suffix":""},{"dropping-particle":"","family":"Sui","given":"Nan","non-dropping-particle":"","parse-names":false,"suffix":""},{"dropping-particle":"","family":"Deng","given":"Haiteng","non-dropping-particle":"","parse-names":false,"suffix":""},{"dropping-particle":"","family":"Zhang","given":"Zhuohua","non-dropping-particle":"","parse-names":false,"suffix":""},{"dropping-particle":"","family":"Tang","given":"Tieshan","non-dropping-particle":"","parse-names":false,"suffix":""},{"dropping-particle":"","family":"Tan","given":"Zheng","non-dropping-particle":"","parse-names":false,"suffix":""},{"dropping-particle":"","family":"Han","given":"Zehan","non-dropping-particle":"","parse-names":false,"suffix":""},{"dropping-particle":"","family":"Lu","given":"Tieyuan","non-dropping-particle":"","parse-names":false,"suffix":""},{"dropping-particle":"","family":"Zhu","given":"Yushan","non-dropping-particle":"","parse-names":false,"suffix":""},{"dropping-particle":"","family":"Chen","given":"Quan","non-dropping-particle":"","parse-names":false,"suffix":""}],"container-title":"Protein and Cell","id":"ITEM-1","issue":"2","issued":{"date-parts":[["2016"]]},"page":"114-129","publisher":"Higher Education Press","title":"Parkin promotes proteasomal degradation of p62: implication of selective vulnerability of neuronal cells in the pathogenesis of Parkinson’s disease","type":"article-journal","volume":"7"},"uris":["http://www.mendeley.com/documents/?uuid=e3cd6769-71bf-48e2-a618-2f7419238e5a"]}],"mendeley":{"formattedCitation":"(Song et al., 2016)","plainTextFormattedCitation":"(Song et al., 2016)","previouslyFormattedCitation":"(Song et al., 2016)"},"properties":{"noteIndex":0},"schema":"https://github.com/citation-style-language/schema/raw/master/csl-citation.json"}</w:instrText>
      </w:r>
      <w:r w:rsidR="003A7FFC" w:rsidRPr="00CB1C44">
        <w:rPr>
          <w:rFonts w:ascii="Arial" w:hAnsi="Arial" w:cs="Arial"/>
          <w:lang w:val="en-US"/>
        </w:rPr>
        <w:fldChar w:fldCharType="separate"/>
      </w:r>
      <w:r w:rsidR="00DD645C" w:rsidRPr="00CB1C44">
        <w:rPr>
          <w:rFonts w:ascii="Arial" w:hAnsi="Arial" w:cs="Arial"/>
          <w:noProof/>
          <w:lang w:val="en-US"/>
        </w:rPr>
        <w:t>(Song et al., 2016)</w:t>
      </w:r>
      <w:r w:rsidR="003A7FFC" w:rsidRPr="00CB1C44">
        <w:rPr>
          <w:rFonts w:ascii="Arial" w:hAnsi="Arial" w:cs="Arial"/>
          <w:lang w:val="en-US"/>
        </w:rPr>
        <w:fldChar w:fldCharType="end"/>
      </w:r>
      <w:r w:rsidR="00103A22" w:rsidRPr="00CB1C44">
        <w:rPr>
          <w:rFonts w:ascii="Arial" w:hAnsi="Arial" w:cs="Arial"/>
          <w:noProof/>
          <w:lang w:val="en-US"/>
        </w:rPr>
        <w:t xml:space="preserve">, </w:t>
      </w:r>
      <w:r w:rsidR="00017328" w:rsidRPr="00CB1C44">
        <w:rPr>
          <w:rFonts w:ascii="Arial" w:hAnsi="Arial" w:cs="Arial"/>
          <w:noProof/>
          <w:lang w:val="en-US"/>
        </w:rPr>
        <w:t xml:space="preserve">which may be </w:t>
      </w:r>
      <w:r w:rsidR="00103A22" w:rsidRPr="00CB1C44">
        <w:rPr>
          <w:rFonts w:ascii="Arial" w:hAnsi="Arial" w:cs="Arial"/>
          <w:lang w:val="en-US"/>
        </w:rPr>
        <w:t>involved in the selective vulnerability verified in PD</w:t>
      </w:r>
      <w:r w:rsidR="00B91D6D" w:rsidRPr="00CB1C44">
        <w:rPr>
          <w:rFonts w:ascii="Arial" w:hAnsi="Arial" w:cs="Arial"/>
          <w:lang w:val="en-US"/>
        </w:rPr>
        <w:t>-affected</w:t>
      </w:r>
      <w:r w:rsidR="00103A22" w:rsidRPr="00CB1C44">
        <w:rPr>
          <w:rFonts w:ascii="Arial" w:hAnsi="Arial" w:cs="Arial"/>
          <w:lang w:val="en-US"/>
        </w:rPr>
        <w:t xml:space="preserve"> neurons</w:t>
      </w:r>
      <w:r w:rsidR="00E5348A" w:rsidRPr="00CB1C44">
        <w:rPr>
          <w:rFonts w:ascii="Arial" w:hAnsi="Arial" w:cs="Arial"/>
          <w:lang w:val="en-US"/>
        </w:rPr>
        <w:t xml:space="preserve">. </w:t>
      </w:r>
      <w:r w:rsidR="00017328" w:rsidRPr="00CB1C44">
        <w:rPr>
          <w:rFonts w:ascii="Arial" w:hAnsi="Arial" w:cs="Arial"/>
          <w:lang w:val="en-US"/>
        </w:rPr>
        <w:t xml:space="preserve">Thus, </w:t>
      </w:r>
      <w:r w:rsidR="00E2034C" w:rsidRPr="00CB1C44">
        <w:rPr>
          <w:rFonts w:ascii="Arial" w:hAnsi="Arial" w:cs="Arial"/>
          <w:lang w:val="en-US"/>
        </w:rPr>
        <w:t>augmented</w:t>
      </w:r>
      <w:r w:rsidR="00275831" w:rsidRPr="00CB1C44">
        <w:rPr>
          <w:rFonts w:ascii="Arial" w:hAnsi="Arial" w:cs="Arial"/>
          <w:lang w:val="en-US"/>
        </w:rPr>
        <w:t xml:space="preserve"> p62 expression or activity, which theoretically </w:t>
      </w:r>
      <w:r w:rsidR="00B91D6D" w:rsidRPr="00CB1C44">
        <w:rPr>
          <w:rFonts w:ascii="Arial" w:hAnsi="Arial" w:cs="Arial"/>
          <w:lang w:val="en-US"/>
        </w:rPr>
        <w:t>might</w:t>
      </w:r>
      <w:r w:rsidR="00275831" w:rsidRPr="00CB1C44">
        <w:rPr>
          <w:rFonts w:ascii="Arial" w:hAnsi="Arial" w:cs="Arial"/>
          <w:lang w:val="en-US"/>
        </w:rPr>
        <w:t xml:space="preserve"> result in enhanced Nrf2 target genes expression, </w:t>
      </w:r>
      <w:r w:rsidR="0039184F" w:rsidRPr="00CB1C44">
        <w:rPr>
          <w:rFonts w:ascii="Arial" w:hAnsi="Arial" w:cs="Arial"/>
          <w:lang w:val="en-US"/>
        </w:rPr>
        <w:t xml:space="preserve">may </w:t>
      </w:r>
      <w:r w:rsidR="00275831" w:rsidRPr="00CB1C44">
        <w:rPr>
          <w:rFonts w:ascii="Arial" w:hAnsi="Arial" w:cs="Arial"/>
          <w:lang w:val="en-US"/>
        </w:rPr>
        <w:t xml:space="preserve">be </w:t>
      </w:r>
      <w:r w:rsidR="0039184F" w:rsidRPr="00CB1C44">
        <w:rPr>
          <w:rFonts w:ascii="Arial" w:hAnsi="Arial" w:cs="Arial"/>
          <w:lang w:val="en-US"/>
        </w:rPr>
        <w:t>a potential t</w:t>
      </w:r>
      <w:r w:rsidR="00221A25" w:rsidRPr="00CB1C44">
        <w:rPr>
          <w:rFonts w:ascii="Arial" w:hAnsi="Arial" w:cs="Arial"/>
          <w:lang w:val="en-US"/>
        </w:rPr>
        <w:t>arget</w:t>
      </w:r>
      <w:r w:rsidR="0039184F" w:rsidRPr="00CB1C44">
        <w:rPr>
          <w:rFonts w:ascii="Arial" w:hAnsi="Arial" w:cs="Arial"/>
          <w:lang w:val="en-US"/>
        </w:rPr>
        <w:t xml:space="preserve"> </w:t>
      </w:r>
      <w:r w:rsidR="00275831" w:rsidRPr="00CB1C44">
        <w:rPr>
          <w:rFonts w:ascii="Arial" w:hAnsi="Arial" w:cs="Arial"/>
          <w:lang w:val="en-US"/>
        </w:rPr>
        <w:t>for PD treatment</w:t>
      </w:r>
      <w:r w:rsidR="001E5B97" w:rsidRPr="00CB1C44">
        <w:rPr>
          <w:rFonts w:ascii="Arial" w:hAnsi="Arial" w:cs="Arial"/>
          <w:lang w:val="en-US"/>
        </w:rPr>
        <w:t xml:space="preserve"> (Figure 5)</w:t>
      </w:r>
      <w:r w:rsidR="00275831" w:rsidRPr="00CB1C44">
        <w:rPr>
          <w:rFonts w:ascii="Arial" w:hAnsi="Arial" w:cs="Arial"/>
          <w:lang w:val="en-US"/>
        </w:rPr>
        <w:t xml:space="preserve">. </w:t>
      </w:r>
      <w:r w:rsidR="00952B44" w:rsidRPr="00CB1C44">
        <w:rPr>
          <w:rFonts w:ascii="Arial" w:hAnsi="Arial" w:cs="Arial"/>
          <w:lang w:val="en-US"/>
        </w:rPr>
        <w:t>Nevertheless</w:t>
      </w:r>
      <w:r w:rsidR="00275831" w:rsidRPr="00CB1C44">
        <w:rPr>
          <w:rFonts w:ascii="Arial" w:hAnsi="Arial" w:cs="Arial"/>
          <w:lang w:val="en-US"/>
        </w:rPr>
        <w:t xml:space="preserve">, </w:t>
      </w:r>
      <w:r w:rsidR="00952B44" w:rsidRPr="00CB1C44">
        <w:rPr>
          <w:rFonts w:ascii="Arial" w:hAnsi="Arial" w:cs="Arial"/>
          <w:lang w:val="en-US"/>
        </w:rPr>
        <w:t xml:space="preserve">up to now, there </w:t>
      </w:r>
      <w:r w:rsidR="00B91D6D" w:rsidRPr="00CB1C44">
        <w:rPr>
          <w:rFonts w:ascii="Arial" w:hAnsi="Arial" w:cs="Arial"/>
          <w:lang w:val="en-US"/>
        </w:rPr>
        <w:t>are</w:t>
      </w:r>
      <w:r w:rsidR="00952B44" w:rsidRPr="00CB1C44">
        <w:rPr>
          <w:rFonts w:ascii="Arial" w:hAnsi="Arial" w:cs="Arial"/>
          <w:lang w:val="en-US"/>
        </w:rPr>
        <w:t xml:space="preserve"> no studies regarding the use of p62 modulators and their effect on Nrf2 signaling in PD. </w:t>
      </w:r>
    </w:p>
    <w:p w14:paraId="7F57A021" w14:textId="23179C85" w:rsidR="009B68AF" w:rsidRPr="00CB1C44" w:rsidRDefault="00B64A14" w:rsidP="0070298B">
      <w:pPr>
        <w:spacing w:after="0" w:line="360" w:lineRule="auto"/>
        <w:jc w:val="both"/>
        <w:rPr>
          <w:rFonts w:ascii="Arial" w:hAnsi="Arial" w:cs="Arial"/>
          <w:lang w:val="en-US"/>
        </w:rPr>
      </w:pPr>
      <w:r w:rsidRPr="00CB1C44">
        <w:rPr>
          <w:rFonts w:ascii="Arial" w:hAnsi="Arial" w:cs="Arial"/>
          <w:lang w:val="en-US"/>
        </w:rPr>
        <w:t>GSK-3β kinase can negatively modulate Nrf2</w:t>
      </w:r>
      <w:r w:rsidR="00B91D6D" w:rsidRPr="00CB1C44">
        <w:rPr>
          <w:rFonts w:ascii="Arial" w:hAnsi="Arial" w:cs="Arial"/>
          <w:lang w:val="en-US"/>
        </w:rPr>
        <w:t>,</w:t>
      </w:r>
      <w:r w:rsidRPr="00CB1C44">
        <w:rPr>
          <w:rFonts w:ascii="Arial" w:hAnsi="Arial" w:cs="Arial"/>
          <w:lang w:val="en-US"/>
        </w:rPr>
        <w:t xml:space="preserve"> resulting in decreased Nrf2 activity</w:t>
      </w:r>
      <w:r w:rsidR="00B406E1" w:rsidRPr="00CB1C44">
        <w:rPr>
          <w:rFonts w:ascii="Arial" w:hAnsi="Arial" w:cs="Arial"/>
          <w:lang w:val="en-US"/>
        </w:rPr>
        <w:t xml:space="preserve"> through enhanced degradation</w:t>
      </w:r>
      <w:r w:rsidR="001E5B97" w:rsidRPr="00CB1C44">
        <w:rPr>
          <w:rFonts w:ascii="Arial" w:hAnsi="Arial" w:cs="Arial"/>
          <w:lang w:val="en-US"/>
        </w:rPr>
        <w:t xml:space="preserve"> (Figure 5)</w:t>
      </w:r>
      <w:r w:rsidR="00B406E1" w:rsidRPr="00CB1C44">
        <w:rPr>
          <w:rFonts w:ascii="Arial" w:hAnsi="Arial" w:cs="Arial"/>
          <w:lang w:val="en-US"/>
        </w:rPr>
        <w:t>. Moreover, there are evidences of</w:t>
      </w:r>
      <w:r w:rsidRPr="00CB1C44">
        <w:rPr>
          <w:rFonts w:ascii="Arial" w:hAnsi="Arial" w:cs="Arial"/>
          <w:lang w:val="en-US"/>
        </w:rPr>
        <w:t xml:space="preserve"> altered GSK-3β activation in PD. In fact, </w:t>
      </w:r>
      <w:r w:rsidR="00D61611" w:rsidRPr="00CB1C44">
        <w:rPr>
          <w:rFonts w:ascii="Arial" w:hAnsi="Arial" w:cs="Arial"/>
          <w:lang w:val="en-US"/>
        </w:rPr>
        <w:t xml:space="preserve">both in the midbrain and upper pons </w:t>
      </w:r>
      <w:r w:rsidR="00D616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{"citationItems":[{"id":"ITEM-1","itemData":{"DOI":"10.1016/j.neulet.2008.10.104","ISSN":"03043940","PMID":"19007860","abstract":"We immunohistochemically examined the expression of glycogen synthase kinase-3beta (GSK-3beta) in the brains of Parkinson's disease (PD) patients. GSK-3beta was localized in punctate structures in the cytosol of subsets of neurons in the midbrain and upper pons. GSK-3beta was also localized in Lewy bodies (LBs) as was phosphorylated GSK-3beta (Ser9) (pGSK-3beta (Ser9)). Both GSK-3beta and pGSK-3beta (Ser9) were localized specifically in the halo of LBs. The core of LBs was negative for GSK-3beta, while pGSK-3beta (Ser9) was present in only a small number of LB cores. Cortical LBs were positive for pGSK-3beta (Ser9) but not for GSK-3beta. Neither GSK-3beta nor pGSK-3beta (Ser9) was present in glial cytoplasmic inclusions (GCIs) in the brains of multiple system atrophy (MSA) patients. Our results suggest that GSK-3beta plays a role in the pathogenesis of PD but not in that of MSA. Crown Copyright ?? 2008.","author":[{"dropping-particle":"","family":"Nagao","given":"Masahiro","non-dropping-particle":"","parse-names":false,"suffix":""},{"dropping-particle":"","family":"Hayashi","given":"Hideaki","non-dropping-particle":"","parse-names":false,"suffix":""}],"container-title":"Neuroscience Letters","id":"ITEM-1","issue":"2","issued":{"date-parts":[["2009"]]},"page":"103-107","title":"Glycogen synthase kinase-3beta is associated with Parkinson's disease","type":"article-journal","volume":"449"},"uris":["http://www.mendeley.com/documents/?uuid=6d101ff2-7b9c-4121-90fa-6a62b5a39386"]}],"mendeley":{"formattedCitation":"(Nagao and Hayashi, 2009)","plainTextFormattedCitation":"(Nagao and Hayashi, 2009)","previouslyFormattedCitation":"(Nagao and Hayashi, 2009)"},"properties":{"noteIndex":0},"schema":"https://github.com/citation-style-language/schema/raw/master/csl-citation.json"}</w:instrText>
      </w:r>
      <w:r w:rsidR="00D61611" w:rsidRPr="00CB1C44">
        <w:rPr>
          <w:rFonts w:ascii="Arial" w:hAnsi="Arial" w:cs="Arial"/>
          <w:lang w:val="en-US"/>
        </w:rPr>
        <w:fldChar w:fldCharType="separate"/>
      </w:r>
      <w:r w:rsidR="00DD645C" w:rsidRPr="00CB1C44">
        <w:rPr>
          <w:rFonts w:ascii="Arial" w:hAnsi="Arial" w:cs="Arial"/>
          <w:noProof/>
          <w:lang w:val="en-US"/>
        </w:rPr>
        <w:t>(Nagao and Hayashi, 2009)</w:t>
      </w:r>
      <w:r w:rsidR="00D61611" w:rsidRPr="00CB1C44">
        <w:rPr>
          <w:rFonts w:ascii="Arial" w:hAnsi="Arial" w:cs="Arial"/>
          <w:lang w:val="en-US"/>
        </w:rPr>
        <w:fldChar w:fldCharType="end"/>
      </w:r>
      <w:r w:rsidR="00D61611" w:rsidRPr="00CB1C44">
        <w:rPr>
          <w:rFonts w:ascii="Arial" w:hAnsi="Arial" w:cs="Arial"/>
          <w:lang w:val="en-US"/>
        </w:rPr>
        <w:t xml:space="preserve">, as well as in </w:t>
      </w:r>
      <w:proofErr w:type="spellStart"/>
      <w:r w:rsidR="00D61611" w:rsidRPr="00CB1C44">
        <w:rPr>
          <w:rFonts w:ascii="Arial" w:hAnsi="Arial" w:cs="Arial"/>
          <w:lang w:val="en-US"/>
        </w:rPr>
        <w:t>striata</w:t>
      </w:r>
      <w:proofErr w:type="spellEnd"/>
      <w:r w:rsidR="00D61611" w:rsidRPr="00CB1C44">
        <w:rPr>
          <w:rFonts w:ascii="Arial" w:hAnsi="Arial" w:cs="Arial"/>
          <w:lang w:val="en-US"/>
        </w:rPr>
        <w:t xml:space="preserve"> and inferior frontal gyri </w:t>
      </w:r>
      <w:r w:rsidR="00D616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{"citationItems":[{"id":"ITEM-1","itemData":{"DOI":"10.1016/j.expneurol.2010.06.017","ISBN":"1090-2430 (Electronic)\\n0014-4886 (Linking)","ISSN":"00144886","PMID":"20599975","abstract":"Parkinson's disease (PD), a progressive neurodegenerative disease, results in abnormal accumulation of insoluble alpha-synuclein (??-Syn) in dopaminergic neurons. Here we examined tauopathic changes and the ??-Syn/p-GSK-3??/proteasome pathway in postmortem striata and inferior frontal gyri (IFG) from patients with PD and PD with dementia (PDD). In both PD and PDD, ??-Syn levels were high, especially the insoluble form of this protein; in PDD, insoluble ??-Syn levels were persistently higher than PD across both brain regions. Levels of p-GSK-3?? phosphorylated at Tyr 216, which hyperphosphorylates Tau to produce toxic pathological forms of p-Tau, were higher in striata of both PD and PDD compared to controls, but were unaltered in IFG. While proteasomal activity was unchanged in striatum of PD and PDD, such activity was diminished in the IFG of both PD and PDD. A decrease in 19S subunit of the proteasomes was seen in IFG of PDD, while lower levels of 20S subunits were seen in striatum and IFG of both PD and PDD patients. Parkin levels were similar in PD and PDD, suggesting lack of involvement of this protein. Most interestingly, tauopathic changes were noted only in striatum of PD and PDD, with increased hyperphosphorylation seen at Ser262 and Ser396/404; increases in Ser202 levels were seen only in PD but not in PDD striatum. We were unable to detect any tauopathy in IFG in either PD or PDD despite increased levels of ??-Syn, and decreased proteasomal activity, and is probably due to lack of increase in p-GSK-3?? in IFG. Unlike Alzheimer's disease where tauopathy is more globally observed in diverse brain regions, our data demonstrates restricted expression of tauopathy in brains of PD and PDD, probably limited to dopaminergic neurons of the nigrostriatal region. ?? 2010 Elsevier Inc.","author":[{"dropping-particle":"","family":"Wills","given":"Jonathan","non-dropping-particle":"","parse-names":false,"suffix":""},{"dropping-particle":"","family":"Jones","given":"Jessica","non-dropping-particle":"","parse-names":false,"suffix":""},{"dropping-particle":"","family":"Haggerty","given":"Thomas","non-dropping-particle":"","parse-names":false,"suffix":""},{"dropping-particle":"","family":"Duka","given":"Valeriy","non-dropping-particle":"","parse-names":false,"suffix":""},{"dropping-particle":"","family":"Joyce","given":"Jeffrey N.","non-dropping-particle":"","parse-names":false,"suffix":""},{"dropping-particle":"","family":"Sidhu","given":"Anita","non-dropping-particle":"","parse-names":false,"suffix":""}],"container-title":"Experimental Neurology","id":"ITEM-1","issue":"1","issued":{"date-parts":[["2010"]]},"page":"210-218","title":"Elevated tauopathy and alpha-synuclein pathology in postmortem Parkinson's disease brains with and without dementia","type":"article-journal","volume":"225"},"uris":["http://www.mendeley.com/documents/?uuid=422b5ad7-8910-4e1f-8050-36fc102fa6a6"]}],"mendeley":{"formattedCitation":"(Wills et al., 2010)","plainTextFormattedCitation":"(Wills et al., 2010)","previouslyFormattedCitation":"(Wills et al., 2010)"},"properties":{"noteIndex":0},"schema":"https://github.com/citation-style-language/schema/raw/master/csl-citation.json"}</w:instrText>
      </w:r>
      <w:r w:rsidR="00D61611" w:rsidRPr="00CB1C44">
        <w:rPr>
          <w:rFonts w:ascii="Arial" w:hAnsi="Arial" w:cs="Arial"/>
          <w:lang w:val="en-US"/>
        </w:rPr>
        <w:fldChar w:fldCharType="separate"/>
      </w:r>
      <w:r w:rsidR="00DD645C" w:rsidRPr="00CB1C44">
        <w:rPr>
          <w:rFonts w:ascii="Arial" w:hAnsi="Arial" w:cs="Arial"/>
          <w:noProof/>
          <w:lang w:val="en-US"/>
        </w:rPr>
        <w:t>(Wills et al., 2010)</w:t>
      </w:r>
      <w:r w:rsidR="00D61611" w:rsidRPr="00CB1C44">
        <w:rPr>
          <w:rFonts w:ascii="Arial" w:hAnsi="Arial" w:cs="Arial"/>
          <w:lang w:val="en-US"/>
        </w:rPr>
        <w:fldChar w:fldCharType="end"/>
      </w:r>
      <w:r w:rsidR="00FA5A75" w:rsidRPr="00CB1C44">
        <w:rPr>
          <w:rFonts w:ascii="Arial" w:hAnsi="Arial" w:cs="Arial"/>
          <w:lang w:val="en-US"/>
        </w:rPr>
        <w:t xml:space="preserve"> from </w:t>
      </w:r>
      <w:r w:rsidR="00D61611" w:rsidRPr="00CB1C44">
        <w:rPr>
          <w:rFonts w:ascii="Arial" w:hAnsi="Arial" w:cs="Arial"/>
          <w:lang w:val="en-US"/>
        </w:rPr>
        <w:t>PD</w:t>
      </w:r>
      <w:r w:rsidR="00FA5A75" w:rsidRPr="00CB1C44">
        <w:rPr>
          <w:rFonts w:ascii="Arial" w:hAnsi="Arial" w:cs="Arial"/>
          <w:lang w:val="en-US"/>
        </w:rPr>
        <w:t xml:space="preserve"> human</w:t>
      </w:r>
      <w:r w:rsidR="00D61611" w:rsidRPr="00CB1C44">
        <w:rPr>
          <w:rFonts w:ascii="Arial" w:hAnsi="Arial" w:cs="Arial"/>
          <w:lang w:val="en-US"/>
        </w:rPr>
        <w:t xml:space="preserve"> brains, cytosolic GSK-3β levels were increase</w:t>
      </w:r>
      <w:r w:rsidR="0003127C" w:rsidRPr="00CB1C44">
        <w:rPr>
          <w:rFonts w:ascii="Arial" w:hAnsi="Arial" w:cs="Arial"/>
          <w:lang w:val="en-US"/>
        </w:rPr>
        <w:t>d</w:t>
      </w:r>
      <w:r w:rsidR="00D61611" w:rsidRPr="00CB1C44">
        <w:rPr>
          <w:rFonts w:ascii="Arial" w:hAnsi="Arial" w:cs="Arial"/>
          <w:lang w:val="en-US"/>
        </w:rPr>
        <w:t xml:space="preserve"> and co-localized with α-Syn in Lewy bodies. Concordantly, </w:t>
      </w:r>
      <w:r w:rsidRPr="00CB1C44">
        <w:rPr>
          <w:rFonts w:ascii="Arial" w:hAnsi="Arial" w:cs="Arial"/>
          <w:lang w:val="en-US"/>
        </w:rPr>
        <w:t xml:space="preserve">transgenic mice overexpressing α-Syn presented enhanced GSK-3β activation, which suggest a role of α-Syn accumulation in GSK-3β upregulation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{"citationItems":[{"id":"ITEM-1","itemData":{"DOI":"10.1096/fj.08-120410","ISSN":"1530-6860","PMID":"19369384","abstract":"We have shown in the parkinsonism-inducing neurotoxin MPP(+)/MPTP model that alpha-Synuclein (alpha-Syn), a presynaptic protein causal in Parkinson's disease (PD), contributes to hyperphosphorylation of Tau (p-Tau), a protein normally linked to tauopathies, such as Alzheimer's disease (AD). Here, we investigated the kinase involved and show that the Tau-specific kinase, glycogen synthase kinase 3beta (GSK-3beta), is robustly activated in various MPP(+)/MPTP models of Parkinsonism (SH-SY5Y cotransfected cells, mesencephalic neurons, transgenic mice overexpressing alpha-Syn, and postmortem striatum of PD patients). The activation of GSK-3beta was absolutely dependent on the presence of alpha-Syn, as indexed by the absence of p-GSK-3beta in cells lacking alpha-Syn and in alpha-Syn KO mice. MPP(+) treatment induced translocation and accumulation of p-GSK-3beta in nuclei of SH-SY5Y cells and mesencephalic neurons. Through coimmunoprecipitation (co-IP), we found that alpha-Syn, pSer396/404-Tau, and p-GSK-3beta exist as a heterotrimeric complex in SH-SY5Y cells. GSK-3beta inhibitors (lithium and TDZD-8) protected against MPP(+)-induced events in SH-SY5Y cells, preventing cell death and p-GSK-3beta formation, by reversing increases in alpha-Syn accumulation and p-Tau formation. These data unveil a previously unappreciated role of alpha-Syn in the induction of p-GSK-3beta, and demonstrate the importance of this kinase in the genesis and maintenance of neurodegenerative changes associated with PD.","author":[{"dropping-particle":"","family":"Duka","given":"Tetyana","non-dropping-particle":"","parse-names":false,"suffix":""},{"dropping-particle":"","family":"Duka","given":"Valeriy","non-dropping-particle":"","parse-names":false,"suffix":""},{"dropping-particle":"","family":"Joyce","given":"Jeffrey N.","non-dropping-particle":"","parse-names":false,"suffix":""},{"dropping-particle":"","family":"Sidhu","given":"Anita","non-dropping-particle":"","parse-names":false,"suffix":""}],"container-title":"FASEB journal : official publication of the Federation of American Societies for Experimental Biology","id":"ITEM-1","issue":"9","issued":{"date-parts":[["2009","9","1"]]},"page":"2820-30","title":"Alpha-Synuclein contributes to GSK-3beta-catalyzed Tau phosphorylation in Parkinson's disease models.","type":"article-journal","volume":"23"},"uris":["http://www.mendeley.com/documents/?uuid=014c959e-bf81-4d1e-8033-6862e7d22c4e"]}],"mendeley":{"formattedCitation":"(Duka et al., 2009)","plainTextFormattedCitation":"(Duka et al., 2009)","previouslyFormattedCitation":"(Duka et al., 2009)"},"properties":{"noteIndex":0},"schema":"https://github.com/citation-style-language/schema/raw/master/csl-citation.json"}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(Duka et al., 2009)</w:t>
      </w:r>
      <w:r w:rsidRPr="00CB1C44">
        <w:rPr>
          <w:rFonts w:ascii="Arial" w:hAnsi="Arial" w:cs="Arial"/>
          <w:lang w:val="en-US"/>
        </w:rPr>
        <w:fldChar w:fldCharType="end"/>
      </w:r>
      <w:r w:rsidRPr="00CB1C44">
        <w:rPr>
          <w:rFonts w:ascii="Arial" w:hAnsi="Arial" w:cs="Arial"/>
          <w:lang w:val="en-US"/>
        </w:rPr>
        <w:t>. Furthermore, in the 6-OHDA rat model, a single striatal injection of 6-OHDA le</w:t>
      </w:r>
      <w:r w:rsidR="00B91D6D" w:rsidRPr="00CB1C44">
        <w:rPr>
          <w:rFonts w:ascii="Arial" w:hAnsi="Arial" w:cs="Arial"/>
          <w:lang w:val="en-US"/>
        </w:rPr>
        <w:t>d</w:t>
      </w:r>
      <w:r w:rsidRPr="00CB1C44">
        <w:rPr>
          <w:rFonts w:ascii="Arial" w:hAnsi="Arial" w:cs="Arial"/>
          <w:lang w:val="en-US"/>
        </w:rPr>
        <w:t xml:space="preserve"> to increased GSK-3β activation in </w:t>
      </w:r>
      <w:r w:rsidR="00B91D6D" w:rsidRPr="00CB1C44">
        <w:rPr>
          <w:rFonts w:ascii="Arial" w:hAnsi="Arial" w:cs="Arial"/>
          <w:lang w:val="en-US"/>
        </w:rPr>
        <w:t xml:space="preserve">the </w:t>
      </w:r>
      <w:r w:rsidR="00B91D6D" w:rsidRPr="00CB1C44">
        <w:rPr>
          <w:rFonts w:ascii="Arial" w:hAnsi="Arial" w:cs="Arial"/>
          <w:i/>
          <w:lang w:val="en-US"/>
        </w:rPr>
        <w:t>s</w:t>
      </w:r>
      <w:r w:rsidRPr="00CB1C44">
        <w:rPr>
          <w:rFonts w:ascii="Arial" w:hAnsi="Arial" w:cs="Arial"/>
          <w:i/>
          <w:lang w:val="en-US"/>
        </w:rPr>
        <w:t xml:space="preserve">ubstantia </w:t>
      </w:r>
      <w:proofErr w:type="spellStart"/>
      <w:r w:rsidR="00B91D6D" w:rsidRPr="00CB1C44">
        <w:rPr>
          <w:rFonts w:ascii="Arial" w:hAnsi="Arial" w:cs="Arial"/>
          <w:i/>
          <w:lang w:val="en-US"/>
        </w:rPr>
        <w:t>n</w:t>
      </w:r>
      <w:r w:rsidRPr="00CB1C44">
        <w:rPr>
          <w:rFonts w:ascii="Arial" w:hAnsi="Arial" w:cs="Arial"/>
          <w:i/>
          <w:lang w:val="en-US"/>
        </w:rPr>
        <w:t>igra</w:t>
      </w:r>
      <w:proofErr w:type="spellEnd"/>
      <w:r w:rsidRPr="00CB1C44">
        <w:rPr>
          <w:rFonts w:ascii="Arial" w:hAnsi="Arial" w:cs="Arial"/>
          <w:lang w:val="en-US"/>
        </w:rPr>
        <w:t xml:space="preserve">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{"citationItems":[{"id":"ITEM-1","itemData":{"DOI":"10.1371/journal.pone.0070951","ISSN":"19326203","PMID":"23940672","abstract":"The 6-Hydroxydopamine (6-OHDA) rat model of Parkinson's disease is essential for a better understanding of the pathological processes underlying the human disease and for the evaluation of promising therapeutic interventions. This work evaluated whether a single striatal injection of 6-OHDA causes progressive apoptosis of dopamine (DA) neurons and activation of glycogen synthase kinase 3β (GSK-3β) and caspase-3 in the substantia nigra compacta (SNc). The loss of DA neurons was shown by three neuron markers; tyrosine hydroxylase (TH), NeuN, and β-III tubulin. Apoptosis activation was determined using Apostain and immunostaining against cleaved caspase-3 and GSK-3β pY216. We also explored the possibility that cleaved caspase-3 is produced by microglia and astrocytes. Our results showed that the 6-OHDA caused loss of nigral TH(+) cells, progressing mainly in rostrocaudal and lateromedial directions. In the neostriatum, a severe loss of TH(+) terminals occurred from day 3 after lesion. The disappearance of TH(+) cells was associated with a decrease in NeuN and β-III tubulin immunoreactivity and an increase in Apostain, cleaved caspase-3, and GSK-3β pY216 in the SNc. Apostain immunoreactivity was observed from days 3 to 21 postlesion. Increased levels of caspase-3 immunoreactivity in TH(+) cells were detected from days 1 to 15, and the levels then decreased to day 30 postlesion. The cleaved caspase-3 also collocated with microglia and astrocytes indicating its participation in glial activation. Our results suggest that caspase-3 and GSK-3β pY216 activation might participate in the DA cell death and that the active caspase-3 might also participate in the neuroinflammation caused by the striatal 6-OHDA injection.","author":[{"dropping-particle":"","family":"Hernandez-Baltazar","given":"Daniel","non-dropping-particle":"","parse-names":false,"suffix":""},{"dropping-particle":"","family":"Mendoza-Garrido","given":"Maria E.","non-dropping-particle":"","parse-names":false,"suffix":""},{"dropping-particle":"","family":"Martinez-Fong","given":"Daniel","non-dropping-particle":"","parse-names":false,"suffix":""}],"container-title":"PLoS ONE","id":"ITEM-1","issue":"8","issued":{"date-parts":[["2013"]]},"page":"1-13","title":"Activation of GSK-3β and Caspase-3 Occurs in Nigral Dopamine Neurons during the Development of Apoptosis Activated by a Striatal Injection of 6-Hydroxydopamine","type":"article-journal","volume":"8"},"uris":["http://www.mendeley.com/documents/?uuid=d9dd4080-04bd-45bd-9a6e-965fb5b5efce"]}],"mendeley":{"formattedCitation":"(Hernandez-Baltazar et al., 2013)","plainTextFormattedCitation":"(Hernandez-Baltazar et al., 2013)","previouslyFormattedCitation":"(Hernandez-Baltazar et al., 2013)"},"properties":{"noteIndex":0},"schema":"https://github.com/citation-style-language/schema/raw/master/csl-citation.json"}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(Hernandez-Baltazar et al., 2013)</w:t>
      </w:r>
      <w:r w:rsidRPr="00CB1C44">
        <w:rPr>
          <w:rFonts w:ascii="Arial" w:hAnsi="Arial" w:cs="Arial"/>
          <w:lang w:val="en-US"/>
        </w:rPr>
        <w:fldChar w:fldCharType="end"/>
      </w:r>
      <w:r w:rsidRPr="00CB1C44">
        <w:rPr>
          <w:rFonts w:ascii="Arial" w:hAnsi="Arial" w:cs="Arial"/>
          <w:lang w:val="en-US"/>
        </w:rPr>
        <w:t>.</w:t>
      </w:r>
      <w:r w:rsidR="0003127C" w:rsidRPr="00CB1C44">
        <w:rPr>
          <w:rFonts w:ascii="Arial" w:hAnsi="Arial" w:cs="Arial"/>
          <w:lang w:val="en-US"/>
        </w:rPr>
        <w:t xml:space="preserve"> </w:t>
      </w:r>
      <w:r w:rsidRPr="00CB1C44">
        <w:rPr>
          <w:rFonts w:ascii="Arial" w:hAnsi="Arial" w:cs="Arial"/>
          <w:lang w:val="en-US"/>
        </w:rPr>
        <w:t>GSK-3β inhibitors, such as indirubin-3′-oxime or AR-A014418</w:t>
      </w:r>
      <w:r w:rsidR="007970DC" w:rsidRPr="00CB1C44">
        <w:rPr>
          <w:rFonts w:ascii="Arial" w:hAnsi="Arial" w:cs="Arial"/>
          <w:lang w:val="en-US"/>
        </w:rPr>
        <w:t xml:space="preserve"> (N-(4-</w:t>
      </w:r>
      <w:r w:rsidR="007970DC" w:rsidRPr="00CB1C44">
        <w:rPr>
          <w:rFonts w:ascii="Arial" w:hAnsi="Arial" w:cs="Arial"/>
          <w:lang w:val="en-US"/>
        </w:rPr>
        <w:lastRenderedPageBreak/>
        <w:t>methoxybenzyl)-N'-(5-nitro-1,3-thiazol-2-YL)urea)</w:t>
      </w:r>
      <w:r w:rsidRPr="00CB1C44">
        <w:rPr>
          <w:rFonts w:ascii="Arial" w:hAnsi="Arial" w:cs="Arial"/>
          <w:lang w:val="en-US"/>
        </w:rPr>
        <w:t xml:space="preserve"> in dopaminergic neurons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{"citationItems":[{"id":"ITEM-1","itemData":{"DOI":"10.1016/j.neuropharm.2007.03.017","ISBN":"0028-3908 (Print)\\r0028-3908 (Linking)","ISSN":"00283908","PMID":"17517424","abstract":"Glycogen synthase kinase-3β (GSK-3β) is closely involved in neuronal apoptosis and pathogenesis of many neurodegenerative diseases, such as Alzheimer's disease. However, whether GSK-3β mediates apoptosis of dopaminergic neurons in Parkinson's disease remains elusive. In this study, using 1-methyl-4-phenyl-1,2,3,6-tetrahydropyridine (MPTP)-induced Parkinsonism models, we investigated whether MPTP induces apoptosis of dopaminergic neurons through a GSK-3β-dependent pathway. MPTP caused a rapid activation of GSK-3β, evidenced by the decrease in level of phospho-Ser9 of GSK-3β and the increase in level of phospho-Ser396 of tau, a known GSK-3β substrate. Blockage of GSK-3β activity by its two specific inhibitors, indirubin-3′-oxime and AR-A014418, prevented dopaminergic neurons from MPTP-induced apoptosis. Additionally, inhibition of GSK-3β activity restored the depletion of striatal dopamine and ameliorated behavioral impairments caused by MPTP. These results indicate that GSK-3β is a critical intermediate of MPTP neurotoxicity, and inhibition of GSK-3β may provide a novel strategy to treat Parkinson's disease. © 2007 Elsevier Ltd. All rights reserved.","author":[{"dropping-particle":"","family":"Wang","given":"Wenya","non-dropping-particle":"","parse-names":false,"suffix":""},{"dropping-particle":"","family":"Yang","given":"Yi","non-dropping-particle":"","parse-names":false,"suffix":""},{"dropping-particle":"","family":"Ying","given":"Chunyi","non-dropping-particle":"","parse-names":false,"suffix":""},{"dropping-particle":"","family":"Li","given":"Wenming","non-dropping-particle":"","parse-names":false,"suffix":""},{"dropping-particle":"","family":"Ruan","given":"Haolan","non-dropping-particle":"","parse-names":false,"suffix":""},{"dropping-particle":"","family":"Zhu","given":"Xiaonan","non-dropping-particle":"","parse-names":false,"suffix":""},{"dropping-particle":"","family":"You","given":"Yan","non-dropping-particle":"","parse-names":false,"suffix":""},{"dropping-particle":"","family":"Han","given":"Yifan","non-dropping-particle":"","parse-names":false,"suffix":""},{"dropping-particle":"","family":"Chen","given":"Ruzhu","non-dropping-particle":"","parse-names":false,"suffix":""},{"dropping-particle":"","family":"Wang","given":"Yizheng","non-dropping-particle":"","parse-names":false,"suffix":""},{"dropping-particle":"","family":"Li","given":"Mingtao","non-dropping-particle":"","parse-names":false,"suffix":""}],"container-title":"Neuropharmacology","id":"ITEM-1","issue":"8","issued":{"date-parts":[["2007"]]},"page":"1678-1684","title":"Inhibition of glycogen synthase kinase-3β protects dopaminergic neurons from MPTP toxicity","type":"article-journal","volume":"52"},"uris":["http://www.mendeley.com/documents/?uuid=63d162d4-4ad1-4f9c-b35c-1a0a0564b86f"]}],"mendeley":{"formattedCitation":"(Wang et al., 2007)","plainTextFormattedCitation":"(Wang et al., 2007)","previouslyFormattedCitation":"(Wang et al., 2007)"},"properties":{"noteIndex":0},"schema":"https://github.com/citation-style-language/schema/raw/master/csl-citation.json"}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(Wang et al., 2007)</w:t>
      </w:r>
      <w:r w:rsidRPr="00CB1C44">
        <w:rPr>
          <w:rFonts w:ascii="Arial" w:hAnsi="Arial" w:cs="Arial"/>
          <w:lang w:val="en-US"/>
        </w:rPr>
        <w:fldChar w:fldCharType="end"/>
      </w:r>
      <w:r w:rsidRPr="00CB1C44">
        <w:rPr>
          <w:rFonts w:ascii="Arial" w:hAnsi="Arial" w:cs="Arial"/>
          <w:lang w:val="en-US"/>
        </w:rPr>
        <w:t xml:space="preserve"> and P7C3 in MES23.5 cells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10.1038/cddis.2017.250","ISSN":"2041-4889","author":[{"dropping-particle":"","family":"Gu","given":"Chao","non-dropping-particle":"","parse-names":false,"suffix":""},{"dropping-particle":"","family":"Zhang","given":"Yan","non-dropping-particle":"","parse-names":false,"suffix":""},{"dropping-particle":"","family":"Hu","given":"Qingsong","non-dropping-particle":"","parse-names":false,"suffix":""},{"dropping-particle":"","family":"Wu","given":"Jiayuan","non-dropping-particle":"","parse-names":false,"suffix":""},{"dropping-particle":"","family":"Ren","given":"Haigang","non-dropping-particle":"","parse-names":false,"suffix":""},{"dropping-particle":"","family":"Liu","given":"Chun-Feng","non-dropping-particle":"","parse-names":false,"suffix":""},{"dropping-particle":"","family":"Wang","given":"Guanghui","non-dropping-particle":"","parse-names":false,"suffix":""}],"container-title":"Cell Death and Disease","id":"ITEM-1","issue":"6","issued":{"date-parts":[["2017","6","1"]]},"page":"e2858","publisher":"Nature Publishing Group","title":"P7C3 inhibits GSK3β activation to protect dopaminergic neurons against neurotoxin-induced cell death in vitro and in vivo","type":"article-journal","volume":"8"},"uris":["http://www.mendeley.com/documents/?uuid=45289b3b-cc2c-4c7a-95b1-05048e5a3a57"]}],"mendeley":{"formattedCitation":"(Gu et al., 2017)","plainTextFormattedCitation":"(Gu et al., 2017)","previouslyFormattedCitation":"(Gu et al., 2017)"},"properties":{"noteIndex":0},"schema":"https://github.com/citation-style-language/schema/raw/master/csl-citation.json"}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(Gu et al., 2017)</w:t>
      </w:r>
      <w:r w:rsidRPr="00CB1C44">
        <w:rPr>
          <w:rFonts w:ascii="Arial" w:hAnsi="Arial" w:cs="Arial"/>
          <w:lang w:val="en-US"/>
        </w:rPr>
        <w:fldChar w:fldCharType="end"/>
      </w:r>
      <w:r w:rsidRPr="00CB1C44">
        <w:rPr>
          <w:rFonts w:ascii="Arial" w:hAnsi="Arial" w:cs="Arial"/>
          <w:lang w:val="en-US"/>
        </w:rPr>
        <w:t xml:space="preserve"> </w:t>
      </w:r>
      <w:r w:rsidR="00B406E1" w:rsidRPr="00CB1C44">
        <w:rPr>
          <w:rFonts w:ascii="Arial" w:hAnsi="Arial" w:cs="Arial"/>
          <w:lang w:val="en-US"/>
        </w:rPr>
        <w:t>protected</w:t>
      </w:r>
      <w:r w:rsidRPr="00CB1C44">
        <w:rPr>
          <w:rFonts w:ascii="Arial" w:hAnsi="Arial" w:cs="Arial"/>
          <w:lang w:val="en-US"/>
        </w:rPr>
        <w:t xml:space="preserve"> against MPTP-induced cell death</w:t>
      </w:r>
      <w:r w:rsidR="00B406E1" w:rsidRPr="00CB1C44">
        <w:rPr>
          <w:rFonts w:ascii="Arial" w:hAnsi="Arial" w:cs="Arial"/>
          <w:lang w:val="en-US"/>
        </w:rPr>
        <w:t xml:space="preserve">. </w:t>
      </w:r>
      <w:r w:rsidR="00AA0C75" w:rsidRPr="00CB1C44">
        <w:rPr>
          <w:rFonts w:ascii="Arial" w:hAnsi="Arial" w:cs="Arial"/>
          <w:lang w:val="en-US"/>
        </w:rPr>
        <w:t>Paraquat is</w:t>
      </w:r>
      <w:r w:rsidR="005E3524" w:rsidRPr="00CB1C44">
        <w:rPr>
          <w:rFonts w:ascii="Arial" w:hAnsi="Arial" w:cs="Arial"/>
          <w:lang w:val="en-US"/>
        </w:rPr>
        <w:t xml:space="preserve"> </w:t>
      </w:r>
      <w:r w:rsidR="00C96277" w:rsidRPr="00CB1C44">
        <w:rPr>
          <w:rFonts w:ascii="Arial" w:hAnsi="Arial" w:cs="Arial"/>
          <w:lang w:val="en-US"/>
        </w:rPr>
        <w:t xml:space="preserve">a foliar-applied and non-selective bipyridinium herbicides </w:t>
      </w:r>
      <w:r w:rsidR="00AA0C75" w:rsidRPr="00CB1C44">
        <w:rPr>
          <w:rFonts w:ascii="Arial" w:hAnsi="Arial" w:cs="Arial"/>
          <w:lang w:val="en-US"/>
        </w:rPr>
        <w:t xml:space="preserve">that </w:t>
      </w:r>
      <w:r w:rsidR="00C96277" w:rsidRPr="00CB1C44">
        <w:rPr>
          <w:rFonts w:ascii="Arial" w:hAnsi="Arial" w:cs="Arial"/>
          <w:lang w:val="en-US"/>
        </w:rPr>
        <w:t>has been used to produce experimental models of PD, through ROS production via mitochondria</w:t>
      </w:r>
      <w:r w:rsidR="008E2F6E" w:rsidRPr="00CB1C44">
        <w:rPr>
          <w:rFonts w:ascii="Arial" w:hAnsi="Arial" w:cs="Arial"/>
          <w:lang w:val="en-US"/>
        </w:rPr>
        <w:t xml:space="preserve"> </w:t>
      </w:r>
      <w:r w:rsidR="006E61A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{"citationItems":[{"id":"ITEM-1","itemData":{"DOI":"10.1074/jbc.M700827200","ISBN":"0021-9258 (Print)\\r0021-9258 (Linking)","ISSN":"00219258","PMID":"17389593","abstract":"Paraquat (PQ(2+)) is a prototypic toxin known to exert injurious effects through oxidative stress and bears a structural similarity to the Parkinson disease toxicant, 1-methyl-4-pheynlpyridinium. The cellular sources of PQ(2+)-induced reactive oxygen species (ROS) production, specifically in neuronal tissue, remain to be identified. The goal of this study was to determine the involvement of brain mitochondria in PQ(2+)-induced ROS production. Highly purified rat brain mitochondria were obtained using a Percoll density gradient method. PQ(2+)-induced hydrogen peroxide (H(2)O(2)) production was measured by fluorometric and polarographic methods. The production of H(2)O(2) was evaluated in the presence of inhibitors and modulators of the mitochondrial respiratory chain. The results presented here suggest that in the rat brain, (a) mitochondria are a principal cellular site of PQ(2+)-induced H(2)O(2) production, (b) PQ(2+)-induced H(2)O(2) production requires the presence of respiratory substrates, (c) complex III of the electron transport chain is centrally involved in H(2)O(2) production by PQ(2+), and (d) the mechanism by which PQ(2+) generates H(2)O(2) depends on the mitochondrial inner transmembrane potential. These observations were further confirmed by measuring PQ(2+)-induced H(2)O(2) production in primary neuronal cells derived from the midbrain. These findings shed light on the mechanism through which mitochondria may contribute to ROS production by other environmental and endogenous redox cycling agents implicated in Parkinson's disease.","author":[{"dropping-particle":"","family":"Castello","given":"Pablo R.","non-dropping-particle":"","parse-names":false,"suffix":""},{"dropping-particle":"","family":"Drechsel","given":"Derek A.","non-dropping-particle":"","parse-names":false,"suffix":""},{"dropping-particle":"","family":"Patel","given":"Manisha","non-dropping-particle":"","parse-names":false,"suffix":""}],"container-title":"Journal of Biological Chemistry","id":"ITEM-1","issued":{"date-parts":[["2007"]]},"title":"Mitochondria are a major source of paraquat-induced reactive oxygen species production in the brain","type":"article-journal"},"uris":["http://www.mendeley.com/documents/?uuid=85abb6cd-640c-4ace-9453-211a0501bb55"]}],"mendeley":{"formattedCitation":"(Castello et al., 2007)","plainTextFormattedCitation":"(Castello et al., 2007)","previouslyFormattedCitation":"(Castello et al., 2007)"},"properties":{"noteIndex":0},"schema":"https://github.com/citation-style-language/schema/raw/master/csl-citation.json"}</w:instrText>
      </w:r>
      <w:r w:rsidR="006E61A0" w:rsidRPr="00CB1C44">
        <w:rPr>
          <w:rFonts w:ascii="Arial" w:hAnsi="Arial" w:cs="Arial"/>
          <w:lang w:val="en-US"/>
        </w:rPr>
        <w:fldChar w:fldCharType="separate"/>
      </w:r>
      <w:r w:rsidR="00DD645C" w:rsidRPr="00CB1C44">
        <w:rPr>
          <w:rFonts w:ascii="Arial" w:hAnsi="Arial" w:cs="Arial"/>
          <w:noProof/>
          <w:lang w:val="en-US"/>
        </w:rPr>
        <w:t>(Castello et al., 2007)</w:t>
      </w:r>
      <w:r w:rsidR="006E61A0" w:rsidRPr="00CB1C44">
        <w:rPr>
          <w:rFonts w:ascii="Arial" w:hAnsi="Arial" w:cs="Arial"/>
          <w:lang w:val="en-US"/>
        </w:rPr>
        <w:fldChar w:fldCharType="end"/>
      </w:r>
      <w:r w:rsidR="00C96277" w:rsidRPr="00CB1C44">
        <w:rPr>
          <w:rFonts w:ascii="Arial" w:hAnsi="Arial" w:cs="Arial"/>
          <w:lang w:val="en-US"/>
        </w:rPr>
        <w:t xml:space="preserve">. </w:t>
      </w:r>
      <w:r w:rsidRPr="00CB1C44">
        <w:rPr>
          <w:rFonts w:ascii="Arial" w:hAnsi="Arial" w:cs="Arial"/>
          <w:lang w:val="en-US"/>
        </w:rPr>
        <w:t>Importantly, in SH-SY5Y cells exposed to paraquat</w:t>
      </w:r>
      <w:r w:rsidR="006E61A0" w:rsidRPr="00CB1C44">
        <w:rPr>
          <w:rFonts w:ascii="Arial" w:hAnsi="Arial" w:cs="Arial"/>
          <w:lang w:val="en-US"/>
        </w:rPr>
        <w:t>,</w:t>
      </w:r>
      <w:r w:rsidR="00B406E1" w:rsidRPr="00CB1C44">
        <w:rPr>
          <w:rFonts w:ascii="Arial" w:hAnsi="Arial" w:cs="Arial"/>
          <w:lang w:val="en-US"/>
        </w:rPr>
        <w:t xml:space="preserve"> </w:t>
      </w:r>
      <w:r w:rsidR="006E61A0" w:rsidRPr="00CB1C44">
        <w:rPr>
          <w:rFonts w:ascii="Arial" w:hAnsi="Arial" w:cs="Arial"/>
          <w:lang w:val="en-US"/>
        </w:rPr>
        <w:t>the GSK-3β inhibitor,</w:t>
      </w:r>
      <w:r w:rsidRPr="00CB1C44">
        <w:rPr>
          <w:rFonts w:ascii="Arial" w:hAnsi="Arial" w:cs="Arial"/>
          <w:lang w:val="en-US"/>
        </w:rPr>
        <w:t xml:space="preserve"> lithium</w:t>
      </w:r>
      <w:r w:rsidR="006E61A0" w:rsidRPr="00CB1C44">
        <w:rPr>
          <w:rFonts w:ascii="Arial" w:hAnsi="Arial" w:cs="Arial"/>
          <w:lang w:val="en-US"/>
        </w:rPr>
        <w:t>,</w:t>
      </w:r>
      <w:r w:rsidRPr="00CB1C44">
        <w:rPr>
          <w:rFonts w:ascii="Arial" w:hAnsi="Arial" w:cs="Arial"/>
          <w:lang w:val="en-US"/>
        </w:rPr>
        <w:t xml:space="preserve"> reduced cell death and apoptosis, leading to increased Nrf2 levels and enhanced mRNA of related genes, such as </w:t>
      </w:r>
      <w:r w:rsidR="00561D0C" w:rsidRPr="00CB1C44">
        <w:rPr>
          <w:rFonts w:ascii="Arial" w:hAnsi="Arial" w:cs="Arial"/>
          <w:i/>
          <w:lang w:val="en-US"/>
        </w:rPr>
        <w:t>HO-1</w:t>
      </w:r>
      <w:r w:rsidR="00561D0C" w:rsidRPr="00CB1C44">
        <w:rPr>
          <w:rFonts w:ascii="Arial" w:hAnsi="Arial" w:cs="Arial"/>
          <w:lang w:val="en-US"/>
        </w:rPr>
        <w:t xml:space="preserve">, </w:t>
      </w:r>
      <w:r w:rsidR="00561D0C" w:rsidRPr="00CB1C44">
        <w:rPr>
          <w:rFonts w:ascii="Arial" w:hAnsi="Arial" w:cs="Arial"/>
          <w:i/>
          <w:lang w:val="en-US"/>
        </w:rPr>
        <w:t>GSH</w:t>
      </w:r>
      <w:r w:rsidRPr="00CB1C44">
        <w:rPr>
          <w:rFonts w:ascii="Arial" w:hAnsi="Arial" w:cs="Arial"/>
          <w:lang w:val="en-US"/>
        </w:rPr>
        <w:t xml:space="preserve">, </w:t>
      </w:r>
      <w:r w:rsidRPr="00CB1C44">
        <w:rPr>
          <w:rFonts w:ascii="Arial" w:hAnsi="Arial" w:cs="Arial"/>
          <w:i/>
          <w:lang w:val="en-US"/>
        </w:rPr>
        <w:t>NQO1</w:t>
      </w:r>
      <w:r w:rsidRPr="00CB1C44">
        <w:rPr>
          <w:rFonts w:ascii="Arial" w:hAnsi="Arial" w:cs="Arial"/>
          <w:lang w:val="en-US"/>
        </w:rPr>
        <w:t xml:space="preserve">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{"citationItems":[{"id":"ITEM-1","itemData":{"DOI":"10.3389/fncel.2015.00209","ISBN":"1662-5102 (Electronic)\\r1662-5102 (Linking)","ISSN":"1662-5102","PMID":"26074776","abstract":"Lithium is a mood stabilizing agent commonly used for the treatment of bipolar disorder. Here, we investigated the potential neuroprotective effect of lithium against paraquat toxicity and its underlying mechanisms in vitro. SH-SY5Y human neuroblastoma cells were treated with paraquat (PQ) 0.5 mM concentration after lithium pretreatment to test lithium's capability in preventing cell toxicity. Cell death was evaluated by LDH, WST-8, and tryphan blue assays. Apoptosis was analyzed using DNA fragmentation, Annexin V immunostaining, Sub G1 cell cycle analysis, and caspase-3 activity assays. BCL2, BAX, and NRF2 protein expression were evaluated by Western-blotting and the BDNF protein level was determined with ELISA. mRNA levels of BCL2, BAX, BDNF, and NRF2 target genes (HO-1, GCS, NQO1), as well as miR-34a expression were analyzed by qPCR assay. Functional experiments were done via transfection with NRF2 siRNA and miR-34a mimic. Lithium treatment prevented paraquat induced cell death and apoptosis. Lithium treated cells showed increased anti-apoptotic protein BCL2 and decreased pro-apoptotic protein BAX expression. Lithium exerted a neurotrophic effect by increasing BDNF protein expression. It also diminished reactive oxygen species production and activated the redox sensitive transcription factor NRF2 and increased its target genes expression. Knockdown of NRF2 abolished neuroprotective, anti-apoptotic, and anti-oxidant effects of lithium. Furthermore, lithium significantly decreased both basal and PQ-induced expression of miR-34a. Transfection of miR-34a specific mimic reversed neuroprotective, anti-apoptotic, and anti-oxidant effects of lithium against PQ-toxicity. Our results revealed two novel mechanisms of lithium neuroprotection, namely NRF2 activation and miR-34a suppression.","author":[{"dropping-particle":"","family":"Alural","given":"Begum","non-dropping-particle":"","parse-names":false,"suffix":""},{"dropping-particle":"","family":"Ozerdem","given":"Aysegul","non-dropping-particle":"","parse-names":false,"suffix":""},{"dropping-particle":"","family":"Allmer","given":"Jens","non-dropping-particle":"","parse-names":false,"suffix":""},{"dropping-particle":"","family":"Genc","given":"Kursad","non-dropping-particle":"","parse-names":false,"suffix":""},{"dropping-particle":"","family":"Genc","given":"Sermin","non-dropping-particle":"","parse-names":false,"suffix":""}],"container-title":"Frontiers in cellular neuroscience","id":"ITEM-1","issue":"May","issued":{"date-parts":[["2015"]]},"page":"209","title":"Lithium protects against paraquat neurotoxicity by NRF2 activation and miR-34a inhibition in SH-SY5Y cells.","type":"article-journal","volume":"9"},"uris":["http://www.mendeley.com/documents/?uuid=0deb31cf-9996-47c1-a2f8-202db8546a59"]}],"mendeley":{"formattedCitation":"(Alural et al., 2015)","plainTextFormattedCitation":"(Alural et al., 2015)","previouslyFormattedCitation":"(Alural et al., 2015)"},"properties":{"noteIndex":0},"schema":"https://github.com/citation-style-language/schema/raw/master/csl-citation.json"}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(Alural et al., 2015)</w:t>
      </w:r>
      <w:r w:rsidRPr="00CB1C44">
        <w:rPr>
          <w:rFonts w:ascii="Arial" w:hAnsi="Arial" w:cs="Arial"/>
          <w:lang w:val="en-US"/>
        </w:rPr>
        <w:fldChar w:fldCharType="end"/>
      </w:r>
      <w:r w:rsidRPr="00CB1C44">
        <w:rPr>
          <w:rFonts w:ascii="Arial" w:hAnsi="Arial" w:cs="Arial"/>
          <w:lang w:val="en-US"/>
        </w:rPr>
        <w:t>. Furthermore, 20C</w:t>
      </w:r>
      <w:r w:rsidR="007970DC" w:rsidRPr="00CB1C44">
        <w:rPr>
          <w:rFonts w:ascii="Arial" w:hAnsi="Arial" w:cs="Arial"/>
          <w:lang w:val="en-US"/>
        </w:rPr>
        <w:t xml:space="preserve"> (2-[4-hydroxy-3-(4-hydroxyphenyl)benzyl]-4-(4-hydroxyphenyl) phenol)</w:t>
      </w:r>
      <w:r w:rsidRPr="00CB1C44">
        <w:rPr>
          <w:rFonts w:ascii="Arial" w:hAnsi="Arial" w:cs="Arial"/>
          <w:lang w:val="en-US"/>
        </w:rPr>
        <w:t>, a bibenzyl compound with antioxidant properties, protected PC12 and SH</w:t>
      </w:r>
      <w:r w:rsidRPr="00CB1C44">
        <w:rPr>
          <w:rFonts w:ascii="Calibri" w:eastAsia="Calibri" w:hAnsi="Calibri" w:cs="Calibri"/>
          <w:lang w:val="en-US"/>
        </w:rPr>
        <w:t>‐</w:t>
      </w:r>
      <w:r w:rsidRPr="00CB1C44">
        <w:rPr>
          <w:rFonts w:ascii="Arial" w:hAnsi="Arial" w:cs="Arial"/>
          <w:lang w:val="en-US"/>
        </w:rPr>
        <w:t>SY5Y cells against rotenone</w:t>
      </w:r>
      <w:r w:rsidR="00FA5A75" w:rsidRPr="00CB1C44">
        <w:rPr>
          <w:rFonts w:ascii="Arial" w:hAnsi="Arial" w:cs="Arial"/>
          <w:lang w:val="en-US"/>
        </w:rPr>
        <w:t xml:space="preserve"> </w:t>
      </w:r>
      <w:r w:rsidR="00FE7429" w:rsidRPr="00CB1C44">
        <w:rPr>
          <w:rFonts w:ascii="Arial" w:hAnsi="Arial" w:cs="Arial"/>
          <w:lang w:val="en-US"/>
        </w:rPr>
        <w:t>(mitochondrial complex I inhibitor)</w:t>
      </w:r>
      <w:r w:rsidRPr="00CB1C44">
        <w:rPr>
          <w:rFonts w:ascii="Calibri" w:eastAsia="Calibri" w:hAnsi="Calibri" w:cs="Calibri"/>
          <w:lang w:val="en-US"/>
        </w:rPr>
        <w:t>‐</w:t>
      </w:r>
      <w:r w:rsidRPr="00CB1C44">
        <w:rPr>
          <w:rFonts w:ascii="Arial" w:hAnsi="Arial" w:cs="Arial"/>
          <w:lang w:val="en-US"/>
        </w:rPr>
        <w:t>induced oxidative stress</w:t>
      </w:r>
      <w:r w:rsidR="00EE54B0" w:rsidRPr="00CB1C44">
        <w:rPr>
          <w:rFonts w:ascii="Arial" w:hAnsi="Arial" w:cs="Arial"/>
          <w:lang w:val="en-US"/>
        </w:rPr>
        <w:t>,</w:t>
      </w:r>
      <w:r w:rsidRPr="00CB1C44">
        <w:rPr>
          <w:rFonts w:ascii="Arial" w:hAnsi="Arial" w:cs="Arial"/>
          <w:lang w:val="en-US"/>
        </w:rPr>
        <w:t xml:space="preserve"> through </w:t>
      </w:r>
      <w:r w:rsidR="00B406E1" w:rsidRPr="00CB1C44">
        <w:rPr>
          <w:rFonts w:ascii="Arial" w:hAnsi="Arial" w:cs="Arial"/>
          <w:lang w:val="en-US"/>
        </w:rPr>
        <w:t xml:space="preserve">the enhancement of </w:t>
      </w:r>
      <w:r w:rsidRPr="00CB1C44">
        <w:rPr>
          <w:rFonts w:ascii="Arial" w:hAnsi="Arial" w:cs="Arial"/>
          <w:lang w:val="en-US"/>
        </w:rPr>
        <w:t>Nrf2 activity</w:t>
      </w:r>
      <w:r w:rsidR="006E61A0" w:rsidRPr="00CB1C44">
        <w:rPr>
          <w:rFonts w:ascii="Arial" w:hAnsi="Arial" w:cs="Arial"/>
          <w:lang w:val="en-US"/>
        </w:rPr>
        <w:t>,</w:t>
      </w:r>
      <w:r w:rsidRPr="00CB1C44">
        <w:rPr>
          <w:rFonts w:ascii="Arial" w:hAnsi="Arial" w:cs="Arial"/>
          <w:lang w:val="en-US"/>
        </w:rPr>
        <w:t xml:space="preserve"> </w:t>
      </w:r>
      <w:r w:rsidR="00B406E1" w:rsidRPr="00CB1C44">
        <w:rPr>
          <w:rFonts w:ascii="Arial" w:hAnsi="Arial" w:cs="Arial"/>
          <w:lang w:val="en-US"/>
        </w:rPr>
        <w:t>through</w:t>
      </w:r>
      <w:r w:rsidRPr="00CB1C44">
        <w:rPr>
          <w:rFonts w:ascii="Arial" w:hAnsi="Arial" w:cs="Arial"/>
          <w:lang w:val="en-US"/>
        </w:rPr>
        <w:t xml:space="preserve"> GSK-3β inhibition</w:t>
      </w:r>
      <w:r w:rsidR="006E61A0" w:rsidRPr="00CB1C44">
        <w:rPr>
          <w:rFonts w:ascii="Arial" w:hAnsi="Arial" w:cs="Arial"/>
          <w:lang w:val="en-US"/>
        </w:rPr>
        <w:t>,</w:t>
      </w:r>
      <w:r w:rsidRPr="00CB1C44">
        <w:rPr>
          <w:rFonts w:ascii="Arial" w:hAnsi="Arial" w:cs="Arial"/>
          <w:lang w:val="en-US"/>
        </w:rPr>
        <w:t xml:space="preserve"> and increased PI3K/</w:t>
      </w:r>
      <w:proofErr w:type="spellStart"/>
      <w:r w:rsidR="0026569F" w:rsidRPr="00CB1C44">
        <w:rPr>
          <w:rFonts w:ascii="Arial" w:hAnsi="Arial" w:cs="Arial"/>
          <w:lang w:val="en-US"/>
        </w:rPr>
        <w:t>Akt</w:t>
      </w:r>
      <w:proofErr w:type="spellEnd"/>
      <w:r w:rsidRPr="00CB1C44">
        <w:rPr>
          <w:rFonts w:ascii="Arial" w:hAnsi="Arial" w:cs="Arial"/>
          <w:lang w:val="en-US"/>
        </w:rPr>
        <w:t xml:space="preserve"> activation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{"citationItems":[{"id":"ITEM-1","itemData":{"DOI":"10.1016/j.toxlet.2017.02.022","ISBN":"0378-4274","ISSN":"03784274","PMID":"28245986","abstract":"Oxidative stress is thought to be involved in the development of Parkinson's disease (PD). We previously reported that 20C, a bibenzyl compound isolated from Gastrodia elata, possesses antioxidative properties, but its in-depth molecular mechanisms against rotenone-induced neurotoxicity remains unknown. Recent studies indicate that without intact DJ-1, nuclear factor erythroid 2-related factor (Nrf2) protein becomes unstable, and the activity of Nrf2-mediated downstream antioxidant enzymes are thereby suppressed. In this study, we showed that 20C clearly protected PC12 and SH-SY5Y cells against rotenone-induced oxidative injury. Furthermore, 20C markedly up-regulated the levels of DJ-1, which in turn activated phosphoinositide-3-kinase (PI3K)/Akt signaling and inhibited glycogen synthase kinase 3β (GSK3β) activation, eventually promoted the nuclear translocation of Nrf2 and induced the expression of hemeoxygenase-1 (HO-1). The antioxidant effects of 20C could be partially blocked by ShRNA-mediated knockdown of DJ-1 and inhibition of the PI3K/Akt pathways with Akt1/2 kinase inhibitor, respectively. Conclusively, our findings confirm that DJ-1 is necessary for 20C-mediated protection against rotenone-induced oxidative damage, at least in part, by activating PI3K/Akt signaling, and subsequently enhancing the nuclear accumulation of Nrf2. The findings from our investigation suggest that 20C should be developed as a novel candidate for alleviating the consequences of PD in the future.","author":[{"dropping-particle":"","family":"Zhang","given":"Xiao-Ling","non-dropping-particle":"","parse-names":false,"suffix":""},{"dropping-particle":"","family":"Yuan","given":"Yu-He","non-dropping-particle":"","parse-names":false,"suffix":""},{"dropping-particle":"","family":"Shao","given":"Qian-Hang","non-dropping-particle":"","parse-names":false,"suffix":""},{"dropping-particle":"","family":"Wang","given":"Zhen-Zhen","non-dropping-particle":"","parse-names":false,"suffix":""},{"dropping-particle":"","family":"Zhu","given":"Cheng-Gen","non-dropping-particle":"","parse-names":false,"suffix":""},{"dropping-particle":"","family":"Shi","given":"Jian-Gong","non-dropping-particle":"","parse-names":false,"suffix":""},{"dropping-particle":"","family":"Ma","given":"Kai-Li","non-dropping-particle":"","parse-names":false,"suffix":""},{"dropping-particle":"","family":"Yan","given":"Xu","non-dropping-particle":"","parse-names":false,"suffix":""},{"dropping-particle":"","family":"Chen","given":"Nai-Hong","non-dropping-particle":"","parse-names":false,"suffix":""}],"container-title":"Toxicology Letters","id":"ITEM-1","issued":{"date-parts":[["2017","4"]]},"page":"74-83","publisher":"Elsevier Ireland Ltd","title":"DJ-1 regulating PI3K-Nrf2 signaling plays a significant role in bibenzyl compound 20C-mediated neuroprotection against rotenone-induced oxidative insult","type":"article-journal","volume":"271"},"uris":["http://www.mendeley.com/documents/?uuid=ea95e2b3-4e0b-444c-8725-0b2b66f169f9"]}],"mendeley":{"formattedCitation":"(X.-L. Zhang et al., 2017)","plainTextFormattedCitation":"(X.-L. Zhang et al., 2017)","previouslyFormattedCitation":"(X.-L. Zhang et al., 2017)"},"properties":{"noteIndex":0},"schema":"https://github.com/citation-style-language/schema/raw/master/csl-citation.json"}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(X.-L. Zhang et al., 2017)</w:t>
      </w:r>
      <w:r w:rsidRPr="00CB1C44">
        <w:rPr>
          <w:rFonts w:ascii="Arial" w:hAnsi="Arial" w:cs="Arial"/>
          <w:lang w:val="en-US"/>
        </w:rPr>
        <w:fldChar w:fldCharType="end"/>
      </w:r>
      <w:r w:rsidRPr="00CB1C44">
        <w:rPr>
          <w:rFonts w:ascii="Arial" w:hAnsi="Arial" w:cs="Arial"/>
          <w:lang w:val="en-US"/>
        </w:rPr>
        <w:t>. In fact, the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 which down-regulates GSK-3β, is decreased in dopaminergic neurons of PD</w:t>
      </w:r>
      <w:r w:rsidR="00FA5A75" w:rsidRPr="00CB1C44">
        <w:rPr>
          <w:rFonts w:ascii="Arial" w:hAnsi="Arial" w:cs="Arial"/>
          <w:lang w:val="en-US"/>
        </w:rPr>
        <w:t xml:space="preserve"> human</w:t>
      </w:r>
      <w:r w:rsidRPr="00CB1C44">
        <w:rPr>
          <w:rFonts w:ascii="Arial" w:hAnsi="Arial" w:cs="Arial"/>
          <w:lang w:val="en-US"/>
        </w:rPr>
        <w:t xml:space="preserve"> brains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{"citationItems":[{"id":"ITEM-1","itemData":{"DOI":"10.1523/JNEUROSCI.3928-08.2008","ISBN":"1529-2401 (Electronic)\\r0270-6474 (Linking)","ISSN":"1529-2401","PMID":"19118169","abstract":"Previously, we reported that RTP801, a stress regulated protein, is induced in multiple cellular models of Parkinson's disease (PD), in an animal model of PD and in dopaminergic neurons of PD patients. In cellular PD models, RTP801 is both sufficient and necessary for death. We further showed that RTP801 and PD mimetics such as 6-OHDA trigger neuron death by suppressing activation of the key kinase mammalian target of rapamycin (mTOR). Here, we report that as a consequence of mTOR signaling blockade, 6-OHDA suppresses the phosphorylation and activation of Akt, a major supporter of neuron survival. This effect is mediated by RTP801 and appears to underlie neuron death induced by 6-OHDA. Examination of postmortem dopaminergic neurons reveals a consistent depletion of phospho-Akt, but not of total Akt in PD patients. These observations support a sequential mechanism in which PD-associated stresses induce RTP801, suppress mTOR signaling, deplete phosphorylated/activated Akt and permit neuron degeneration and death.","author":[{"dropping-particle":"","family":"Malagelada","given":"Cristina","non-dropping-particle":"","parse-names":false,"suffix":""},{"dropping-particle":"","family":"Jin","given":"Zong Hao","non-dropping-particle":"","parse-names":false,"suffix":""},{"dropping-particle":"","family":"Greene","given":"Lloyd a","non-dropping-particle":"","parse-names":false,"suffix":""}],"container-title":"The Journal of neuroscience : the official journal of the Society for Neuroscience","id":"ITEM-1","issue":"53","issued":{"date-parts":[["2008"]]},"page":"14363-71","title":"RTP801 is induced in Parkinson's disease and mediates neuron death by inhibiting Akt phosphorylation/activation.","type":"article-journal","volume":"28"},"uris":["http://www.mendeley.com/documents/?uuid=09756256-64c3-48bc-ad5b-38e1e43771dd"]}],"mendeley":{"formattedCitation":"(Malagelada et al., 2008)","plainTextFormattedCitation":"(Malagelada et al., 2008)","previouslyFormattedCitation":"(Malagelada et al., 2008)"},"properties":{"noteIndex":0},"schema":"https://github.com/citation-style-language/schema/raw/master/csl-citation.json"}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(Malagelada et al., 2008)</w:t>
      </w:r>
      <w:r w:rsidRPr="00CB1C44">
        <w:rPr>
          <w:rFonts w:ascii="Arial" w:hAnsi="Arial" w:cs="Arial"/>
          <w:lang w:val="en-US"/>
        </w:rPr>
        <w:fldChar w:fldCharType="end"/>
      </w:r>
      <w:r w:rsidRPr="00CB1C44">
        <w:rPr>
          <w:rFonts w:ascii="Arial" w:hAnsi="Arial" w:cs="Arial"/>
          <w:lang w:val="en-US"/>
        </w:rPr>
        <w:t xml:space="preserve"> and can be considered as a potential target for PD therapeutic</w:t>
      </w:r>
      <w:r w:rsidR="00EE6D17" w:rsidRPr="00CB1C44">
        <w:rPr>
          <w:rFonts w:ascii="Arial" w:hAnsi="Arial" w:cs="Arial"/>
          <w:lang w:val="en-US"/>
        </w:rPr>
        <w:t>s</w:t>
      </w:r>
      <w:r w:rsidR="001E5B97" w:rsidRPr="00CB1C44">
        <w:rPr>
          <w:rFonts w:ascii="Arial" w:hAnsi="Arial" w:cs="Arial"/>
          <w:lang w:val="en-US"/>
        </w:rPr>
        <w:t xml:space="preserve"> (Figure 5)</w:t>
      </w:r>
      <w:r w:rsidRPr="00CB1C44">
        <w:rPr>
          <w:rFonts w:ascii="Arial" w:hAnsi="Arial" w:cs="Arial"/>
          <w:lang w:val="en-US"/>
        </w:rPr>
        <w:t xml:space="preserve">. Thus, administration of </w:t>
      </w:r>
      <w:proofErr w:type="spellStart"/>
      <w:r w:rsidR="00EE6D17" w:rsidRPr="00CB1C44">
        <w:rPr>
          <w:rFonts w:ascii="Arial" w:hAnsi="Arial" w:cs="Arial"/>
          <w:lang w:val="en-US"/>
        </w:rPr>
        <w:t>r</w:t>
      </w:r>
      <w:r w:rsidRPr="00CB1C44">
        <w:rPr>
          <w:rFonts w:ascii="Arial" w:hAnsi="Arial" w:cs="Arial"/>
          <w:lang w:val="en-US"/>
        </w:rPr>
        <w:t>asagiline</w:t>
      </w:r>
      <w:proofErr w:type="spellEnd"/>
      <w:r w:rsidRPr="00CB1C44">
        <w:rPr>
          <w:rFonts w:ascii="Arial" w:hAnsi="Arial" w:cs="Arial"/>
          <w:lang w:val="en-US"/>
        </w:rPr>
        <w:t xml:space="preserve"> in MTPT-treated mice, normally used as monotherapy to treat early PD symptoms, prevents </w:t>
      </w:r>
      <w:r w:rsidR="00EE6D17" w:rsidRPr="00CB1C44">
        <w:rPr>
          <w:rFonts w:ascii="Arial" w:hAnsi="Arial" w:cs="Arial"/>
          <w:lang w:val="en-US"/>
        </w:rPr>
        <w:t>the death of dopaminergic neurons</w:t>
      </w:r>
      <w:r w:rsidR="00EE6D17" w:rsidRPr="00CB1C44">
        <w:rPr>
          <w:rFonts w:ascii="Arial" w:hAnsi="Arial" w:cs="Arial"/>
          <w:i/>
          <w:lang w:val="en-US"/>
        </w:rPr>
        <w:t xml:space="preserve"> </w:t>
      </w:r>
      <w:r w:rsidR="00EE6D17" w:rsidRPr="00CB1C44">
        <w:rPr>
          <w:rFonts w:ascii="Arial" w:hAnsi="Arial" w:cs="Arial"/>
          <w:lang w:val="en-US"/>
        </w:rPr>
        <w:t xml:space="preserve">in </w:t>
      </w:r>
      <w:r w:rsidRPr="00CB1C44">
        <w:rPr>
          <w:rFonts w:ascii="Arial" w:hAnsi="Arial" w:cs="Arial"/>
          <w:i/>
          <w:lang w:val="en-US"/>
        </w:rPr>
        <w:t xml:space="preserve">substantia </w:t>
      </w:r>
      <w:proofErr w:type="spellStart"/>
      <w:r w:rsidRPr="00CB1C44">
        <w:rPr>
          <w:rFonts w:ascii="Arial" w:hAnsi="Arial" w:cs="Arial"/>
          <w:i/>
          <w:lang w:val="en-US"/>
        </w:rPr>
        <w:t>nigra</w:t>
      </w:r>
      <w:proofErr w:type="spellEnd"/>
      <w:r w:rsidRPr="00CB1C44">
        <w:rPr>
          <w:rFonts w:ascii="Arial" w:hAnsi="Arial" w:cs="Arial"/>
          <w:lang w:val="en-US"/>
        </w:rPr>
        <w:t xml:space="preserve"> through PI3K/</w:t>
      </w:r>
      <w:proofErr w:type="spellStart"/>
      <w:r w:rsidR="0026569F" w:rsidRPr="00CB1C44">
        <w:rPr>
          <w:rFonts w:ascii="Arial" w:hAnsi="Arial" w:cs="Arial"/>
          <w:lang w:val="en-US"/>
        </w:rPr>
        <w:t>Akt</w:t>
      </w:r>
      <w:proofErr w:type="spellEnd"/>
      <w:r w:rsidRPr="00CB1C44">
        <w:rPr>
          <w:rFonts w:ascii="Arial" w:hAnsi="Arial" w:cs="Arial"/>
          <w:lang w:val="en-US"/>
        </w:rPr>
        <w:t xml:space="preserve"> activation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{"citationItems":[{"id":"ITEM-1","itemData":{"ISBN":"0303-6995 (Print)\\r0303-6995","ISSN":"0303-6995","PMID":"17017568","abstract":"Our recent studies aimed to elucidate the molecular and biochemical mechanism of actions of the novel anti-Parkinson's drug, rasagiline, an irreversible and selective monoamine oxidase (MAO)-B inhibitor and its propargyl moiety, propargylamine. In cell death models induced by serum withdrawal in rat PC12 cells and human SH-SY5Y neuroblastoma cells, both rasagiline and propargylamine exerted neuroprotective and neurorescue activities via multiple survival pathways, including: stimulation of protein kinase C (PKC) phosphorylation; up-regulation of protein and gene levels of PKCalpha, PKCepsilon and the anti-apoptotic Bcl-2, Bcl-xL, and Bcl-w; and up-regulation of the neurotrophic factors, BDNF and GDNF mRNAs. Rasagiline and propargylamine inhibited the cleavage and subsequent activation of pro-caspase-3 and poly ADP-ribose polymerase. Additionally, these compounds significantly down-regulated PKCgamma mRNA and decreased the level of the pro-apoptotic proteins, Bax, Bad, Bim and H2A.X. Rasagiline and propargylamine both regulated amyloid precursor protein (APP) processing towards the non-amyloidogenic pathway. These structure-activity studies have provided evidence that propargylamine promoted neuronal survival via neuroprotective/neurorescue pathways similar to that of rasagiline. In addition, recent study demonstrated that chronic low doses of rasagiline administered to mice subsequently to 1 methyl-4 phenyl 1,2,3,6 tetrahydropyridine (MPTP), rescued dopaminergic neurons in the substantia nigra pars compacta via activation of the Ras-PI3K-Akt survival pathway, suggesting that rasagiline may possess a disease modifying activity.","author":[{"dropping-particle":"","family":"Weinreb","given":"O","non-dropping-particle":"","parse-names":false,"suffix":""},{"dropping-particle":"","family":"Amit","given":"T","non-dropping-particle":"","parse-names":false,"suffix":""},{"dropping-particle":"","family":"Bar-Am","given":"O","non-dropping-particle":"","parse-names":false,"suffix":""},{"dropping-particle":"","family":"Sagi","given":"Y","non-dropping-particle":"","parse-names":false,"suffix":""},{"dropping-particle":"","family":"Mandel","given":"S","non-dropping-particle":"","parse-names":false,"suffix":""},{"dropping-particle":"","family":"Youdim","given":"M B","non-dropping-particle":"","parse-names":false,"suffix":""}],"container-title":"J Neural Transm Suppl","id":"ITEM-1","issue":"70","issued":{"date-parts":[["2006"]]},"page":"457-465","title":"Involvement of multiple survival signal transduction pathways in the neuroprotective, neurorescue and APP processing activity of rasagiline and its propargyl moiety","type":"article-journal"},"uris":["http://www.mendeley.com/documents/?uuid=257a4e1c-2eb0-41b1-9d18-459385a0235c"]}],"mendeley":{"formattedCitation":"(Weinreb et al., 2006)","plainTextFormattedCitation":"(Weinreb et al., 2006)","previouslyFormattedCitation":"(Weinreb et al., 2006)"},"properties":{"noteIndex":0},"schema":"https://github.com/citation-style-language/schema/raw/master/csl-citation.json"}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(Weinreb et al., 2006)</w:t>
      </w:r>
      <w:r w:rsidRPr="00CB1C44">
        <w:rPr>
          <w:rFonts w:ascii="Arial" w:hAnsi="Arial" w:cs="Arial"/>
          <w:lang w:val="en-US"/>
        </w:rPr>
        <w:fldChar w:fldCharType="end"/>
      </w:r>
      <w:r w:rsidRPr="00CB1C44">
        <w:rPr>
          <w:rFonts w:ascii="Arial" w:hAnsi="Arial" w:cs="Arial"/>
          <w:lang w:val="en-US"/>
        </w:rPr>
        <w:t xml:space="preserve">. Moreover, in SH-SY5Y cells exposed to paraquat, treatment with </w:t>
      </w:r>
      <w:proofErr w:type="spellStart"/>
      <w:r w:rsidR="00EE6D17" w:rsidRPr="00CB1C44">
        <w:rPr>
          <w:rFonts w:ascii="Arial" w:hAnsi="Arial" w:cs="Arial"/>
          <w:lang w:val="en-US"/>
        </w:rPr>
        <w:t>c</w:t>
      </w:r>
      <w:r w:rsidRPr="00CB1C44">
        <w:rPr>
          <w:rFonts w:ascii="Arial" w:hAnsi="Arial" w:cs="Arial"/>
          <w:lang w:val="en-US"/>
        </w:rPr>
        <w:t>arnosic</w:t>
      </w:r>
      <w:proofErr w:type="spellEnd"/>
      <w:r w:rsidRPr="00CB1C44">
        <w:rPr>
          <w:rFonts w:ascii="Arial" w:hAnsi="Arial" w:cs="Arial"/>
          <w:lang w:val="en-US"/>
        </w:rPr>
        <w:t xml:space="preserve"> acid, a phenolic diterpene isolated from </w:t>
      </w:r>
      <w:r w:rsidRPr="00CB1C44">
        <w:rPr>
          <w:rFonts w:ascii="Arial" w:hAnsi="Arial" w:cs="Arial"/>
          <w:i/>
          <w:lang w:val="en-US"/>
        </w:rPr>
        <w:t>Rosmarinus officinalis</w:t>
      </w:r>
      <w:r w:rsidRPr="00CB1C44">
        <w:rPr>
          <w:rFonts w:ascii="Arial" w:hAnsi="Arial" w:cs="Arial"/>
          <w:lang w:val="en-US"/>
        </w:rPr>
        <w:t xml:space="preserve"> with antioxidant proprieties, increased </w:t>
      </w:r>
      <w:r w:rsidR="00A6496D" w:rsidRPr="00CB1C44">
        <w:rPr>
          <w:rFonts w:ascii="Arial" w:hAnsi="Arial" w:cs="Arial"/>
          <w:lang w:val="en-US"/>
        </w:rPr>
        <w:t>PI3K/</w:t>
      </w:r>
      <w:proofErr w:type="spellStart"/>
      <w:r w:rsidR="0026569F" w:rsidRPr="00CB1C44">
        <w:rPr>
          <w:rFonts w:ascii="Arial" w:hAnsi="Arial" w:cs="Arial"/>
          <w:lang w:val="en-US"/>
        </w:rPr>
        <w:t>Akt</w:t>
      </w:r>
      <w:proofErr w:type="spellEnd"/>
      <w:r w:rsidR="00A6496D" w:rsidRPr="00CB1C44">
        <w:rPr>
          <w:rFonts w:ascii="Arial" w:hAnsi="Arial" w:cs="Arial"/>
          <w:lang w:val="en-US"/>
        </w:rPr>
        <w:t xml:space="preserve"> activation</w:t>
      </w:r>
      <w:r w:rsidRPr="00CB1C44">
        <w:rPr>
          <w:rFonts w:ascii="Arial" w:hAnsi="Arial" w:cs="Arial"/>
          <w:lang w:val="en-US"/>
        </w:rPr>
        <w:t xml:space="preserve">, resulting in improved Nrf2 activity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{"citationItems":[{"id":"ITEM-1","itemData":{"DOI":"10.1016/j.tiv.2015.12.005","ISSN":"18793177","PMID":"26686574","abstract":"Carnosic acid (CA) is a phenolic diterpene isolated from Rosmarinus officinalis and exerts anti-inflammatory, antioxidant, and anticarcinogenic activities in different cell types. It has been reported that CA is able to cause protective effects on experimental models of neurodegeneration. However, the exact mechanism by which CA prevents neuronal degeneration remains to be better studied. We investigated here whether there is a role for CA as a neuroprotective agent in a paraquat (PQ) model of Parkinson's disease (PD) regarding cellular and mitochondrial-related redox parameters. SH-SY5Y cells were treated with CA for 12. h and were exposed to 100. μM PQ for 24. h. It was found that CA at different concentrations prevented the effects of PQ on cell viability and redox parameters. CA alleviated reactive oxygen and nitrogen species production elicited by PQ, as well as decreased the toxic effect on mitochondrial function. Inhibition of Pi3K/Akt pathway with LY294002 or silencing of Nrf2 expression partially blocked the reversal of redox impairment induced by CA. Therefore, CA activated Nrf2 through modulation of PI3K/Akt pathway resulting in increased levels of antioxidant enzymes and consequent neuroprotection. Thus, CA may be viewed as a potential neuroprotective agent to be used in cases of Parkinson's disease (PD).","author":[{"dropping-particle":"","family":"Oliveira","given":"Marcos Roberto","non-dropping-particle":"de","parse-names":false,"suffix":""},{"dropping-particle":"","family":"Ferreira","given":"Gustavo Costa","non-dropping-particle":"","parse-names":false,"suffix":""},{"dropping-particle":"","family":"Schuck","given":"Patrícia Fernanda","non-dropping-particle":"","parse-names":false,"suffix":""}],"container-title":"Toxicology in Vitro","id":"ITEM-1","issued":{"date-parts":[["2016"]]},"page":"41-54","publisher":"Elsevier Ltd","title":"Protective effect of carnosic acid against paraquat-induced redox impairment and mitochondrial dysfunction in SH-SY5Y cells: Role for PI3K/Akt/Nrf2 pathway","type":"article-journal","volume":"32"},"uris":["http://www.mendeley.com/documents/?uuid=0a16ed9a-59e4-493b-aeb2-2cef0f79c4d2"]}],"mendeley":{"formattedCitation":"(de Oliveira et al., 2016)","plainTextFormattedCitation":"(de Oliveira et al., 2016)","previouslyFormattedCitation":"(de Oliveira et al., 2016)"},"properties":{"noteIndex":0},"schema":"https://github.com/citation-style-language/schema/raw/master/csl-citation.json"}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(de Oliveira et al., 2016)</w:t>
      </w:r>
      <w:r w:rsidRPr="00CB1C44">
        <w:rPr>
          <w:rFonts w:ascii="Arial" w:hAnsi="Arial" w:cs="Arial"/>
          <w:lang w:val="en-US"/>
        </w:rPr>
        <w:fldChar w:fldCharType="end"/>
      </w:r>
      <w:r w:rsidRPr="00CB1C44">
        <w:rPr>
          <w:rFonts w:ascii="Arial" w:hAnsi="Arial" w:cs="Arial"/>
          <w:lang w:val="en-US"/>
        </w:rPr>
        <w:t>.</w:t>
      </w:r>
      <w:r w:rsidR="009124CC" w:rsidRPr="00CB1C44">
        <w:rPr>
          <w:rFonts w:ascii="Arial" w:hAnsi="Arial" w:cs="Arial"/>
          <w:lang w:val="en-US"/>
        </w:rPr>
        <w:t xml:space="preserve"> Similarly, </w:t>
      </w:r>
      <w:r w:rsidRPr="00CB1C44">
        <w:rPr>
          <w:rFonts w:ascii="Arial" w:hAnsi="Arial" w:cs="Arial"/>
          <w:lang w:val="en-US"/>
        </w:rPr>
        <w:t>the use of</w:t>
      </w:r>
      <w:r w:rsidR="0077149A" w:rsidRPr="00CB1C44">
        <w:rPr>
          <w:rFonts w:ascii="Arial" w:hAnsi="Arial" w:cs="Arial"/>
          <w:lang w:val="en-US"/>
        </w:rPr>
        <w:t xml:space="preserve"> β-</w:t>
      </w:r>
      <w:proofErr w:type="spellStart"/>
      <w:r w:rsidR="0077149A" w:rsidRPr="00CB1C44">
        <w:rPr>
          <w:rFonts w:ascii="Arial" w:hAnsi="Arial" w:cs="Arial"/>
          <w:lang w:val="en-US"/>
        </w:rPr>
        <w:t>ecdysterone</w:t>
      </w:r>
      <w:proofErr w:type="spellEnd"/>
      <w:r w:rsidR="0077149A" w:rsidRPr="00CB1C44">
        <w:rPr>
          <w:rFonts w:ascii="Arial" w:hAnsi="Arial" w:cs="Arial"/>
          <w:lang w:val="en-US"/>
        </w:rPr>
        <w:t xml:space="preserve">, a phytoestrogen </w:t>
      </w:r>
      <w:r w:rsidR="0077149A"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{"citationItems":[{"id":"ITEM-1","itemData":{"DOI":"10.1093/toxsci/kfv111","ISBN":"1096-0929 (Electronic)\\r1096-0929 (Linking)","ISSN":"1096-6080","PMID":"26048653","abstract":"Epidemiological studies have strongly linked postmenopausal estrogens uptake with a reduced risk of developing Parkinson’s disease {(PD)} in women. Estrogen replacement therapy may be beneficial in early {PD.} The aim of this study is to evaluate the hypothesis that the neuroprotective effects of phytoestrogen β-ecdysterone {(β-Ecd)} might mainly result from its antioxidant capability by the activation of the phosphoinositide-3-kinase {(PI3K)-nuclear} factor E2-related factor 2 {(Nrf2)-regulated} signaling pathway. We found that {β-Ecd} is able to protect {MPP+-induced} oxidative stress and apoptosis in {PC12} cells in a concentration-dependent manner. {β-Ecd} increased the Akt kinase activity and the Akt signaling pathways, including glycogen synthase kinase 3-β inactivation, nuclear translocation of Nrf2, upregulation of {HO-1} expression, but without affecting activity of both {NF-κB} and calpain. Enhancement of antioxidant response element {(ARE)} promoter-driven luciferase activity by {β-Ecd} correlated with the blockade of oxidative stress. Antioxidative effects of {β-Ecd} could be blocked by pharmacologic inhibition of the {PI3K} pathways with {LY294002} or Nrf2 pathway with {shRNA-mediated} knockdown of Nrf2 but not by {SP600125} {(JNK} inhibitor), {SB203580} {(p38-MAPK} inhibitor), or {PD98059} {(ERK1/2} inhibitor). Together, our results indicate that the inducible effect of {β-Ecd} on {HO-1} expression might be mediated, at least in part, by activating Akt kinase pathway and subsequent enhancement of {Nrf2/ARE} signaling pathway. In concert, these data suggest that {β-Ecd} may be a potential candidate for further preclinical study aimed at the treatment of {PD.}","author":[{"dropping-particle":"","family":"Zou","given":"Yu","non-dropping-particle":"","parse-names":false,"suffix":""},{"dropping-particle":"","family":"Wang","given":"Rongtian","non-dropping-particle":"","parse-names":false,"suffix":""},{"dropping-particle":"","family":"Guo","given":"Hongyan","non-dropping-particle":"","parse-names":false,"suffix":""},{"dropping-particle":"","family":"Dong","given":"Miaoxian","non-dropping-particle":"","parse-names":false,"suffix":""}],"container-title":"Toxicological Sciences","id":"ITEM-1","issue":"1","issued":{"date-parts":[["2015","9"]]},"page":"28-38","title":"Phytoestrogen β-Ecdysterone Protects PC12 Cells Against MPP + -Induced Neurotoxicity In Vitro : Involvement of PI3K-Nrf2-Regulated Pathway","type":"article-journal","volume":"147"},"uris":["http://www.mendeley.com/documents/?uuid=6f178aec-a929-4850-829a-6e8c4e792995"]}],"mendeley":{"formattedCitation":"(Zou et al., 2015)","plainTextFormattedCitation":"(Zou et al., 2015)","previouslyFormattedCitation":"(Zou et al., 2015)"},"properties":{"noteIndex":0},"schema":"https://github.com/citation-style-language/schema/raw/master/csl-citation.json"}</w:instrText>
      </w:r>
      <w:r w:rsidR="0077149A" w:rsidRPr="00CB1C44">
        <w:rPr>
          <w:rFonts w:ascii="Arial" w:hAnsi="Arial" w:cs="Arial"/>
          <w:lang w:val="en-US"/>
        </w:rPr>
        <w:fldChar w:fldCharType="separate"/>
      </w:r>
      <w:r w:rsidR="00DD645C" w:rsidRPr="00CB1C44">
        <w:rPr>
          <w:rFonts w:ascii="Arial" w:hAnsi="Arial" w:cs="Arial"/>
          <w:noProof/>
          <w:lang w:val="en-US"/>
        </w:rPr>
        <w:t>(Zou et al., 2015)</w:t>
      </w:r>
      <w:r w:rsidR="0077149A" w:rsidRPr="00CB1C44">
        <w:rPr>
          <w:rFonts w:ascii="Arial" w:hAnsi="Arial" w:cs="Arial"/>
          <w:lang w:val="en-US"/>
        </w:rPr>
        <w:fldChar w:fldCharType="end"/>
      </w:r>
      <w:r w:rsidR="0077149A" w:rsidRPr="00CB1C44">
        <w:rPr>
          <w:rFonts w:ascii="Arial" w:hAnsi="Arial" w:cs="Arial"/>
          <w:lang w:val="en-US"/>
        </w:rPr>
        <w:t>,</w:t>
      </w:r>
      <w:r w:rsidRPr="00CB1C44">
        <w:rPr>
          <w:rFonts w:ascii="Arial" w:hAnsi="Arial" w:cs="Arial"/>
          <w:lang w:val="en-US"/>
        </w:rPr>
        <w:t xml:space="preserve"> </w:t>
      </w:r>
      <w:r w:rsidR="0070298B" w:rsidRPr="00CB1C44">
        <w:rPr>
          <w:rFonts w:ascii="Arial" w:hAnsi="Arial" w:cs="Arial"/>
          <w:lang w:val="en-US"/>
        </w:rPr>
        <w:t xml:space="preserve">and </w:t>
      </w:r>
      <w:proofErr w:type="spellStart"/>
      <w:r w:rsidR="00C838B7" w:rsidRPr="00CB1C44">
        <w:rPr>
          <w:rFonts w:ascii="Arial" w:hAnsi="Arial" w:cs="Arial"/>
          <w:lang w:val="en-US"/>
        </w:rPr>
        <w:t>p</w:t>
      </w:r>
      <w:r w:rsidR="0070298B" w:rsidRPr="00CB1C44">
        <w:rPr>
          <w:rFonts w:ascii="Arial" w:hAnsi="Arial" w:cs="Arial"/>
          <w:lang w:val="en-US"/>
        </w:rPr>
        <w:t>inostrobin</w:t>
      </w:r>
      <w:proofErr w:type="spellEnd"/>
      <w:r w:rsidR="0077149A" w:rsidRPr="00CB1C44">
        <w:rPr>
          <w:rFonts w:ascii="Arial" w:hAnsi="Arial" w:cs="Arial"/>
          <w:lang w:val="en-US"/>
        </w:rPr>
        <w:t xml:space="preserve"> </w:t>
      </w:r>
      <w:r w:rsidR="0070298B" w:rsidRPr="00CB1C44">
        <w:rPr>
          <w:rFonts w:ascii="Arial" w:hAnsi="Arial" w:cs="Arial"/>
          <w:lang w:val="en-US"/>
        </w:rPr>
        <w:t>(PSB), a dietary bioflavonoid</w:t>
      </w:r>
      <w:r w:rsidR="0077149A" w:rsidRPr="00CB1C44">
        <w:rPr>
          <w:rFonts w:ascii="Arial" w:hAnsi="Arial" w:cs="Arial"/>
          <w:lang w:val="en-US"/>
        </w:rPr>
        <w:t xml:space="preserve"> </w:t>
      </w:r>
      <w:r w:rsidR="00404B1A"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{"citationItems":[{"id":"ITEM-1","itemData":{"DOI":"10.1021/acs.jafc.8b02607","ISSN":"0021-8561","PMID":"29961319","abstract":"The aim of the present study was to assess the neuroprotective effects of pinostrobin (PSB), a dietary bioflavonoid, and its underlying mechanisms in neurotoxin-induced Parkinson's disease (PD) models. First, PSB could attenuate 1-methyl-4-phenyl-1,2,3,6-tetrahydropyridine (MPTP)-induced loss of dopaminergic neurons and improve behavior deficiency in zebrafish, supporting its potential neuroprotective actions in vivo. Next, PSB could decreased apoptosis and death in the 1-methyl-4-phenylpyridinium (MPP+)-intoxicated SH-SY5Y cells, evidenced by MTT, LDH, Annexin V-FITC/PI, and DNA fragmentation assay. PSB also blocked MPP+-induced apoptotic cascades, including loss of mitochondrial membrane potential, activation of caspase 3, and reduced ratio of Bcl-2/Bax. In addition, PSB suppressed MPP+-induced oxidative stress but increased antioxidant enzymes, evidenced by decrease of reactive oxygen species generation and lipid peroxidation and up-regulation of GSH-Px, SOD, CAT, GSH/GSSG, and NAD/NADH. Further investigations showed that PSB significantly enhanced Nrf2 expression and nuclear accumulation, improved ARE promoter activity and up-regulated expression of HO-1 and GCLC. Furthermore, Nrf2 knockdown via specific Nrf2 siRNA abolished PSB-induced antioxidative and antiapoptotic effects against MPP+ insults. Interestingly, we then found that PSB promoted phosphorylation of PI3K/AKT and ERK, and pharmacological inhibition of PI3K/AKT or ERK signaling diminished PSB-induced Nrf2/ARE activation and protective actions. In summary, PSB confers neuroprotection against MPTP/MPP+-induced neurotoxicity in PD models. Promoting activation of Nrf2/ARE signaling contributes to PSB-mediated antioxidative and neuroprotective actions, which, in part, is mediated by PI3K/AKT and ERK.","author":[{"dropping-particle":"","family":"Li","given":"Chuwen","non-dropping-particle":"","parse-names":false,"suffix":""},{"dropping-particle":"","family":"Tang","given":"Benqin","non-dropping-particle":"","parse-names":false,"suffix":""},{"dropping-particle":"","family":"Feng","given":"Yu","non-dropping-particle":"","parse-names":false,"suffix":""},{"dropping-particle":"","family":"Tang","given":"Fan","non-dropping-particle":"","parse-names":false,"suffix":""},{"dropping-particle":"","family":"Pui-Man Hoi","given":"Maggie","non-dropping-particle":"","parse-names":false,"suffix":""},{"dropping-particle":"","family":"Su","given":"Ziren","non-dropping-particle":"","parse-names":false,"suffix":""},{"dropping-particle":"","family":"Ming-Yuen Lee","given":"Simon","non-dropping-particle":"","parse-names":false,"suffix":""}],"container-title":"Journal of Agricultural and Food Chemistry","id":"ITEM-1","issue":"31","issued":{"date-parts":[["2018","8","8"]]},"page":"8307-8318","title":"Pinostrobin Exerts Neuroprotective Actions in Neurotoxin-Induced Parkinson’s Disease Models through Nrf2 Induction","type":"article-journal","volume":"66"},"uris":["http://www.mendeley.com/documents/?uuid=039fbe2f-2214-40b1-86ca-1257b19df5c7"]}],"mendeley":{"formattedCitation":"(Li et al., 2018)","plainTextFormattedCitation":"(Li et al., 2018)","previouslyFormattedCitation":"(Li et al., 2018)"},"properties":{"noteIndex":0},"schema":"https://github.com/citation-style-language/schema/raw/master/csl-citation.json"}</w:instrText>
      </w:r>
      <w:r w:rsidR="00404B1A" w:rsidRPr="00CB1C44">
        <w:rPr>
          <w:rFonts w:ascii="Arial" w:hAnsi="Arial" w:cs="Arial"/>
          <w:lang w:val="en-US"/>
        </w:rPr>
        <w:fldChar w:fldCharType="separate"/>
      </w:r>
      <w:r w:rsidR="00DD645C" w:rsidRPr="00CB1C44">
        <w:rPr>
          <w:rFonts w:ascii="Arial" w:hAnsi="Arial" w:cs="Arial"/>
          <w:noProof/>
          <w:lang w:val="en-US"/>
        </w:rPr>
        <w:t>(Li et al., 2018)</w:t>
      </w:r>
      <w:r w:rsidR="00404B1A" w:rsidRPr="00CB1C44">
        <w:rPr>
          <w:rFonts w:ascii="Arial" w:hAnsi="Arial" w:cs="Arial"/>
          <w:lang w:val="en-US"/>
        </w:rPr>
        <w:fldChar w:fldCharType="end"/>
      </w:r>
      <w:r w:rsidR="0077149A" w:rsidRPr="00CB1C44">
        <w:rPr>
          <w:rFonts w:ascii="Arial" w:hAnsi="Arial" w:cs="Arial"/>
          <w:lang w:val="en-US"/>
        </w:rPr>
        <w:t>, respectively</w:t>
      </w:r>
      <w:r w:rsidR="0070298B" w:rsidRPr="00CB1C44">
        <w:rPr>
          <w:rFonts w:ascii="Arial" w:hAnsi="Arial" w:cs="Arial"/>
          <w:lang w:val="en-US"/>
        </w:rPr>
        <w:t xml:space="preserve"> </w:t>
      </w:r>
      <w:r w:rsidR="0077149A" w:rsidRPr="00CB1C44">
        <w:rPr>
          <w:rFonts w:ascii="Arial" w:hAnsi="Arial" w:cs="Arial"/>
          <w:lang w:val="en-US"/>
        </w:rPr>
        <w:t xml:space="preserve">in PC12 cells and SH-SY5Y cells, </w:t>
      </w:r>
      <w:r w:rsidR="00BF2660" w:rsidRPr="00CB1C44">
        <w:rPr>
          <w:rFonts w:ascii="Arial" w:hAnsi="Arial" w:cs="Arial"/>
          <w:lang w:val="en-US"/>
        </w:rPr>
        <w:t>decreased</w:t>
      </w:r>
      <w:r w:rsidRPr="00CB1C44">
        <w:rPr>
          <w:rFonts w:ascii="Arial" w:hAnsi="Arial" w:cs="Arial"/>
          <w:lang w:val="en-US"/>
        </w:rPr>
        <w:t xml:space="preserve"> </w:t>
      </w:r>
      <w:r w:rsidR="00BF2660" w:rsidRPr="00CB1C44">
        <w:rPr>
          <w:rFonts w:ascii="Arial" w:hAnsi="Arial" w:cs="Arial"/>
          <w:lang w:val="en-US"/>
        </w:rPr>
        <w:t xml:space="preserve">the </w:t>
      </w:r>
      <w:r w:rsidRPr="00CB1C44">
        <w:rPr>
          <w:rFonts w:ascii="Arial" w:hAnsi="Arial" w:cs="Arial"/>
          <w:lang w:val="en-US"/>
        </w:rPr>
        <w:t xml:space="preserve">oxidative stress </w:t>
      </w:r>
      <w:r w:rsidR="00BF2660" w:rsidRPr="00CB1C44">
        <w:rPr>
          <w:rFonts w:ascii="Arial" w:hAnsi="Arial" w:cs="Arial"/>
          <w:lang w:val="en-US"/>
        </w:rPr>
        <w:t>induced by the toxic metabolite of MPTP, MPP</w:t>
      </w:r>
      <w:r w:rsidR="00BF2660" w:rsidRPr="00CB1C44">
        <w:rPr>
          <w:rFonts w:ascii="Arial" w:hAnsi="Arial" w:cs="Arial"/>
          <w:vertAlign w:val="superscript"/>
          <w:lang w:val="en-US"/>
        </w:rPr>
        <w:t>+</w:t>
      </w:r>
      <w:r w:rsidR="00BF2660" w:rsidRPr="00CB1C44">
        <w:rPr>
          <w:rFonts w:ascii="Arial" w:hAnsi="Arial" w:cs="Arial"/>
          <w:lang w:val="en-US"/>
        </w:rPr>
        <w:t xml:space="preserve">, </w:t>
      </w:r>
      <w:r w:rsidRPr="00CB1C44">
        <w:rPr>
          <w:rFonts w:ascii="Arial" w:hAnsi="Arial" w:cs="Arial"/>
          <w:lang w:val="en-US"/>
        </w:rPr>
        <w:t xml:space="preserve">and </w:t>
      </w:r>
      <w:r w:rsidR="00BF2660" w:rsidRPr="00CB1C44">
        <w:rPr>
          <w:rFonts w:ascii="Arial" w:hAnsi="Arial" w:cs="Arial"/>
          <w:lang w:val="en-US"/>
        </w:rPr>
        <w:t xml:space="preserve">reduced </w:t>
      </w:r>
      <w:r w:rsidRPr="00CB1C44">
        <w:rPr>
          <w:rFonts w:ascii="Arial" w:hAnsi="Arial" w:cs="Arial"/>
          <w:lang w:val="en-US"/>
        </w:rPr>
        <w:t>apoptosis, through PI3K/</w:t>
      </w:r>
      <w:proofErr w:type="spellStart"/>
      <w:r w:rsidR="0026569F" w:rsidRPr="00CB1C44">
        <w:rPr>
          <w:rFonts w:ascii="Arial" w:hAnsi="Arial" w:cs="Arial"/>
          <w:lang w:val="en-US"/>
        </w:rPr>
        <w:t>Akt</w:t>
      </w:r>
      <w:proofErr w:type="spellEnd"/>
      <w:r w:rsidRPr="00CB1C44">
        <w:rPr>
          <w:rFonts w:ascii="Arial" w:hAnsi="Arial" w:cs="Arial"/>
          <w:lang w:val="en-US"/>
        </w:rPr>
        <w:t xml:space="preserve"> activation, GSK-3β inhibition and consequent enhanced Nrf2 target genes expression. </w:t>
      </w:r>
      <w:r w:rsidR="00A6496D" w:rsidRPr="00CB1C44">
        <w:rPr>
          <w:rFonts w:ascii="Arial" w:hAnsi="Arial" w:cs="Arial"/>
          <w:lang w:val="en-US"/>
        </w:rPr>
        <w:t xml:space="preserve">Furthermore, </w:t>
      </w:r>
      <w:r w:rsidR="00C838B7" w:rsidRPr="00CB1C44">
        <w:rPr>
          <w:rFonts w:ascii="Arial" w:hAnsi="Arial" w:cs="Arial"/>
          <w:lang w:val="en-US"/>
        </w:rPr>
        <w:t>b</w:t>
      </w:r>
      <w:r w:rsidR="00A6496D" w:rsidRPr="00CB1C44">
        <w:rPr>
          <w:rFonts w:ascii="Arial" w:hAnsi="Arial" w:cs="Arial"/>
          <w:lang w:val="en-US"/>
        </w:rPr>
        <w:t xml:space="preserve">erberine (BBR), an </w:t>
      </w:r>
      <w:proofErr w:type="spellStart"/>
      <w:r w:rsidR="00A6496D" w:rsidRPr="00CB1C44">
        <w:rPr>
          <w:rFonts w:ascii="Arial" w:hAnsi="Arial" w:cs="Arial"/>
          <w:lang w:val="en-US"/>
        </w:rPr>
        <w:t>isoquinoline</w:t>
      </w:r>
      <w:proofErr w:type="spellEnd"/>
      <w:r w:rsidR="00A6496D" w:rsidRPr="00CB1C44">
        <w:rPr>
          <w:rFonts w:ascii="Arial" w:hAnsi="Arial" w:cs="Arial"/>
          <w:lang w:val="en-US"/>
        </w:rPr>
        <w:t xml:space="preserve"> alkaloid with PI3K-activating activity, diminished the 6-OHDA-induced dopaminergic neuron loss and behavior movement alterations in zebrafish, through augmented PI3K/</w:t>
      </w:r>
      <w:proofErr w:type="spellStart"/>
      <w:r w:rsidR="0026569F" w:rsidRPr="00CB1C44">
        <w:rPr>
          <w:rFonts w:ascii="Arial" w:hAnsi="Arial" w:cs="Arial"/>
          <w:lang w:val="en-US"/>
        </w:rPr>
        <w:t>Akt</w:t>
      </w:r>
      <w:proofErr w:type="spellEnd"/>
      <w:r w:rsidR="00A6496D" w:rsidRPr="00CB1C44">
        <w:rPr>
          <w:rFonts w:ascii="Arial" w:hAnsi="Arial" w:cs="Arial"/>
          <w:lang w:val="en-US"/>
        </w:rPr>
        <w:t xml:space="preserve"> activation and consequent increased Nrf2 activity </w:t>
      </w:r>
      <w:r w:rsidR="000C3B49"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{"citationItems":[{"id":"ITEM-1","itemData":{"DOI":"10.1016/j.redox.2016.10.019","ISSN":"22132317","PMID":"27835779","abstract":"Berberine (BBR) is a renowned natural compound that exhibits potent neuroprotective activities. However, the cellular and molecular mechanisms are still unclear. Hormesis is an adaptive mechanism generally activated by mild oxidative stress to protect the cells from further damage. Many phytochemicals have been shown to induce hormesis. This study aims to investigate whether the neuroprotective activity of BBR is mediated by hormesis and the related signaling pathways in 6-OHDA-induced PC12 cells and zebrafish neurotoxic models. Our results demonstrated that BBR induced a typical hormetic response in PC12 cells, i.e. low dose BBR significantly increased the cell viability, while high dose BBR inhibited the cell viability. Moreover, low dose BBR protected the PC12 cells from 6-OHDA-induced cytotoxicity and apoptosis, whereas relatively high dose BBR did not show neuroprotective activity. The hormetic and neuroprotective effects of BBR were confirmed to be mediated by up-regulated PI3K/AKT/Bcl-2 cell survival and Nrf2/HO-1 antioxidative signaling pathways. In addition, low dose BBR markedly mitigated the 6-OHDA-induced dopaminergic neuron loss and behavior movement deficiency in zebrafish, while high dose BBR only slightly exhibited neuroprotective activities. These results strongly suggested that the neuroprotection of BBR were attributable to the hormetic mechanisms via activating cell survival and antioxidative signaling pathways.","author":[{"dropping-particle":"","family":"Zhang","given":"Chao","non-dropping-particle":"","parse-names":false,"suffix":""},{"dropping-particle":"","family":"Li","given":"Chuwen","non-dropping-particle":"","parse-names":false,"suffix":""},{"dropping-particle":"","family":"Chen","given":"Shenghui","non-dropping-particle":"","parse-names":false,"suffix":""},{"dropping-particle":"","family":"Li","given":"Zhiping","non-dropping-particle":"","parse-names":false,"suffix":""},{"dropping-particle":"","family":"Jia","given":"Xuejing","non-dropping-particle":"","parse-names":false,"suffix":""},{"dropping-particle":"","family":"Wang","given":"Kai","non-dropping-particle":"","parse-names":false,"suffix":""},{"dropping-particle":"","family":"Bao","given":"Jiaolin","non-dropping-particle":"","parse-names":false,"suffix":""},{"dropping-particle":"","family":"Liang","given":"Yeer","non-dropping-particle":"","parse-names":false,"suffix":""},{"dropping-particle":"","family":"Wang","given":"Xiaotong","non-dropping-particle":"","parse-names":false,"suffix":""},{"dropping-particle":"","family":"Chen","given":"Meiwan","non-dropping-particle":"","parse-names":false,"suffix":""},{"dropping-particle":"","family":"Li","given":"Peng","non-dropping-particle":"","parse-names":false,"suffix":""},{"dropping-particle":"","family":"Su","given":"Huanxing","non-dropping-particle":"","parse-names":false,"suffix":""},{"dropping-particle":"","family":"Wan","given":"Jian-Bo","non-dropping-particle":"","parse-names":false,"suffix":""},{"dropping-particle":"","family":"Lee","given":"Simon Ming Yuen","non-dropping-particle":"","parse-names":false,"suffix":""},{"dropping-particle":"","family":"Liu","given":"Kechun","non-dropping-particle":"","parse-names":false,"suffix":""},{"dropping-particle":"","family":"He","given":"Chengwei","non-dropping-particle":"","parse-names":false,"suffix":""}],"container-title":"Redox Biology","id":"ITEM-1","issue":"September 2016","issued":{"date-parts":[["2017","4"]]},"page":"1-11","publisher":"Elsevier","title":"Berberine protects against 6-OHDA-induced neurotoxicity in PC12 cells and zebrafish through hormetic mechanisms involving PI3K/AKT/Bcl-2 and Nrf2/HO-1 pathways","type":"article-journal","volume":"11"},"uris":["http://www.mendeley.com/documents/?uuid=06403ac4-73bd-43d9-9af9-b019c9fc58d3"]}],"mendeley":{"formattedCitation":"(C. Zhang et al., 2017)","plainTextFormattedCitation":"(C. Zhang et al., 2017)","previouslyFormattedCitation":"(C. Zhang et al., 2017)"},"properties":{"noteIndex":0},"schema":"https://github.com/citation-style-language/schema/raw/master/csl-citation.json"}</w:instrText>
      </w:r>
      <w:r w:rsidR="000C3B49" w:rsidRPr="00CB1C44">
        <w:rPr>
          <w:rFonts w:ascii="Arial" w:hAnsi="Arial" w:cs="Arial"/>
          <w:lang w:val="en-US"/>
        </w:rPr>
        <w:fldChar w:fldCharType="separate"/>
      </w:r>
      <w:r w:rsidR="00DD645C" w:rsidRPr="00CB1C44">
        <w:rPr>
          <w:rFonts w:ascii="Arial" w:hAnsi="Arial" w:cs="Arial"/>
          <w:noProof/>
          <w:lang w:val="en-US"/>
        </w:rPr>
        <w:t>(C. Zhang et al., 2017)</w:t>
      </w:r>
      <w:r w:rsidR="000C3B49" w:rsidRPr="00CB1C44">
        <w:rPr>
          <w:rFonts w:ascii="Arial" w:hAnsi="Arial" w:cs="Arial"/>
          <w:lang w:val="en-US"/>
        </w:rPr>
        <w:fldChar w:fldCharType="end"/>
      </w:r>
      <w:r w:rsidR="00A6496D" w:rsidRPr="00CB1C44">
        <w:rPr>
          <w:rFonts w:ascii="Arial" w:hAnsi="Arial" w:cs="Arial"/>
          <w:lang w:val="en-US"/>
        </w:rPr>
        <w:t xml:space="preserve">. </w:t>
      </w:r>
      <w:r w:rsidRPr="00CB1C44">
        <w:rPr>
          <w:rFonts w:ascii="Arial" w:hAnsi="Arial" w:cs="Arial"/>
          <w:lang w:val="en-US"/>
        </w:rPr>
        <w:t>Altogether, data suggest that both GSK-3β and PI3K/</w:t>
      </w:r>
      <w:proofErr w:type="spellStart"/>
      <w:r w:rsidR="0026569F" w:rsidRPr="00CB1C44">
        <w:rPr>
          <w:rFonts w:ascii="Arial" w:hAnsi="Arial" w:cs="Arial"/>
          <w:lang w:val="en-US"/>
        </w:rPr>
        <w:t>Akt</w:t>
      </w:r>
      <w:proofErr w:type="spellEnd"/>
      <w:r w:rsidRPr="00CB1C44">
        <w:rPr>
          <w:rFonts w:ascii="Arial" w:hAnsi="Arial" w:cs="Arial"/>
          <w:lang w:val="en-US"/>
        </w:rPr>
        <w:t xml:space="preserve"> pathways are considerable targets for PD treatment and act, at least in part, through the reestablishment of functional Nrf2 pathway.</w:t>
      </w:r>
    </w:p>
    <w:p w14:paraId="361A2B3B" w14:textId="3D6361DA" w:rsidR="000B147D" w:rsidRPr="00CB1C44" w:rsidRDefault="00BF0027" w:rsidP="004038B5">
      <w:pPr>
        <w:spacing w:after="0" w:line="360" w:lineRule="auto"/>
        <w:jc w:val="both"/>
        <w:rPr>
          <w:rFonts w:ascii="Arial" w:hAnsi="Arial" w:cs="Arial"/>
          <w:lang w:val="en-US"/>
        </w:rPr>
      </w:pPr>
      <w:r w:rsidRPr="00CB1C44">
        <w:rPr>
          <w:rFonts w:ascii="Arial" w:hAnsi="Arial" w:cs="Arial"/>
          <w:lang w:val="en-US"/>
        </w:rPr>
        <w:t>Due to its role in cell dead and neuroinflammation, besides its role on Nrf2 negative modulation</w:t>
      </w:r>
      <w:r w:rsidRPr="00CB1C44" w:rsidDel="00C316CC">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{"citationItems":[{"id":"ITEM-1","itemData":{"author":[{"dropping-particle":"","family":"Wilms H, Rosenstiel P, Sievers J","given":"Deuschl G:","non-dropping-particle":"","parse-names":false,"suffix":""}],"container-title":"Faseb J","id":"ITEM-1","issued":{"date-parts":[["2003"]]},"page":"500–502","title":"Activation ofmicroglia by human neuromelanin is NF-κB dependent and involves p38 mitogen-activated protein kinase: implications for Parkinson’s disease.","type":"article-journal","volume":"17"},"uris":["http://www.mendeley.com/documents/?uuid=ee9fbad9-117a-4604-9f44-95ae2a1d6a13"]},{"id":"ITEM-2","itemData":{"DOI":"10.2174/187152411794961040","ISBN":"1875-6166; 1871-5249","ISSN":"1875-6166","PMID":"20812905","abstract":"Mammalian p38 mitogen-activated protein kinases (MAPKs) are activated by various cellular stresses, as well as in response to inflammatory cytokines. In the central nervous systems (CNS), activation of the p38 MAPK pathway constitutes a key step in the development of several diseases, and the molecular mechanisms mediated by p38 MAPK signaling have been defined. Activation of this cascade releases pro-inflammatory cytokines that are known to be involved in cerebral ischemia, Alzheimer's disease (AD), Parkinson's disease (PD), multiple sclerosis (MS), neuropathic pain and depression. In AD, stimulated p38 MAPK may trigger the hyperphosphorylation of a neural microtubule-associated protein, tau. In addition, we have recently revealed that activation of p38 MAPK signaling decreases dendritic spine number, which may be associated with memory impairment after epileptic seizures. Thus, p38 MAPK can serve as a target for novel drug development for neural diseases. p38 MAPK inhibitors have been studied extensively in both preclinical experiments and clinical trials for inflammatory diseases. New p38 MAPK inhibitors are now being tested in phase II clinical trials for neuropathic pain and depression. Here, we review current and possible future applications of p38 MAPK inhibitors as therapeutic agents in neural diseases.","author":[{"dropping-particle":"","family":"Yasuda","given":"S","non-dropping-particle":"","parse-names":false,"suffix":""},{"dropping-particle":"","family":"Sugiura","given":"H","non-dropping-particle":"","parse-names":false,"suffix":""},{"dropping-particle":"","family":"Tanaka","given":"H","non-dropping-particle":"","parse-names":false,"suffix":""},{"dropping-particle":"","family":"Takigami","given":"S","non-dropping-particle":"","parse-names":false,"suffix":""},{"dropping-particle":"","family":"Yamagata","given":"K","non-dropping-particle":"","parse-names":false,"suffix":""}],"container-title":"Central nervous system agents in medicinal chemistry","id":"ITEM-2","issued":{"date-parts":[["2011"]]},"page":"45-59","title":"p38 MAP kinase inhibitors as potential therapeutic drugs for neural diseases.","type":"article-journal","volume":"11"},"uris":["http://www.mendeley.com/documents/?uuid=ad0488f2-273e-43c7-bce0-4c908c59e837"]}],"mendeley":{"formattedCitation":"(Wilms H, Rosenstiel P, Sievers J, 2003; Yasuda et al., 2011)","plainTextFormattedCitation":"(Wilms H, Rosenstiel P, Sievers J, 2003; Yasuda et al., 2011)","previouslyFormattedCitation":"(Wilms H, Rosenstiel P, Sievers J, 2003; Yasuda et al., 2011)"},"properties":{"noteIndex":0},"schema":"https://github.com/citation-style-language/schema/raw/master/csl-citation.json"}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(Wilms H, Rosenstiel P, Sievers J, 2003; Yasuda et al., 2011)</w:t>
      </w:r>
      <w:r w:rsidR="00844011" w:rsidRPr="00CB1C44">
        <w:rPr>
          <w:rFonts w:ascii="Arial" w:hAnsi="Arial" w:cs="Arial"/>
          <w:lang w:val="en-US"/>
        </w:rPr>
        <w:fldChar w:fldCharType="end"/>
      </w:r>
      <w:r w:rsidRPr="00CB1C44">
        <w:rPr>
          <w:rFonts w:ascii="Arial" w:hAnsi="Arial" w:cs="Arial"/>
          <w:lang w:val="en-US"/>
        </w:rPr>
        <w:t xml:space="preserve">, </w:t>
      </w:r>
      <w:r w:rsidR="00621A2C" w:rsidRPr="00CB1C44">
        <w:rPr>
          <w:rFonts w:ascii="Arial" w:hAnsi="Arial" w:cs="Arial"/>
          <w:lang w:val="en-US"/>
        </w:rPr>
        <w:t xml:space="preserve">p38 MAPK </w:t>
      </w:r>
      <w:r w:rsidR="004F6F6F" w:rsidRPr="00CB1C44">
        <w:rPr>
          <w:rFonts w:ascii="Arial" w:hAnsi="Arial" w:cs="Arial"/>
          <w:lang w:val="en-US"/>
        </w:rPr>
        <w:t>is considered as a relevant target for PD therapeutic development</w:t>
      </w:r>
      <w:r w:rsidR="001E5B97" w:rsidRPr="00CB1C44">
        <w:rPr>
          <w:rFonts w:ascii="Arial" w:hAnsi="Arial" w:cs="Arial"/>
          <w:lang w:val="en-US"/>
        </w:rPr>
        <w:t xml:space="preserve"> (Figure 5)</w:t>
      </w:r>
      <w:r w:rsidR="00621A2C" w:rsidRPr="00CB1C44">
        <w:rPr>
          <w:rFonts w:ascii="Arial" w:hAnsi="Arial" w:cs="Arial"/>
          <w:lang w:val="en-US"/>
        </w:rPr>
        <w:t xml:space="preserve">. </w:t>
      </w:r>
      <w:r w:rsidR="00B8198B" w:rsidRPr="00CB1C44">
        <w:rPr>
          <w:rFonts w:ascii="Arial" w:hAnsi="Arial" w:cs="Arial"/>
          <w:lang w:val="en-US"/>
        </w:rPr>
        <w:t xml:space="preserve">In fact, </w:t>
      </w:r>
      <w:r w:rsidR="000D35B8" w:rsidRPr="00CB1C44">
        <w:rPr>
          <w:rFonts w:ascii="Arial" w:hAnsi="Arial" w:cs="Arial"/>
          <w:lang w:val="en-US"/>
        </w:rPr>
        <w:t>p38 MAPK activation</w:t>
      </w:r>
      <w:r w:rsidR="000D35B8" w:rsidRPr="00CB1C44" w:rsidDel="000D35B8">
        <w:rPr>
          <w:rFonts w:ascii="Arial" w:hAnsi="Arial" w:cs="Arial"/>
          <w:lang w:val="en-US"/>
        </w:rPr>
        <w:t xml:space="preserve"> </w:t>
      </w:r>
      <w:r w:rsidR="000D35B8" w:rsidRPr="00CB1C44">
        <w:rPr>
          <w:rFonts w:ascii="Arial" w:hAnsi="Arial" w:cs="Arial"/>
          <w:lang w:val="en-US"/>
        </w:rPr>
        <w:t xml:space="preserve">is induced </w:t>
      </w:r>
      <w:r w:rsidR="00B84C44" w:rsidRPr="00CB1C44">
        <w:rPr>
          <w:rFonts w:ascii="Arial" w:hAnsi="Arial" w:cs="Arial"/>
          <w:lang w:val="en-US"/>
        </w:rPr>
        <w:t xml:space="preserve">in dopaminergic neurons </w:t>
      </w:r>
      <w:r w:rsidR="000D35B8" w:rsidRPr="00CB1C44">
        <w:rPr>
          <w:rFonts w:ascii="Arial" w:hAnsi="Arial" w:cs="Arial"/>
          <w:lang w:val="en-US"/>
        </w:rPr>
        <w:t xml:space="preserve">from </w:t>
      </w:r>
      <w:r w:rsidR="00B84C44" w:rsidRPr="00CB1C44">
        <w:rPr>
          <w:rFonts w:ascii="Arial" w:hAnsi="Arial" w:cs="Arial"/>
          <w:lang w:val="en-US"/>
        </w:rPr>
        <w:t>PD m</w:t>
      </w:r>
      <w:r w:rsidR="00EE6D17" w:rsidRPr="00CB1C44">
        <w:rPr>
          <w:rFonts w:ascii="Arial" w:hAnsi="Arial" w:cs="Arial"/>
          <w:lang w:val="en-US"/>
        </w:rPr>
        <w:t>ouse</w:t>
      </w:r>
      <w:r w:rsidR="00B84C44" w:rsidRPr="00CB1C44">
        <w:rPr>
          <w:rFonts w:ascii="Arial" w:hAnsi="Arial" w:cs="Arial"/>
          <w:lang w:val="en-US"/>
        </w:rPr>
        <w:t xml:space="preserve"> model</w:t>
      </w:r>
      <w:r w:rsidR="000D35B8" w:rsidRPr="00CB1C44">
        <w:rPr>
          <w:rFonts w:ascii="Arial" w:hAnsi="Arial" w:cs="Arial"/>
          <w:lang w:val="en-US"/>
        </w:rPr>
        <w:t xml:space="preserve"> treated with MPTP</w:t>
      </w:r>
      <w:r w:rsidR="00B84C44"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{"citationItems":[{"id":"ITEM-1","itemData":{"DOI":"10.1111/j.1471-4159.2009.06112.x","ISBN":"1471-4159 (Electronic)\\r0022-3042 (Linking)","ISSN":"00223042","PMID":"19457134","abstract":"Activation and translocation of the transcription factor nuclear factor kappa B (NF-kappaB) from cytoplasm to the nucleus has been reported in models of Parkinson's disease (PD). Our focus was to discern the upstream events which ultimately lead to NF-kappaB nuclear translocation using animal model of PD. We demonstrate that p38 activation results in downstream phosphorylation of NF-kappaB and accumulation of p65 subunit of NF-kappaB selectively in ventral midbrain but not in striatum. Treatment with p38 inhibitor, SB239063, prevented downstream phosphorylation of IkappaB alpha and p65 translocation to the nucleus in the ventral midbrain. Phosphorylation of anti-apoptotic Bcl2, an NF-kappaB target gene by p38 to inactive pBcl2ser87 was also attenuated by SB239063. Increased staining of p65 in the nuclei of cells in the substantia nigra but not in the ventral tegmental area of MPTP-treated mice further suggests a role for NF-kappaB in PD. In agreement with the above, sustained caspase activation is seen in the ventral midbrain but not in striatum. We demonstrate the region specific p38-mediated activation of NF-kappaB following MPTP treatment demonstrating the role of p38/NF-kappaB signaling in the pathogenesis and progression of the disease. Selective inhibitors of p38 may therefore, help preserve the surviving neurons in PD and slow down the disease progression.","author":[{"dropping-particle":"","family":"Karunakaran","given":"S.","non-dropping-particle":"","parse-names":false,"suffix":""},{"dropping-particle":"","family":"Ravindranath","given":"V.","non-dropping-particle":"","parse-names":false,"suffix":""}],"container-title":"Journal of Neurochemistry","id":"ITEM-1","issue":"6","issued":{"date-parts":[["2009","6"]]},"page":"1791-1799","title":"Activation of p38 MAPK in the substantia nigra leads to nuclear translocation of NF-κB in MPTP-treated mice: implication in Parkinson’s disease","type":"article-journal","volume":"109"},"uris":["http://www.mendeley.com/documents/?uuid=1db778c8-e82f-41f0-be55-f242600d98fc"]}],"mendeley":{"formattedCitation":"(Karunakaran and Ravindranath, 2009)","plainTextFormattedCitation":"(Karunakaran and Ravindranath, 2009)","previouslyFormattedCitation":"(Karunakaran and Ravindranath, 2009)"},"properties":{"noteIndex":0},"schema":"https://github.com/citation-style-language/schema/raw/master/csl-citation.json"}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(Karunakaran and Ravindranath, 2009)</w:t>
      </w:r>
      <w:r w:rsidR="00844011" w:rsidRPr="00CB1C44">
        <w:rPr>
          <w:rFonts w:ascii="Arial" w:hAnsi="Arial" w:cs="Arial"/>
          <w:lang w:val="en-US"/>
        </w:rPr>
        <w:fldChar w:fldCharType="end"/>
      </w:r>
      <w:r w:rsidR="00DF04E9" w:rsidRPr="00CB1C44">
        <w:rPr>
          <w:rFonts w:ascii="Arial" w:hAnsi="Arial" w:cs="Arial"/>
          <w:lang w:val="en-US"/>
        </w:rPr>
        <w:t xml:space="preserve"> or </w:t>
      </w:r>
      <w:r w:rsidR="00B84C44" w:rsidRPr="00CB1C44">
        <w:rPr>
          <w:rFonts w:ascii="Arial" w:hAnsi="Arial" w:cs="Arial"/>
          <w:lang w:val="en-US"/>
        </w:rPr>
        <w:t>human dopaminergic SH-SY5Y cells</w:t>
      </w:r>
      <w:r w:rsidR="000D35B8" w:rsidRPr="00CB1C44">
        <w:rPr>
          <w:rFonts w:ascii="Arial" w:hAnsi="Arial" w:cs="Arial"/>
          <w:lang w:val="en-US"/>
        </w:rPr>
        <w:t xml:space="preserve"> treated with rotenone</w:t>
      </w:r>
      <w:r w:rsidR="00B84C44"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{"citationItems":[{"id":"ITEM-1","itemData":{"DOI":"10.1093/toxsci/kfh089","ISBN":"1096-6080 (Print)","ISSN":"10966080","PMID":"14976342","abstract":"Rotenone is a naturally derived pesticide that has recently been shown to evoke the behavioral and pathological symptoms of Parkinson's disease in animal models. Though rotenone is known to be an inhibitor of the mitochondrial complex I electron transport chain, little is known about downstream pathways leading to its toxicity. We used human dopaminergic SH-SY5Y cells to study mechanisms of rotenone-induced neuronal cell death. Our results suggest that rotenone, at nanomolar concentrations, induces apoptosis in SH-SY5Y cells that is caspase-dependent. Furthermore, rotenone treatment induces phosphorylation of c-Jun, the c-Jun N-terminal protein kinase (JNK), and the p38 mitogen activated protein (MAP) kinase, indicative of activation of the p38 and JNK pathways. Importantly, expression of dominant interfering constructs of the JNK or p38 pathways attenuated rotenone-induced apoptosis. These data suggest that rotenone induces apoptosis in the dopaminergic SH-SY5Y cells that requires activation of the JNK and p38 MAP kinases and caspases. These studies provide insights concerning the molecular mechanisms of rotenone-induced apoptosis in neuronal cells.","author":[{"dropping-particle":"","family":"Newhouse","given":"Kathleen","non-dropping-particle":"","parse-names":false,"suffix":""},{"dropping-particle":"","family":"Hsuan","given":"Shih Ling","non-dropping-particle":"","parse-names":false,"suffix":""},{"dropping-particle":"","family":"Chang","given":"Sandra H.","non-dropping-particle":"","parse-names":false,"suffix":""},{"dropping-particle":"","family":"Cai","given":"Beibei","non-dropping-particle":"","parse-names":false,"suffix":""},{"dropping-particle":"","family":"Wang","given":"Yupeng","non-dropping-particle":"","parse-names":false,"suffix":""},{"dropping-particle":"","family":"Xia","given":"Zhengui","non-dropping-particle":"","parse-names":false,"suffix":""}],"container-title":"Toxicological Sciences","id":"ITEM-1","issue":"1","issued":{"date-parts":[["2004"]]},"page":"137-146","title":"Rotenone-induced apoptosis is mediated by p38 and JNK MAP kinases in human dopaminergic SH-SY5Y cells","type":"article-journal","volume":"79"},"uris":["http://www.mendeley.com/documents/?uuid=19c4c319-60f4-4e2e-8686-ac1d3143f2b9"]}],"mendeley":{"formattedCitation":"(Newhouse et al., 2004)","plainTextFormattedCitation":"(Newhouse et al., 2004)","previouslyFormattedCitation":"(Newhouse et al., 2004)"},"properties":{"noteIndex":0},"schema":"https://github.com/citation-style-language/schema/raw/master/csl-citation.json"}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(Newhouse et al., 2004)</w:t>
      </w:r>
      <w:r w:rsidR="00844011" w:rsidRPr="00CB1C44">
        <w:rPr>
          <w:rFonts w:ascii="Arial" w:hAnsi="Arial" w:cs="Arial"/>
          <w:lang w:val="en-US"/>
        </w:rPr>
        <w:fldChar w:fldCharType="end"/>
      </w:r>
      <w:r w:rsidR="00B70E81" w:rsidRPr="00CB1C44">
        <w:rPr>
          <w:rFonts w:ascii="Arial" w:hAnsi="Arial" w:cs="Arial"/>
          <w:lang w:val="en-US"/>
        </w:rPr>
        <w:t xml:space="preserve">. </w:t>
      </w:r>
      <w:r w:rsidR="00EE54B0" w:rsidRPr="00CB1C44">
        <w:rPr>
          <w:rFonts w:ascii="Arial" w:hAnsi="Arial" w:cs="Arial"/>
          <w:lang w:val="en-US"/>
        </w:rPr>
        <w:t xml:space="preserve">Concordantly, neurons from PD patient’s brains </w:t>
      </w:r>
      <w:r w:rsidR="00EE54B0" w:rsidRPr="00CB1C44">
        <w:rPr>
          <w:rFonts w:ascii="Arial" w:hAnsi="Arial" w:cs="Arial"/>
          <w:i/>
          <w:lang w:val="en-US"/>
        </w:rPr>
        <w:t xml:space="preserve">substantia </w:t>
      </w:r>
      <w:proofErr w:type="spellStart"/>
      <w:r w:rsidR="00EE54B0" w:rsidRPr="00CB1C44">
        <w:rPr>
          <w:rFonts w:ascii="Arial" w:hAnsi="Arial" w:cs="Arial"/>
          <w:i/>
          <w:lang w:val="en-US"/>
        </w:rPr>
        <w:t>nigra</w:t>
      </w:r>
      <w:proofErr w:type="spellEnd"/>
      <w:r w:rsidR="00EE54B0" w:rsidRPr="00CB1C44">
        <w:rPr>
          <w:rFonts w:ascii="Arial" w:hAnsi="Arial" w:cs="Arial"/>
          <w:i/>
          <w:lang w:val="en-US"/>
        </w:rPr>
        <w:t xml:space="preserve"> pars compacta</w:t>
      </w:r>
      <w:r w:rsidR="00EE54B0" w:rsidRPr="00CB1C44">
        <w:rPr>
          <w:rFonts w:ascii="Arial" w:hAnsi="Arial" w:cs="Arial"/>
          <w:lang w:val="en-US"/>
        </w:rPr>
        <w:t xml:space="preserve"> showed increased phosphorylated p38 MAPK </w:t>
      </w:r>
      <w:r w:rsidR="00EE54B0" w:rsidRPr="00CB1C44">
        <w:rPr>
          <w:rFonts w:ascii="Arial" w:hAnsi="Arial" w:cs="Arial"/>
          <w:lang w:val="en-US"/>
        </w:rPr>
        <w:lastRenderedPageBreak/>
        <w:t xml:space="preserve">levels, suggesting the involvement of this kinase in dopaminergic neuronal loss </w:t>
      </w:r>
      <w:r w:rsidR="00EE54B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{"citationItems":[{"id":"ITEM-1","itemData":{"DOI":"10.1523/jneurosci.4511-08.2008","ISSN":"0270-6474","abstract":"Parkinson's disease (PD) is a progressive neurodegenerative disease characterized by the degeneration of the dopaminergic neurons in the substantia nigra pars compacta (SNpc). Activation of the mixed lineage kinase and c-Jun N-terminal kinase (JNK) has been reported in models of PD. Our focus was to discern whether distinct pathways were activated in cell-specific manner within the SNpc. We now demonstrate the selective phosphorylation of p38 MAP kinase within the dopaminergic neurons, whereas JNK activation occurs predominantly in the microglia. p38 activation results in downstream phosphorylation of p53 and increased p53 mediated transcription of Bax and Puma in the ventral midbrain. Treatment with p38 inhibitor, SB239063 protected primary dopaminergic neurons derived from human progenitor cells from MPP+ mediated cell death and prevented the downstream phosphorylation of p53 and its translocation to the nucleus in vivo, in the ventral midbrain. The increased staining of phosphorylated p38 in the surviving neurons of SNpc in human brain sections from patients with PD and in MPTP treated mice but not in the ventral tegmental area provides further evidence suggesting a role for p38 in the degeneration of dopaminergic neurons of SNpc. We thus demonstrate the cell specific activation of MAP kinase pathways within the SNpc after MPTP treatment emphasizing the role of multiple signaling cascades in the pathogenesis and progression of the disease. Selective inhibitors of p38 may therefore, help preserve the surviving neurons in PD and slow down the disease progression.","author":[{"dropping-particle":"","family":"Karunakaran","given":"Smitha","non-dropping-particle":"","parse-names":false,"suffix":""},{"dropping-particle":"","family":"Saeed","given":"Uzma","non-dropping-particle":"","parse-names":false,"suffix":""},{"dropping-particle":"","family":"Mishra","given":"Mamata","non-dropping-particle":"","parse-names":false,"suffix":""},{"dropping-particle":"","family":"Valli","given":"R Khader","non-dropping-particle":"","parse-names":false,"suffix":""},{"dropping-particle":"","family":"Datt Joshi","given":"Shanker","non-dropping-particle":"","parse-names":false,"suffix":""},{"dropping-particle":"","family":"Meka","given":"Durga Praveen","non-dropping-particle":"","parse-names":false,"suffix":""},{"dropping-particle":"","family":"Seth","given":"Pankaj","non-dropping-particle":"","parse-names":false,"suffix":""},{"dropping-particle":"","family":"Ravindranath","given":"Vijayalakshmi","non-dropping-particle":"","parse-names":false,"suffix":""},{"dropping-particle":"","family":"Joshi","given":"Shanker Datt","non-dropping-particle":"","parse-names":false,"suffix":""},{"dropping-particle":"","family":"Meka","given":"Durga Praveen","non-dropping-particle":"","parse-names":false,"suffix":""},{"dropping-particle":"","family":"Seth","given":"Pankaj","non-dropping-particle":"","parse-names":false,"suffix":""},{"dropping-particle":"","family":"Ravindranath","given":"Vijayalakshmi","non-dropping-particle":"","parse-names":false,"suffix":""}],"container-title":"J Neurosci","id":"ITEM-1","issue":"47","issued":{"date-parts":[["2008"]]},"page":"12500-12509","title":"Selective Activation of p38 Mitogen-Activated Protein Kinase in Dopaminergic Neurons of Substantia Nigra Leads to Nuclear Translocation of p53 in 1-Methyl-4-Phenyl-1,2,3,6-Tetrahydropyridine-Treated Mice","type":"article-journal","volume":"28"},"uris":["http://www.mendeley.com/documents/?uuid=78bc7394-fcc9-4823-a51b-ea32e6df41e9"]}],"mendeley":{"formattedCitation":"(Karunakaran et al., 2008)","plainTextFormattedCitation":"(Karunakaran et al., 2008)","previouslyFormattedCitation":"(Karunakaran et al., 2008)"},"properties":{"noteIndex":0},"schema":"https://github.com/citation-style-language/schema/raw/master/csl-citation.json"}</w:instrText>
      </w:r>
      <w:r w:rsidR="00EE54B0" w:rsidRPr="00CB1C44">
        <w:rPr>
          <w:rFonts w:ascii="Arial" w:hAnsi="Arial" w:cs="Arial"/>
          <w:lang w:val="en-US"/>
        </w:rPr>
        <w:fldChar w:fldCharType="separate"/>
      </w:r>
      <w:r w:rsidR="00DD645C" w:rsidRPr="00CB1C44">
        <w:rPr>
          <w:rFonts w:ascii="Arial" w:hAnsi="Arial" w:cs="Arial"/>
          <w:noProof/>
          <w:lang w:val="en-US"/>
        </w:rPr>
        <w:t>(Karunakaran et al., 2008)</w:t>
      </w:r>
      <w:r w:rsidR="00EE54B0" w:rsidRPr="00CB1C44">
        <w:rPr>
          <w:rFonts w:ascii="Arial" w:hAnsi="Arial" w:cs="Arial"/>
          <w:lang w:val="en-US"/>
        </w:rPr>
        <w:fldChar w:fldCharType="end"/>
      </w:r>
      <w:r w:rsidR="00EE54B0" w:rsidRPr="00CB1C44">
        <w:rPr>
          <w:rFonts w:ascii="Arial" w:hAnsi="Arial" w:cs="Arial"/>
          <w:lang w:val="en-US"/>
        </w:rPr>
        <w:t xml:space="preserve">. </w:t>
      </w:r>
      <w:r w:rsidR="003948FF" w:rsidRPr="00CB1C44">
        <w:rPr>
          <w:rFonts w:ascii="Arial" w:hAnsi="Arial" w:cs="Arial"/>
          <w:lang w:val="en-US"/>
        </w:rPr>
        <w:t>Interestingly</w:t>
      </w:r>
      <w:r w:rsidR="00B50BCB" w:rsidRPr="00CB1C44">
        <w:rPr>
          <w:rFonts w:ascii="Arial" w:hAnsi="Arial" w:cs="Arial"/>
          <w:lang w:val="en-US"/>
        </w:rPr>
        <w:t xml:space="preserve">, </w:t>
      </w:r>
      <w:r w:rsidR="00B84C44" w:rsidRPr="00CB1C44">
        <w:rPr>
          <w:rFonts w:ascii="Arial" w:hAnsi="Arial" w:cs="Arial"/>
          <w:lang w:val="en-US"/>
        </w:rPr>
        <w:t>α-Syn</w:t>
      </w:r>
      <w:r w:rsidR="00B50BCB" w:rsidRPr="00CB1C44">
        <w:rPr>
          <w:rFonts w:ascii="Arial" w:hAnsi="Arial" w:cs="Arial"/>
          <w:lang w:val="en-US"/>
        </w:rPr>
        <w:t xml:space="preserve"> can be released from damaged </w:t>
      </w:r>
      <w:r w:rsidR="00D21320" w:rsidRPr="00CB1C44">
        <w:rPr>
          <w:rFonts w:ascii="Arial" w:hAnsi="Arial" w:cs="Arial"/>
          <w:lang w:val="en-US"/>
        </w:rPr>
        <w:t xml:space="preserve">Lewy </w:t>
      </w:r>
      <w:r w:rsidR="00D04F59" w:rsidRPr="00CB1C44">
        <w:rPr>
          <w:rFonts w:ascii="Arial" w:hAnsi="Arial" w:cs="Arial"/>
          <w:lang w:val="en-US"/>
        </w:rPr>
        <w:t>bodie</w:t>
      </w:r>
      <w:r w:rsidR="00D21320" w:rsidRPr="00CB1C44">
        <w:rPr>
          <w:rFonts w:ascii="Arial" w:hAnsi="Arial" w:cs="Arial"/>
          <w:lang w:val="en-US"/>
        </w:rPr>
        <w:t xml:space="preserve">s containing </w:t>
      </w:r>
      <w:r w:rsidR="00B50BCB" w:rsidRPr="00CB1C44">
        <w:rPr>
          <w:rFonts w:ascii="Arial" w:hAnsi="Arial" w:cs="Arial"/>
          <w:lang w:val="en-US"/>
        </w:rPr>
        <w:t>neurons and interact with microglia</w:t>
      </w:r>
      <w:r w:rsidR="00FE7429" w:rsidRPr="00CB1C44">
        <w:rPr>
          <w:rFonts w:ascii="Arial" w:hAnsi="Arial" w:cs="Arial"/>
          <w:lang w:val="en-US"/>
        </w:rPr>
        <w:t>,</w:t>
      </w:r>
      <w:r w:rsidR="00736663" w:rsidRPr="00CB1C44">
        <w:rPr>
          <w:rFonts w:ascii="Arial" w:hAnsi="Arial" w:cs="Arial"/>
          <w:lang w:val="en-US"/>
        </w:rPr>
        <w:t xml:space="preserve"> leading</w:t>
      </w:r>
      <w:r w:rsidR="00B50BCB" w:rsidRPr="00CB1C44">
        <w:rPr>
          <w:rFonts w:ascii="Arial" w:hAnsi="Arial" w:cs="Arial"/>
          <w:lang w:val="en-US"/>
        </w:rPr>
        <w:t xml:space="preserve"> to p38 MAPK activation</w:t>
      </w:r>
      <w:r w:rsidR="00B70E81"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{"citationItems":[{"id":"ITEM-1","itemData":{"DOI":"10.1016/j.neurobiolaging.2006.11.013","ISBN":"1558-1497 (Electronic)\\r0197-4580 (Linking)","ISSN":"01974580","PMID":"17166628","abstract":"Here we show that ??-synuclein, a major constituent of Lewy bodies, induces inflammation in human microglial and human THP-1 cells. Secretions from such stimulated THP-1 cells contain increased levels of IL-1?? and TNF-??. When stimulated by ??-synuclein in combination with IFN-??, secretions from the cells also become toxic towards SH-SY5Y neuroblastoma cells. The A30P, E46K and A53T ??-synuclein mutations, which induce Parkinson's disease, are more potent than normal ??-synuclein in the induction of such cytotoxicity. To investigate the signaling mechanisms evoked, protein phosphorylation profiling was applied. At least 81 target phospho-sites were identified. Large increases were induced in the three major mitogen-activated protein (MAP) kinase pathways: p38 MAP kinase, extracellular regulated protein-serine kinase (ERK)1/2 and c-Jun-N-terminal kinase (JNK). Upregulation occurred within minutes following exposure to ??-synuclein, which is consistent with a receptor-mediated effect. These findings demonstrate that ??-synuclein acts as a potent inflammatory stimulator of microglial cells, and that inhibitors of such stimulation might be beneficial in the treatment of Parkinson's disease and other synucleinopathies. ?? 2006 Elsevier Inc. All rights reserved.","author":[{"dropping-particle":"","family":"Klegeris","given":"Andis","non-dropping-particle":"","parse-names":false,"suffix":""},{"dropping-particle":"","family":"Pelech","given":"Steven","non-dropping-particle":"","parse-names":false,"suffix":""},{"dropping-particle":"","family":"Giasson","given":"Benoit I.","non-dropping-particle":"","parse-names":false,"suffix":""},{"dropping-particle":"","family":"Maguire","given":"John","non-dropping-particle":"","parse-names":false,"suffix":""},{"dropping-particle":"","family":"Zhang","given":"Hong","non-dropping-particle":"","parse-names":false,"suffix":""},{"dropping-particle":"","family":"McGeer","given":"Edith G.","non-dropping-particle":"","parse-names":false,"suffix":""},{"dropping-particle":"","family":"McGeer","given":"Patrick L.","non-dropping-particle":"","parse-names":false,"suffix":""}],"container-title":"Neurobiology of Aging","id":"ITEM-1","issue":"5","issued":{"date-parts":[["2008"]]},"page":"739-752","title":"Alpha-Synuclein activates stress signaling protein kinases in THP-1 cells and microglia","type":"article-journal","volume":"29"},"uris":["http://www.mendeley.com/documents/?uuid=c8b4f8cd-07dc-48c9-ac78-225856b13f5c"]}],"mendeley":{"formattedCitation":"(Klegeris et al., 2008)","plainTextFormattedCitation":"(Klegeris et al., 2008)","previouslyFormattedCitation":"(Klegeris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(Klegeris et al., 2008)</w:t>
      </w:r>
      <w:r w:rsidR="00844011" w:rsidRPr="00CB1C44">
        <w:rPr>
          <w:rFonts w:ascii="Arial" w:hAnsi="Arial" w:cs="Arial"/>
          <w:lang w:val="en-US"/>
        </w:rPr>
        <w:fldChar w:fldCharType="end"/>
      </w:r>
      <w:r w:rsidR="00BA7F33" w:rsidRPr="00CB1C44">
        <w:rPr>
          <w:rFonts w:ascii="Arial" w:hAnsi="Arial" w:cs="Arial"/>
          <w:lang w:val="en-US"/>
        </w:rPr>
        <w:t xml:space="preserve">. Furthermore, </w:t>
      </w:r>
      <w:r w:rsidR="006E2A52" w:rsidRPr="00CB1C44">
        <w:rPr>
          <w:rFonts w:ascii="Arial" w:hAnsi="Arial" w:cs="Arial"/>
          <w:lang w:val="en-US"/>
        </w:rPr>
        <w:t xml:space="preserve">mutant </w:t>
      </w:r>
      <w:r w:rsidR="006F331E" w:rsidRPr="00CB1C44">
        <w:rPr>
          <w:rFonts w:ascii="Arial" w:hAnsi="Arial" w:cs="Arial"/>
          <w:lang w:val="en-US"/>
        </w:rPr>
        <w:t xml:space="preserve">parkin might also participate in </w:t>
      </w:r>
      <w:r w:rsidR="006E2A52" w:rsidRPr="00CB1C44">
        <w:rPr>
          <w:rFonts w:ascii="Arial" w:hAnsi="Arial" w:cs="Arial"/>
          <w:lang w:val="en-US"/>
        </w:rPr>
        <w:t>p38 MAPK</w:t>
      </w:r>
      <w:r w:rsidR="006F331E" w:rsidRPr="00CB1C44">
        <w:rPr>
          <w:rFonts w:ascii="Arial" w:hAnsi="Arial" w:cs="Arial"/>
          <w:lang w:val="en-US"/>
        </w:rPr>
        <w:t xml:space="preserve"> activation, suggest</w:t>
      </w:r>
      <w:r w:rsidR="00F34FF2" w:rsidRPr="00CB1C44">
        <w:rPr>
          <w:rFonts w:ascii="Arial" w:hAnsi="Arial" w:cs="Arial"/>
          <w:lang w:val="en-US"/>
        </w:rPr>
        <w:t>ing</w:t>
      </w:r>
      <w:r w:rsidR="006F331E" w:rsidRPr="00CB1C44">
        <w:rPr>
          <w:rFonts w:ascii="Arial" w:hAnsi="Arial" w:cs="Arial"/>
          <w:lang w:val="en-US"/>
        </w:rPr>
        <w:t xml:space="preserve"> that p38 MAPK dysregulation may be </w:t>
      </w:r>
      <w:r w:rsidR="00F34FF2" w:rsidRPr="00CB1C44">
        <w:rPr>
          <w:rFonts w:ascii="Arial" w:hAnsi="Arial" w:cs="Arial"/>
          <w:lang w:val="en-US"/>
        </w:rPr>
        <w:t xml:space="preserve">a common feature </w:t>
      </w:r>
      <w:r w:rsidR="006F331E" w:rsidRPr="00CB1C44">
        <w:rPr>
          <w:rFonts w:ascii="Arial" w:hAnsi="Arial" w:cs="Arial"/>
          <w:lang w:val="en-US"/>
        </w:rPr>
        <w:t xml:space="preserve">in both familial and sporadic forms of PD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{"citationItems":[{"id":"ITEM-1","itemData":{"DOI":"10.1111/j.1471-4159.2008.05277.x","ISBN":"1471-4159 (Electronic)","ISSN":"00223042","PMID":"18248610","abstract":"Parkinson's disease (PD) motor symptoms are caused by degeneration of nigrostriatal dopaminergic (DAergic) neurons. The most common causes of hereditary PD are mutations in the PARKIN gene. The ubiquitin ligase parkin has been shown to mediate neuroprotection in cell culture and in vivo, but the molecular mechanisms are not well understood. We investigated the effects of parkin in a human SH-SY5Y neuroblastoma cell culture model of PD, in which transcriptional induction of the enzyme tyrosinase causes a neurotoxic overproduction of cellular DA and its oxidative metabolites. Tyrosinase induction caused formation of reactive oxygen species in the cytosol and mitochondria, and neurotoxicity via activation of apoptotic stress-activated protein kinases and caspase 3. Stable transfection of wild-type parkin suppressed tyrosinase-induced apoptosis, and PD-associated mutations abolished the neuroprotective effect of parkin. Expression of wild-type parkin did not affect reactive oxygen species production, but attenuated the tyrosinase-induced activation of both c-Jun N-terminal kinase and p38 mitogen-activated protein kinase as well as their cognate mitogen-activated protein kinase kinases. PD-associated mutations differentially affected the anti-apoptotic signaling of parkin. Thus, parkin contributes to DAergic neuroprotection by suppression of apoptotic stress-activated protein kinase pathways.","author":[{"dropping-particle":"","family":"Hasegawa","given":"Takafumi","non-dropping-particle":"","parse-names":false,"suffix":""},{"dropping-particle":"","family":"Treis","given":"Angela","non-dropping-particle":"","parse-names":false,"suffix":""},{"dropping-particle":"","family":"Patenge","given":"Nadja","non-dropping-particle":"","parse-names":false,"suffix":""},{"dropping-particle":"","family":"Fiesel","given":"Fabienne C.","non-dropping-particle":"","parse-names":false,"suffix":""},{"dropping-particle":"","family":"Springer","given":"Wolfdieter","non-dropping-particle":"","parse-names":false,"suffix":""},{"dropping-particle":"","family":"Kahle","given":"Philipp J.","non-dropping-particle":"","parse-names":false,"suffix":""}],"container-title":"Journal of Neurochemistry","id":"ITEM-1","issue":"5","issued":{"date-parts":[["2008"]]},"page":"1700-1715","title":"Parkin protects against tyrosinase-mediated dopamine neurotoxicity by suppressing stress-activated protein kinase pathways","type":"article-journal","volume":"105"},"uris":["http://www.mendeley.com/documents/?uuid=8c554732-3c83-491f-baeb-e40068606fde"]}],"mendeley":{"formattedCitation":"(Hasegawa et al., 2008)","plainTextFormattedCitation":"(Hasegawa et al., 2008)","previouslyFormattedCitation":"(Hasegawa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(Hasegawa et al., 2008)</w:t>
      </w:r>
      <w:r w:rsidR="00844011" w:rsidRPr="00CB1C44">
        <w:rPr>
          <w:rFonts w:ascii="Arial" w:hAnsi="Arial" w:cs="Arial"/>
          <w:lang w:val="en-US"/>
        </w:rPr>
        <w:fldChar w:fldCharType="end"/>
      </w:r>
      <w:r w:rsidR="006F331E" w:rsidRPr="00CB1C44">
        <w:rPr>
          <w:rFonts w:ascii="Arial" w:hAnsi="Arial" w:cs="Arial"/>
          <w:lang w:val="en-US"/>
        </w:rPr>
        <w:t xml:space="preserve">. </w:t>
      </w:r>
      <w:r w:rsidR="000B147D" w:rsidRPr="00CB1C44">
        <w:rPr>
          <w:rFonts w:ascii="Arial" w:hAnsi="Arial" w:cs="Arial"/>
          <w:lang w:val="en-US"/>
        </w:rPr>
        <w:t xml:space="preserve">Zawada and co-workers </w:t>
      </w:r>
      <w:r w:rsidR="00337771" w:rsidRPr="00CB1C44">
        <w:rPr>
          <w:rFonts w:ascii="Arial" w:hAnsi="Arial" w:cs="Arial"/>
          <w:lang w:val="en-US"/>
        </w:rPr>
        <w:t xml:space="preserve">(2001) </w:t>
      </w:r>
      <w:r w:rsidR="000B147D" w:rsidRPr="00CB1C44">
        <w:rPr>
          <w:rFonts w:ascii="Arial" w:hAnsi="Arial" w:cs="Arial"/>
          <w:lang w:val="en-US"/>
        </w:rPr>
        <w:t>demonstrated that the p38 MAPK inhibitors, PD169316</w:t>
      </w:r>
      <w:r w:rsidR="00C838B7" w:rsidRPr="00CB1C44">
        <w:rPr>
          <w:rFonts w:ascii="Arial" w:hAnsi="Arial" w:cs="Arial"/>
          <w:lang w:val="en-US"/>
        </w:rPr>
        <w:t xml:space="preserve"> (4-(4-fluorophenyl)-2-(4-nitrophenyl)-5-(4-pyridyl)-1H-imidazole)</w:t>
      </w:r>
      <w:r w:rsidR="000B147D" w:rsidRPr="00CB1C44">
        <w:rPr>
          <w:rFonts w:ascii="Arial" w:hAnsi="Arial" w:cs="Arial"/>
          <w:lang w:val="en-US"/>
        </w:rPr>
        <w:t>, SB203580</w:t>
      </w:r>
      <w:r w:rsidR="00C838B7" w:rsidRPr="00CB1C44">
        <w:rPr>
          <w:rFonts w:ascii="Arial" w:hAnsi="Arial" w:cs="Arial"/>
          <w:lang w:val="en-US"/>
        </w:rPr>
        <w:t xml:space="preserve"> (4-(4-fluorophenyl)-2-(4-methylsulfinylphenyl)-5-(4-pyridyl)-1H-imidazole)</w:t>
      </w:r>
      <w:r w:rsidR="000B147D" w:rsidRPr="00CB1C44">
        <w:rPr>
          <w:rFonts w:ascii="Arial" w:hAnsi="Arial" w:cs="Arial"/>
          <w:lang w:val="en-US"/>
        </w:rPr>
        <w:t xml:space="preserve"> and SB202190</w:t>
      </w:r>
      <w:r w:rsidR="00C838B7" w:rsidRPr="00CB1C44">
        <w:rPr>
          <w:rFonts w:ascii="Arial" w:hAnsi="Arial" w:cs="Arial"/>
          <w:lang w:val="en-US"/>
        </w:rPr>
        <w:t xml:space="preserve"> (4-(4-fluorophenyl)-2-(4-hydroxyphenyl)-5-(4-pyridyl)-1H-imidazole)</w:t>
      </w:r>
      <w:r w:rsidR="000B147D" w:rsidRPr="00CB1C44">
        <w:rPr>
          <w:rFonts w:ascii="Arial" w:hAnsi="Arial" w:cs="Arial"/>
          <w:lang w:val="en-US"/>
        </w:rPr>
        <w:t>, enhanced rat dopamine</w:t>
      </w:r>
      <w:r w:rsidR="00EE6D17" w:rsidRPr="00CB1C44">
        <w:rPr>
          <w:rFonts w:ascii="Arial" w:hAnsi="Arial" w:cs="Arial"/>
          <w:lang w:val="en-US"/>
        </w:rPr>
        <w:t>rgic</w:t>
      </w:r>
      <w:r w:rsidR="000B147D" w:rsidRPr="00CB1C44">
        <w:rPr>
          <w:rFonts w:ascii="Arial" w:hAnsi="Arial" w:cs="Arial"/>
          <w:lang w:val="en-US"/>
        </w:rPr>
        <w:t xml:space="preserve"> neuron</w:t>
      </w:r>
      <w:r w:rsidR="00EE6D17" w:rsidRPr="00CB1C44">
        <w:rPr>
          <w:rFonts w:ascii="Arial" w:hAnsi="Arial" w:cs="Arial"/>
          <w:lang w:val="en-US"/>
        </w:rPr>
        <w:t>al</w:t>
      </w:r>
      <w:r w:rsidR="000B147D" w:rsidRPr="00CB1C44">
        <w:rPr>
          <w:rFonts w:ascii="Arial" w:hAnsi="Arial" w:cs="Arial"/>
          <w:lang w:val="en-US"/>
        </w:rPr>
        <w:t xml:space="preserve"> survival</w:t>
      </w:r>
      <w:r w:rsidR="00EE54B0" w:rsidRPr="00CB1C44">
        <w:rPr>
          <w:rFonts w:ascii="Arial" w:hAnsi="Arial" w:cs="Arial"/>
          <w:lang w:val="en-US"/>
        </w:rPr>
        <w:t xml:space="preserve">, </w:t>
      </w:r>
      <w:r w:rsidR="000B147D" w:rsidRPr="00CB1C44">
        <w:rPr>
          <w:rFonts w:ascii="Arial" w:hAnsi="Arial" w:cs="Arial"/>
          <w:lang w:val="en-US"/>
        </w:rPr>
        <w:t>after</w:t>
      </w:r>
      <w:r w:rsidR="003440FE" w:rsidRPr="00CB1C44">
        <w:rPr>
          <w:rFonts w:ascii="Arial" w:hAnsi="Arial" w:cs="Arial"/>
          <w:lang w:val="en-US"/>
        </w:rPr>
        <w:t xml:space="preserve"> rat</w:t>
      </w:r>
      <w:r w:rsidR="00EE1EB8" w:rsidRPr="00CB1C44">
        <w:rPr>
          <w:rFonts w:ascii="Arial" w:hAnsi="Arial" w:cs="Arial"/>
          <w:lang w:val="en-US"/>
        </w:rPr>
        <w:t xml:space="preserve"> ventral mesencephalic</w:t>
      </w:r>
      <w:r w:rsidR="003440FE" w:rsidRPr="00CB1C44">
        <w:rPr>
          <w:rFonts w:ascii="Arial" w:hAnsi="Arial" w:cs="Arial"/>
          <w:lang w:val="en-US"/>
        </w:rPr>
        <w:t xml:space="preserve"> dopamine neurons</w:t>
      </w:r>
      <w:r w:rsidR="000B147D" w:rsidRPr="00CB1C44">
        <w:rPr>
          <w:rFonts w:ascii="Arial" w:hAnsi="Arial" w:cs="Arial"/>
          <w:lang w:val="en-US"/>
        </w:rPr>
        <w:t xml:space="preserve"> transplantation into </w:t>
      </w:r>
      <w:proofErr w:type="spellStart"/>
      <w:r w:rsidR="000B147D" w:rsidRPr="00CB1C44">
        <w:rPr>
          <w:rFonts w:ascii="Arial" w:hAnsi="Arial" w:cs="Arial"/>
          <w:lang w:val="en-US"/>
        </w:rPr>
        <w:t>hemiparkinsonian</w:t>
      </w:r>
      <w:proofErr w:type="spellEnd"/>
      <w:r w:rsidR="000B147D" w:rsidRPr="00CB1C44">
        <w:rPr>
          <w:rFonts w:ascii="Arial" w:hAnsi="Arial" w:cs="Arial"/>
          <w:lang w:val="en-US"/>
        </w:rPr>
        <w:t xml:space="preserve"> rats</w:t>
      </w:r>
      <w:r w:rsidR="003440FE" w:rsidRPr="00CB1C44">
        <w:rPr>
          <w:rFonts w:ascii="Arial" w:hAnsi="Arial" w:cs="Arial"/>
          <w:lang w:val="en-US"/>
        </w:rPr>
        <w:t>, administ</w:t>
      </w:r>
      <w:r w:rsidR="00FE7429" w:rsidRPr="00CB1C44">
        <w:rPr>
          <w:rFonts w:ascii="Arial" w:hAnsi="Arial" w:cs="Arial"/>
          <w:lang w:val="en-US"/>
        </w:rPr>
        <w:t>ered</w:t>
      </w:r>
      <w:r w:rsidR="003440FE" w:rsidRPr="00CB1C44">
        <w:rPr>
          <w:rFonts w:ascii="Arial" w:hAnsi="Arial" w:cs="Arial"/>
          <w:lang w:val="en-US"/>
        </w:rPr>
        <w:t xml:space="preserve"> with 6-O</w:t>
      </w:r>
      <w:r w:rsidR="00EE54B0" w:rsidRPr="00CB1C44">
        <w:rPr>
          <w:rFonts w:ascii="Arial" w:hAnsi="Arial" w:cs="Arial"/>
          <w:lang w:val="en-US"/>
        </w:rPr>
        <w:t>HDA in</w:t>
      </w:r>
      <w:r w:rsidR="003440FE" w:rsidRPr="00CB1C44">
        <w:rPr>
          <w:rFonts w:ascii="Arial" w:hAnsi="Arial" w:cs="Arial"/>
          <w:lang w:val="en-US"/>
        </w:rPr>
        <w:t xml:space="preserve"> the medial forebrain bundle</w:t>
      </w:r>
      <w:r w:rsidR="000B147D"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{"citationItems":[{"id":"ITEM-1","itemData":{"DOI":"10.1016/S0006-8993(00)02965-6","ISBN":"0006-8993 (Print)\\r0006-8993 (Linking)","ISSN":"00068993","PMID":"11164822","abstract":"Fetal cell transplantation therapies are being developed for the treatment of a number of neurodegenerative disorders including Parkinson's disease [10-12,21,22,24,36,43]. Massive apoptotic cell death is a major limiting factor for the success of neurotransplantation. We have explored a novel protein kinase pathway for its role in apoptosis of dopamine neurons. We have discovered that inhibitors of p38 MAP kinase (the pyridinyl imidazole compounds: PD169316, SB203580, and SB202190) improve survival of rat dopamine neurons in vitro and after transplantation into hemiparkinsonian rats. In embryonic rat ventral mesencephalic cultures, serum withdrawal led to 80% loss of dopamine neurons due to increased apoptosis. Incubation of the cultures with p38 MAP kinase inhibitors at the time of serum withdrawal prevented dopaminergic cell death by inhibiting apoptosis. In the hemiparkinsonian rat, preincubation of ventral mesencephalic tissue with PD169316 prior to transplantation accelerated behavioral recovery and doubled the survival of transplanted dopamine neurons. We conclude that inhibitors of stress-activated protein kinases improve the outcome of cell transplantation by preventing apoptosis of neurons after grafting. © 2001 Elsevier Science B.V.","author":[{"dropping-particle":"","family":"Zawada","given":"W. Michael","non-dropping-particle":"","parse-names":false,"suffix":""},{"dropping-particle":"","family":"Meintzer","given":"Mary K.","non-dropping-particle":"","parse-names":false,"suffix":""},{"dropping-particle":"","family":"Rao","given":"Pravin","non-dropping-particle":"","parse-names":false,"suffix":""},{"dropping-particle":"","family":"Marotti","given":"Jonathan","non-dropping-particle":"","parse-names":false,"suffix":""},{"dropping-particle":"","family":"Wang","given":"Xiaomin","non-dropping-particle":"","parse-names":false,"suffix":""},{"dropping-particle":"","family":"Esplen","given":"James E.","non-dropping-particle":"","parse-names":false,"suffix":""},{"dropping-particle":"","family":"Clarkson","given":"Edward D.","non-dropping-particle":"","parse-names":false,"suffix":""},{"dropping-particle":"","family":"Freed","given":"Curt R.","non-dropping-particle":"","parse-names":false,"suffix":""},{"dropping-particle":"","family":"Heidenreich","given":"Kim A.","non-dropping-particle":"","parse-names":false,"suffix":""}],"container-title":"Brain Research","id":"ITEM-1","issue":"1-2","issued":{"date-parts":[["2001"]]},"page":"185-196","title":"Inhibitors of p38 MAP kinase increase the survival of transplanted dopamine neurons","type":"article-journal","volume":"891"},"uris":["http://www.mendeley.com/documents/?uuid=ea964800-4ba5-43ec-b10d-e297864ab0ee"]}],"mendeley":{"formattedCitation":"(Zawada et al., 2001)","plainTextFormattedCitation":"(Zawada et al., 2001)","previouslyFormattedCitation":"(Zawada et al., 2001)"},"properties":{"noteIndex":0},"schema":"https://github.com/citation-style-language/schema/raw/master/csl-citation.json"}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(Zawada et al., 2001)</w:t>
      </w:r>
      <w:r w:rsidR="00844011" w:rsidRPr="00CB1C44">
        <w:rPr>
          <w:rFonts w:ascii="Arial" w:hAnsi="Arial" w:cs="Arial"/>
          <w:lang w:val="en-US"/>
        </w:rPr>
        <w:fldChar w:fldCharType="end"/>
      </w:r>
      <w:r w:rsidR="000B147D" w:rsidRPr="00CB1C44">
        <w:rPr>
          <w:rFonts w:ascii="Arial" w:hAnsi="Arial" w:cs="Arial"/>
          <w:lang w:val="en-US"/>
        </w:rPr>
        <w:t xml:space="preserve">. </w:t>
      </w:r>
      <w:r w:rsidR="008D05FC" w:rsidRPr="00CB1C44">
        <w:rPr>
          <w:rFonts w:ascii="Arial" w:hAnsi="Arial" w:cs="Arial"/>
          <w:lang w:val="en-US"/>
        </w:rPr>
        <w:t>SB239063</w:t>
      </w:r>
      <w:r w:rsidR="00FE7429" w:rsidRPr="00CB1C44">
        <w:rPr>
          <w:rFonts w:ascii="Arial" w:hAnsi="Arial" w:cs="Arial"/>
          <w:lang w:val="en-US"/>
        </w:rPr>
        <w:t>, another p38 MAPK inhibitor,</w:t>
      </w:r>
      <w:r w:rsidR="008D05FC" w:rsidRPr="00CB1C44">
        <w:rPr>
          <w:rFonts w:ascii="Arial" w:hAnsi="Arial" w:cs="Arial"/>
          <w:lang w:val="en-US"/>
        </w:rPr>
        <w:t xml:space="preserve"> w</w:t>
      </w:r>
      <w:r w:rsidR="00EE6D17" w:rsidRPr="00CB1C44">
        <w:rPr>
          <w:rFonts w:ascii="Arial" w:hAnsi="Arial" w:cs="Arial"/>
          <w:lang w:val="en-US"/>
        </w:rPr>
        <w:t>as</w:t>
      </w:r>
      <w:r w:rsidR="008D05FC" w:rsidRPr="00CB1C44">
        <w:rPr>
          <w:rFonts w:ascii="Arial" w:hAnsi="Arial" w:cs="Arial"/>
          <w:lang w:val="en-US"/>
        </w:rPr>
        <w:t xml:space="preserve"> also shown to </w:t>
      </w:r>
      <w:r w:rsidR="00E46A32" w:rsidRPr="00CB1C44">
        <w:rPr>
          <w:rFonts w:ascii="Arial" w:hAnsi="Arial" w:cs="Arial"/>
          <w:lang w:val="en-US"/>
        </w:rPr>
        <w:t xml:space="preserve">be </w:t>
      </w:r>
      <w:r w:rsidR="008D05FC" w:rsidRPr="00CB1C44">
        <w:rPr>
          <w:rFonts w:ascii="Arial" w:hAnsi="Arial" w:cs="Arial"/>
          <w:lang w:val="en-US"/>
        </w:rPr>
        <w:t>protect</w:t>
      </w:r>
      <w:r w:rsidR="00DA4E53" w:rsidRPr="00CB1C44">
        <w:rPr>
          <w:rFonts w:ascii="Arial" w:hAnsi="Arial" w:cs="Arial"/>
          <w:lang w:val="en-US"/>
        </w:rPr>
        <w:t>ive in MPTP</w:t>
      </w:r>
      <w:r w:rsidR="00E46A32" w:rsidRPr="00CB1C44">
        <w:rPr>
          <w:rFonts w:ascii="Arial" w:hAnsi="Arial" w:cs="Arial"/>
          <w:lang w:val="en-US"/>
        </w:rPr>
        <w:t>-mediated cell death in</w:t>
      </w:r>
      <w:r w:rsidR="008D05FC" w:rsidRPr="00CB1C44">
        <w:rPr>
          <w:rFonts w:ascii="Arial" w:hAnsi="Arial" w:cs="Arial"/>
          <w:lang w:val="en-US"/>
        </w:rPr>
        <w:t xml:space="preserve"> </w:t>
      </w:r>
      <w:r w:rsidR="00E46A32" w:rsidRPr="00CB1C44">
        <w:rPr>
          <w:rFonts w:ascii="Arial" w:hAnsi="Arial" w:cs="Arial"/>
          <w:lang w:val="en-US"/>
        </w:rPr>
        <w:t xml:space="preserve">primary dopaminergic neurons derived from human progenitor </w:t>
      </w:r>
      <w:r w:rsidR="008D05FC" w:rsidRPr="00CB1C44">
        <w:rPr>
          <w:rFonts w:ascii="Arial" w:hAnsi="Arial" w:cs="Arial"/>
          <w:lang w:val="en-US"/>
        </w:rPr>
        <w:t xml:space="preserve">cells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{"citationItems":[{"id":"ITEM-1","itemData":{"DOI":"10.1523/jneurosci.4511-08.2008","ISSN":"0270-6474","abstract":"Parkinson's disease (PD) is a progressive neurodegenerative disease characterized by the degeneration of the dopaminergic neurons in the substantia nigra pars compacta (SNpc). Activation of the mixed lineage kinase and c-Jun N-terminal kinase (JNK) has been reported in models of PD. Our focus was to discern whether distinct pathways were activated in cell-specific manner within the SNpc. We now demonstrate the selective phosphorylation of p38 MAP kinase within the dopaminergic neurons, whereas JNK activation occurs predominantly in the microglia. p38 activation results in downstream phosphorylation of p53 and increased p53 mediated transcription of Bax and Puma in the ventral midbrain. Treatment with p38 inhibitor, SB239063 protected primary dopaminergic neurons derived from human progenitor cells from MPP+ mediated cell death and prevented the downstream phosphorylation of p53 and its translocation to the nucleus in vivo, in the ventral midbrain. The increased staining of phosphorylated p38 in the surviving neurons of SNpc in human brain sections from patients with PD and in MPTP treated mice but not in the ventral tegmental area provides further evidence suggesting a role for p38 in the degeneration of dopaminergic neurons of SNpc. We thus demonstrate the cell specific activation of MAP kinase pathways within the SNpc after MPTP treatment emphasizing the role of multiple signaling cascades in the pathogenesis and progression of the disease. Selective inhibitors of p38 may therefore, help preserve the surviving neurons in PD and slow down the disease progression.","author":[{"dropping-particle":"","family":"Karunakaran","given":"Smitha","non-dropping-particle":"","parse-names":false,"suffix":""},{"dropping-particle":"","family":"Saeed","given":"Uzma","non-dropping-particle":"","parse-names":false,"suffix":""},{"dropping-particle":"","family":"Mishra","given":"Mamata","non-dropping-particle":"","parse-names":false,"suffix":""},{"dropping-particle":"","family":"Valli","given":"R Khader","non-dropping-particle":"","parse-names":false,"suffix":""},{"dropping-particle":"","family":"Datt Joshi","given":"Shanker","non-dropping-particle":"","parse-names":false,"suffix":""},{"dropping-particle":"","family":"Meka","given":"Durga Praveen","non-dropping-particle":"","parse-names":false,"suffix":""},{"dropping-particle":"","family":"Seth","given":"Pankaj","non-dropping-particle":"","parse-names":false,"suffix":""},{"dropping-particle":"","family":"Ravindranath","given":"Vijayalakshmi","non-dropping-particle":"","parse-names":false,"suffix":""},{"dropping-particle":"","family":"Joshi","given":"Shanker Datt","non-dropping-particle":"","parse-names":false,"suffix":""},{"dropping-particle":"","family":"Meka","given":"Durga Praveen","non-dropping-particle":"","parse-names":false,"suffix":""},{"dropping-particle":"","family":"Seth","given":"Pankaj","non-dropping-particle":"","parse-names":false,"suffix":""},{"dropping-particle":"","family":"Ravindranath","given":"Vijayalakshmi","non-dropping-particle":"","parse-names":false,"suffix":""}],"container-title":"J Neurosci","id":"ITEM-1","issue":"47","issued":{"date-parts":[["2008"]]},"page":"12500-12509","title":"Selective Activation of p38 Mitogen-Activated Protein Kinase in Dopaminergic Neurons of Substantia Nigra Leads to Nuclear Translocation of p53 in 1-Methyl-4-Phenyl-1,2,3,6-Tetrahydropyridine-Treated Mice","type":"article-journal","volume":"28"},"uris":["http://www.mendeley.com/documents/?uuid=78bc7394-fcc9-4823-a51b-ea32e6df41e9"]}],"mendeley":{"formattedCitation":"(Karunakaran et al., 2008)","plainTextFormattedCitation":"(Karunakaran et al., 2008)","previouslyFormattedCitation":"(Karunakaran et al., 2008)"},"properties":{"noteIndex":0},"schema":"https://github.com/citation-style-language/schema/raw/master/csl-citation.json"}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(Karunakaran et al., 2008)</w:t>
      </w:r>
      <w:r w:rsidR="00844011" w:rsidRPr="00CB1C44">
        <w:rPr>
          <w:rFonts w:ascii="Arial" w:hAnsi="Arial" w:cs="Arial"/>
          <w:lang w:val="en-US"/>
        </w:rPr>
        <w:fldChar w:fldCharType="end"/>
      </w:r>
      <w:r w:rsidR="008D05FC" w:rsidRPr="00CB1C44">
        <w:rPr>
          <w:rFonts w:ascii="Arial" w:hAnsi="Arial" w:cs="Arial"/>
          <w:lang w:val="en-US"/>
        </w:rPr>
        <w:t xml:space="preserve">. </w:t>
      </w:r>
      <w:r w:rsidR="00696256" w:rsidRPr="00CB1C44">
        <w:rPr>
          <w:rFonts w:ascii="Arial" w:hAnsi="Arial" w:cs="Arial"/>
          <w:lang w:val="en-US"/>
        </w:rPr>
        <w:t>In this way, p38 inhibitors may potentiate neuronal surviving in PD, delaying</w:t>
      </w:r>
      <w:r w:rsidR="00EE6D17" w:rsidRPr="00CB1C44">
        <w:rPr>
          <w:rFonts w:ascii="Arial" w:hAnsi="Arial" w:cs="Arial"/>
          <w:lang w:val="en-US"/>
        </w:rPr>
        <w:t xml:space="preserve"> </w:t>
      </w:r>
      <w:r w:rsidR="00696256" w:rsidRPr="00CB1C44">
        <w:rPr>
          <w:rFonts w:ascii="Arial" w:hAnsi="Arial" w:cs="Arial"/>
          <w:lang w:val="en-US"/>
        </w:rPr>
        <w:t>disease progression</w:t>
      </w:r>
      <w:r w:rsidR="00EE6D17" w:rsidRPr="00CB1C44">
        <w:rPr>
          <w:rFonts w:ascii="Arial" w:hAnsi="Arial" w:cs="Arial"/>
          <w:lang w:val="en-US"/>
        </w:rPr>
        <w:t>;</w:t>
      </w:r>
      <w:r w:rsidR="00D634C3" w:rsidRPr="00CB1C44">
        <w:rPr>
          <w:rFonts w:ascii="Arial" w:hAnsi="Arial" w:cs="Arial"/>
          <w:lang w:val="en-US"/>
        </w:rPr>
        <w:t xml:space="preserve"> however</w:t>
      </w:r>
      <w:r w:rsidR="00FE7429" w:rsidRPr="00CB1C44">
        <w:rPr>
          <w:rFonts w:ascii="Arial" w:hAnsi="Arial" w:cs="Arial"/>
          <w:lang w:val="en-US"/>
        </w:rPr>
        <w:t>,</w:t>
      </w:r>
      <w:r w:rsidR="00D634C3" w:rsidRPr="00CB1C44">
        <w:rPr>
          <w:rFonts w:ascii="Arial" w:hAnsi="Arial" w:cs="Arial"/>
          <w:lang w:val="en-US"/>
        </w:rPr>
        <w:t xml:space="preserve"> </w:t>
      </w:r>
      <w:r w:rsidR="000D35B8" w:rsidRPr="00CB1C44">
        <w:rPr>
          <w:rFonts w:ascii="Arial" w:hAnsi="Arial" w:cs="Arial"/>
          <w:lang w:val="en-US"/>
        </w:rPr>
        <w:t xml:space="preserve">no </w:t>
      </w:r>
      <w:r w:rsidR="00D634C3" w:rsidRPr="00CB1C44">
        <w:rPr>
          <w:rFonts w:ascii="Arial" w:hAnsi="Arial" w:cs="Arial"/>
          <w:lang w:val="en-US"/>
        </w:rPr>
        <w:t xml:space="preserve">data </w:t>
      </w:r>
      <w:r w:rsidR="000D35B8" w:rsidRPr="00CB1C44">
        <w:rPr>
          <w:rFonts w:ascii="Arial" w:hAnsi="Arial" w:cs="Arial"/>
          <w:lang w:val="en-US"/>
        </w:rPr>
        <w:t>report</w:t>
      </w:r>
      <w:r w:rsidR="00EE6D17" w:rsidRPr="00CB1C44">
        <w:rPr>
          <w:rFonts w:ascii="Arial" w:hAnsi="Arial" w:cs="Arial"/>
          <w:lang w:val="en-US"/>
        </w:rPr>
        <w:t>ed</w:t>
      </w:r>
      <w:r w:rsidR="00D634C3" w:rsidRPr="00CB1C44">
        <w:rPr>
          <w:rFonts w:ascii="Arial" w:hAnsi="Arial" w:cs="Arial"/>
          <w:lang w:val="en-US"/>
        </w:rPr>
        <w:t xml:space="preserve"> </w:t>
      </w:r>
      <w:r w:rsidR="000D35B8" w:rsidRPr="00CB1C44">
        <w:rPr>
          <w:rFonts w:ascii="Arial" w:hAnsi="Arial" w:cs="Arial"/>
          <w:lang w:val="en-US"/>
        </w:rPr>
        <w:t>the effects of</w:t>
      </w:r>
      <w:r w:rsidR="00134293" w:rsidRPr="00CB1C44">
        <w:rPr>
          <w:rFonts w:ascii="Arial" w:hAnsi="Arial" w:cs="Arial"/>
          <w:lang w:val="en-US"/>
        </w:rPr>
        <w:t xml:space="preserve"> </w:t>
      </w:r>
      <w:r w:rsidR="000D35B8" w:rsidRPr="00CB1C44">
        <w:rPr>
          <w:rFonts w:ascii="Arial" w:hAnsi="Arial" w:cs="Arial"/>
          <w:lang w:val="en-US"/>
        </w:rPr>
        <w:t xml:space="preserve">p38 inhibitors in </w:t>
      </w:r>
      <w:r w:rsidR="00134293" w:rsidRPr="00CB1C44">
        <w:rPr>
          <w:rFonts w:ascii="Arial" w:hAnsi="Arial" w:cs="Arial"/>
          <w:lang w:val="en-US"/>
        </w:rPr>
        <w:t xml:space="preserve">Nrf2 activation. </w:t>
      </w:r>
    </w:p>
    <w:p w14:paraId="07DD6965" w14:textId="3E15849D" w:rsidR="00D779D4" w:rsidRPr="00CB1C44" w:rsidRDefault="0015298F" w:rsidP="004038B5">
      <w:pPr>
        <w:spacing w:after="0" w:line="360" w:lineRule="auto"/>
        <w:jc w:val="both"/>
        <w:rPr>
          <w:rFonts w:ascii="Arial" w:hAnsi="Arial" w:cs="Arial"/>
          <w:lang w:val="en-US"/>
        </w:rPr>
      </w:pPr>
      <w:r w:rsidRPr="00CB1C44">
        <w:rPr>
          <w:rFonts w:ascii="Arial" w:hAnsi="Arial" w:cs="Arial"/>
          <w:lang w:val="en-US"/>
        </w:rPr>
        <w:t xml:space="preserve">PD patients brains studies, evidenced accumulation and increased translocation of NF-kB, a negative regulator of Nrf2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{"citationItems":[{"id":"ITEM-1","itemData":{"DOI":"10.1016/j.bbamcr.2008.01.002","ISBN":"0006-3002 (Print)\\r0006-3002 (Linking)","ISSN":"0006-3002","PMID":"18241676","abstract":"Constitutively activated NF-kappaB occurs in many inflammatory and tumor tissues. Does it interfere with anti-inflammatory or anti-tumor signaling pathway? Here, we report that NF-kappaB p65 subunit repressed the Nrf2-antioxidant response element (ARE) pathway at transcriptional level. In the cells where NF-kappaB and Nrf2 were simultaneously activated, p65 unidirectionally antagonized the transcriptional activity of Nrf2. In the p65-overexpressing cells, the ARE-dependent expression of heme oxygenase-1 was strongly suppressed. However, p65 inhibited the ARE-driven gene transcription in a way that was independent of its own transcriptional activity. Two mechanisms were found to coordinate the p65-mediated repression of ARE: (1) p65 selectively deprives CREB binding protein (CBP) from Nrf2 by competitive interaction with the CH1-KIX domain of CBP, which results in inactivation of Nrf2. The inactivation depends on PKA catalytic subunit-mediated phosphorylation of p65 at S276. (2) p65 promotes recruitment of histone deacetylase 3 (HDAC3), the corepressor, to ARE by facilitating the interaction of HDAC3 with either CBP or MafK, leading to local histone hypoacetylation. This investigation revealed the participation of NF-kappaB p65 in the negative regulation of Nrf2-ARE signaling, and might provide a new insight into a possible role of NF-kappaB in suppressing the expression of anti-inflammatory or anti-tumor genes.","author":[{"dropping-particle":"","family":"Liu","given":"Guang-Hui","non-dropping-particle":"","parse-names":false,"suffix":""},{"dropping-particle":"","family":"Qu","given":"Jing","non-dropping-particle":"","parse-names":false,"suffix":""},{"dropping-particle":"","family":"Shen","given":"Xun","non-dropping-particle":"","parse-names":false,"suffix":""}],"container-title":"Biochimica et biophysica acta","id":"ITEM-1","issue":"5","issued":{"date-parts":[["2008","5"]]},"page":"713-27","title":"NF-kappaB/p65 antagonizes Nrf2-ARE pathway by depriving CBP from Nrf2 and facilitating recruitment of HDAC3 to MafK.","type":"article-journal","volume":"1783"},"uris":["http://www.mendeley.com/documents/?uuid=3dacaf5c-47f1-44b6-bf6b-ef4b53fd7e35"]}],"mendeley":{"formattedCitation":"(Liu et al., 2008)","plainTextFormattedCitation":"(Liu et al., 2008)","previouslyFormattedCitation":"(Liu et al., 2008)"},"properties":{"noteIndex":0},"schema":"https://github.com/citation-style-language/schema/raw/master/csl-citation.json"}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(Liu et al., 2008)</w:t>
      </w:r>
      <w:r w:rsidRPr="00CB1C44">
        <w:rPr>
          <w:rFonts w:ascii="Arial" w:hAnsi="Arial" w:cs="Arial"/>
          <w:lang w:val="en-US"/>
        </w:rPr>
        <w:fldChar w:fldCharType="end"/>
      </w:r>
      <w:r w:rsidRPr="00CB1C44">
        <w:rPr>
          <w:rFonts w:ascii="Arial" w:hAnsi="Arial" w:cs="Arial"/>
          <w:lang w:val="en-US"/>
        </w:rPr>
        <w:t xml:space="preserve">, into the nucleus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{"citationItems":[{"id":"ITEM-1","itemData":{"DOI":"10.1016/j.neulet.2006.12.003","ISBN":"0304-3940 (Print)","ISSN":"0304-3940","PMID":"17196747","abstract":"We and other workers found markedly increased levels of proinflammatory cytokines and apoptosis-related proteins in parkinsonian brain. Although the pathogenesis of Parkinson's disease (PD) remains enigmatic, apoptosis might be involved in the degeneration of dopaminergic neurons in PD. To investigate the possible presence of other inflammatory cytokines and/or apoptosis-related protein, the levels of p53 protein, interferon-gamma, and NF-kappaB were measured for the first time in the brain (substantia nigra, caudate nucleus, putamen, cerebellum, and frontal cortex) from control and parkinsonian patients by a highly sensitive sandwich enzyme-linked immunosorbent assay. The p53 protein level in the caudate nucleus was significantly higher in parkinsonian patients than in controls (P&lt;0.05), whereas this protein in the substantia nigra, putamen, and cerebral cortex showed no significant difference between parkinsonian and control subjects. The interferon-gamma level was significantly higher in the nigrostriatal dopaminergic regions (substantia nigra, caudate nucleus, and putamen) in parkinsonian patients than in the controls (P&lt;0.05), but was not significantly different in the cerebellum or frontal cortex between the two groups. In accordance with previous immunohistochemical analysis, the NF-kappaB level in the nigrostriatal dopaminergic regions was significantly higher in parkinsonian patients than in the controls (P&lt;0.05). These data suggest that the significant increase in the levels of p53 protein, interferon-gamma, and NF-kappaB reflect apoptosis and the inflammatory state in the parkinsonian brain and that their elevation is involved in the degeneration of the nigrostriatal dopaminergic neurons.","author":[{"dropping-particle":"","family":"Mogi","given":"Makio","non-dropping-particle":"","parse-names":false,"suffix":""},{"dropping-particle":"","family":"Kondo","given":"Tomoyoshi","non-dropping-particle":"","parse-names":false,"suffix":""},{"dropping-particle":"","family":"Mizuno","given":"Yoshikuni","non-dropping-particle":"","parse-names":false,"suffix":""},{"dropping-particle":"","family":"Nagatsu","given":"Toshiharu","non-dropping-particle":"","parse-names":false,"suffix":""}],"container-title":"Neuroscience letters","id":"ITEM-1","issue":"1","issued":{"date-parts":[["2007"]]},"note":"NULL","page":"94-7","title":"p53 protein, interferon-gamma, and NF-kappaB levels are elevated in the parkinsonian brain.","type":"article-journal","volume":"414"},"uris":["http://www.mendeley.com/documents/?uuid=f36e5079-a5fe-4401-8b2a-d03aefcf7d26"]},{"id":"ITEM-2","itemData":{"DOI":"10.1097/01.wnr.0000136175.51954.ce","ISBN":"0959-4965 (Print)\\r0959-4965 (Linking)","ISSN":"0959-4965","PMID":"15257133","abstract":"Immunohistochemical techniques revealed a significant increase of poly(ADP-ribose) polymerase (PARP)-containing nuclei in the dopaminergic neurons of the substantia nigra (SN) in Parkinson disease and in diffuse Lewy body disease as compared with a group of patients with other neurodegenerative diseases and normal controls. The nuclear translocation of nuclear factor kappa B (NF-kappa B) was also noted in the same cells. The over-activation of PARP and the transcriptional activation of NF-kappa B can contribute to the pathomechanism of the disease specific lesion of the neurons in the SN. However, in another subgroup of dopaminergic cells of the SN an increased parvalbumin content was detected reflecting a natural protective mechanism against the putative increase of intracellular calcium caused by excitotoxic injury and oxidative stress.","author":[{"dropping-particle":"","family":"Soós","given":"Judit","non-dropping-particle":"","parse-names":false,"suffix":""},{"dropping-particle":"","family":"Engelhardt","given":"József I","non-dropping-particle":"","parse-names":false,"suffix":""},{"dropping-particle":"","family":"Siklós","given":"László","non-dropping-particle":"","parse-names":false,"suffix":""},{"dropping-particle":"","family":"Havas","given":"László","non-dropping-particle":"","parse-names":false,"suffix":""},{"dropping-particle":"","family":"Majtényi","given":"Katalin","non-dropping-particle":"","parse-names":false,"suffix":""}],"container-title":"Neuroreport","id":"ITEM-2","issue":"11","issued":{"date-parts":[["2004"]]},"note":"NULL","page":"1715-1718","title":"The expression of PARP, NF-kappa B and parvalbumin is increased in Parkinson disease.","type":"article-journal","volume":"15"},"uris":["http://www.mendeley.com/documents/?uuid=ddd2d9c5-3de6-4ee0-bdde-b60cecffd23d"]}],"mendeley":{"formattedCitation":"(Mogi et al., 2007; Soós et al., 2004)","manualFormatting":"(Mogi et al., 2007; Soós et al., 2004; Hunot et al., 1997)","plainTextFormattedCitation":"(Mogi et al., 2007; Soós et al., 2004)","previouslyFormattedCitation":"(Mogi et al., 2007; Soós et al., 2004)"},"properties":{"noteIndex":0},"schema":"https://github.com/citation-style-language/schema/raw/master/csl-citation.json"}</w:instrText>
      </w:r>
      <w:r w:rsidRPr="00CB1C44">
        <w:rPr>
          <w:rFonts w:ascii="Arial" w:hAnsi="Arial" w:cs="Arial"/>
          <w:lang w:val="en-US"/>
        </w:rPr>
        <w:fldChar w:fldCharType="separate"/>
      </w:r>
      <w:r w:rsidRPr="00CB1C44">
        <w:rPr>
          <w:rFonts w:ascii="Arial" w:hAnsi="Arial" w:cs="Arial"/>
          <w:noProof/>
          <w:lang w:val="en-US"/>
        </w:rPr>
        <w:t>(Mogi et al., 2007; Soós et al., 2004; Hunot et al., 1997)</w:t>
      </w:r>
      <w:r w:rsidRPr="00CB1C44">
        <w:rPr>
          <w:rFonts w:ascii="Arial" w:hAnsi="Arial" w:cs="Arial"/>
          <w:lang w:val="en-US"/>
        </w:rPr>
        <w:fldChar w:fldCharType="end"/>
      </w:r>
      <w:r w:rsidRPr="00CB1C44">
        <w:rPr>
          <w:rFonts w:ascii="Arial" w:hAnsi="Arial" w:cs="Arial"/>
          <w:lang w:val="en-US"/>
        </w:rPr>
        <w:t xml:space="preserve">. </w:t>
      </w:r>
      <w:r w:rsidR="000F3DAC" w:rsidRPr="00CB1C44">
        <w:rPr>
          <w:rFonts w:ascii="Arial" w:hAnsi="Arial" w:cs="Arial"/>
          <w:lang w:val="en-US"/>
        </w:rPr>
        <w:t xml:space="preserve">Additionally, different studies reported NF-kB-dependent apoptosis in PD </w:t>
      </w:r>
      <w:proofErr w:type="spellStart"/>
      <w:r w:rsidR="000F3DAC" w:rsidRPr="00CB1C44">
        <w:rPr>
          <w:rFonts w:ascii="Arial" w:hAnsi="Arial" w:cs="Arial"/>
          <w:lang w:val="en-US"/>
        </w:rPr>
        <w:t>cybrid</w:t>
      </w:r>
      <w:proofErr w:type="spellEnd"/>
      <w:r w:rsidR="000F3DAC" w:rsidRPr="00CB1C44">
        <w:rPr>
          <w:rFonts w:ascii="Arial" w:hAnsi="Arial" w:cs="Arial"/>
          <w:lang w:val="en-US"/>
        </w:rPr>
        <w:t xml:space="preserve"> model </w:t>
      </w:r>
      <w:r w:rsidR="000F3DAC"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{"citationItems":[{"id":"ITEM-1","itemData":{"PMID":"15737736","abstract":"Cytoplasmic hybrid cells (cybrids) are created by selective amplification of mitochondrial genes against constant nuclear genetic and environmental backgrounds. Cybrids from patients with sporadic Parkinson's disease (PD) recapitulate disease features such as decreased complex I activity, increased oxidative stress, elevated activation of NF-kappaB, and production of Lewy body inclusions. We examined the activation of signaling pathways and NF-kappaB in PD cybrids after exposure to MAPK inhibitors and/or the antioxidant N-acetylcysteine (NAC). Under basal replicating conditions, PD cybrids have decreased viability that is associated with increased DNA condensation and poly-ADP ribose polymerase (PARP) cleavage as well as elevated p38 and JNK activity. Pharmacological inhibition of oxidative stress diminished the elevated p38, JNK activity and PARP cleavage, and enhanced PD cybrid viability. PD mitochondrial genes expressed in cybrids stimulate pro-apoptotic cell signaling and biochemistry through oxidative stress. These results support development of antioxidative therapeutics for PD.","author":[{"dropping-particle":"","family":"Onyango","given":"I G","non-dropping-particle":"","parse-names":false,"suffix":""},{"dropping-particle":"","family":"Tuttle","given":"J B","non-dropping-particle":"","parse-names":false,"suffix":""},{"dropping-particle":"","family":"Bennett  Jr.","given":"J P","non-dropping-particle":"","parse-names":false,"suffix":""}],"container-title":"Molecular and Cellular Neurosciences","id":"ITEM-1","issue":"3","issued":{"date-parts":[["2005"]]},"note":"NULL","page":"452-461","title":"Activation of p38 and N-acetylcysteine-sensitive c-Jun NH2-terminal kinase signaling cascades is required for induction of apoptosis in Parkinson's disease cybrids","type":"article-journal","volume":"28"},"uris":["http://www.mendeley.com/documents/?uuid=d63ea925-9332-497e-b74e-72084c26c8bc"]}],"mendeley":{"formattedCitation":"(Onyango et al., 2005)","plainTextFormattedCitation":"(Onyango et al., 2005)","previouslyFormattedCitation":"(Onyango et al., 2005)"},"properties":{"noteIndex":0},"schema":"https://github.com/citation-style-language/schema/raw/master/csl-citation.json"}</w:instrText>
      </w:r>
      <w:r w:rsidR="000F3DAC" w:rsidRPr="00CB1C44">
        <w:rPr>
          <w:rFonts w:ascii="Arial" w:hAnsi="Arial" w:cs="Arial"/>
          <w:lang w:val="en-US"/>
        </w:rPr>
        <w:fldChar w:fldCharType="separate"/>
      </w:r>
      <w:r w:rsidR="00DD645C" w:rsidRPr="00CB1C44">
        <w:rPr>
          <w:rFonts w:ascii="Arial" w:hAnsi="Arial" w:cs="Arial"/>
          <w:noProof/>
          <w:lang w:val="en-US"/>
        </w:rPr>
        <w:t>(Onyango et al., 2005)</w:t>
      </w:r>
      <w:r w:rsidR="000F3DAC" w:rsidRPr="00CB1C44">
        <w:rPr>
          <w:rFonts w:ascii="Arial" w:hAnsi="Arial" w:cs="Arial"/>
          <w:lang w:val="en-US"/>
        </w:rPr>
        <w:fldChar w:fldCharType="end"/>
      </w:r>
      <w:r w:rsidR="000F3DAC" w:rsidRPr="00CB1C44">
        <w:rPr>
          <w:rFonts w:ascii="Arial" w:hAnsi="Arial" w:cs="Arial"/>
          <w:lang w:val="en-US"/>
        </w:rPr>
        <w:t xml:space="preserve"> and NF-kB-induced  neuroinflammation in </w:t>
      </w:r>
      <w:r w:rsidR="000F3DAC" w:rsidRPr="00CB1C44">
        <w:rPr>
          <w:rFonts w:ascii="Arial" w:hAnsi="Arial" w:cs="Arial"/>
          <w:i/>
          <w:lang w:val="en-US"/>
        </w:rPr>
        <w:t xml:space="preserve">substantia </w:t>
      </w:r>
      <w:proofErr w:type="spellStart"/>
      <w:r w:rsidR="000F3DAC" w:rsidRPr="00CB1C44">
        <w:rPr>
          <w:rFonts w:ascii="Arial" w:hAnsi="Arial" w:cs="Arial"/>
          <w:i/>
          <w:lang w:val="en-US"/>
        </w:rPr>
        <w:t>nigra</w:t>
      </w:r>
      <w:proofErr w:type="spellEnd"/>
      <w:r w:rsidR="000F3DAC" w:rsidRPr="00CB1C44">
        <w:rPr>
          <w:rFonts w:ascii="Arial" w:hAnsi="Arial" w:cs="Arial"/>
          <w:lang w:val="en-US"/>
        </w:rPr>
        <w:t xml:space="preserve"> of MPTP-treated mice </w:t>
      </w:r>
      <w:r w:rsidR="000F3DAC"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{"citationItems":[{"id":"ITEM-1","itemData":{"DOI":"10.1016/j.neulet.2016.01.046","ISSN":"18727972","PMID":"26827723","abstract":"The simultaneous role of neuroprotective estrogen and neurodegenerative inflammation during the progression of Parkinson's disease (PD) is still remaining elusive. The novel importance of the present study in MPTP mediated mouse model of Parkinson's disease (PD) is-to investigate the status of neuronal and glial cells in a time chase experiment; to explore which pathway of NF-kappaB exist to proceed the neuroinflammation; to investigate the status of estrogen and the activation pattern of nuclear or cytosolic estrogen receptors in either sexes of Swiss albino mice during MPTP mediated progressive neurodegeneration in the substantia nigra. After MPTP intoxication, the nigral molecular anatomy was changed differently in separate time interval during the progression of neurodegeneration with/without association of glial cells and functional (via its nuclear and cytosolic receptors) estrogen level. Both the canonical and/or non-canonical pathways of NF-kappaB exist in the substantia nigra of both the sexes after MPTP treatment that is why inspite of presence of estrogen, neuroinflammation progresses. The homodimeric or heterodimeric form of ER-beta binds with NF-kappaB molecules p65 and RelB differently, but the canonical or non-canonical pathways of NF-kappaB molecules could not be stopped or may be promoted.","author":[{"dropping-particle":"","family":"Mitra","given":"Soham","non-dropping-particle":"","parse-names":false,"suffix":""},{"dropping-particle":"","family":"Ghosh","given":"Nabanita","non-dropping-particle":"","parse-names":false,"suffix":""},{"dropping-particle":"","family":"Sinha","given":"Priyobrata","non-dropping-particle":"","parse-names":false,"suffix":""},{"dropping-particle":"","family":"Chakrabarti","given":"Nilkanta","non-dropping-particle":"","parse-names":false,"suffix":""},{"dropping-particle":"","family":"Bhattacharyya","given":"Arindam","non-dropping-particle":"","parse-names":false,"suffix":""}],"container-title":"Neuroscience Letters","id":"ITEM-1","issued":{"date-parts":[["2016"]]},"note":"NULL","page":"86-92","publisher":"Elsevier Ireland Ltd","title":"Alteration of nuclear factor-kappaB pathway promote neuroinflammation depending on the functions of estrogen receptors in substantia nigra after 1-methyl-4-phenyl-1,2,3,6-tetrahydropyridine treatment","type":"article-journal","volume":"616"},"uris":["http://www.mendeley.com/documents/?uuid=18ef2228-b49e-4703-b73e-d39a3e9fc67f"]}],"mendeley":{"formattedCitation":"(Mitra et al., 2016)","plainTextFormattedCitation":"(Mitra et al., 2016)","previouslyFormattedCitation":"(Mitra et al., 2016)"},"properties":{"noteIndex":0},"schema":"https://github.com/citation-style-language/schema/raw/master/csl-citation.json"}</w:instrText>
      </w:r>
      <w:r w:rsidR="000F3DAC" w:rsidRPr="00CB1C44">
        <w:rPr>
          <w:rFonts w:ascii="Arial" w:hAnsi="Arial" w:cs="Arial"/>
          <w:lang w:val="en-US"/>
        </w:rPr>
        <w:fldChar w:fldCharType="separate"/>
      </w:r>
      <w:r w:rsidR="00DD645C" w:rsidRPr="00CB1C44">
        <w:rPr>
          <w:rFonts w:ascii="Arial" w:hAnsi="Arial" w:cs="Arial"/>
          <w:noProof/>
          <w:lang w:val="en-US"/>
        </w:rPr>
        <w:t>(Mitra et al., 2016)</w:t>
      </w:r>
      <w:r w:rsidR="000F3DAC" w:rsidRPr="00CB1C44">
        <w:rPr>
          <w:rFonts w:ascii="Arial" w:hAnsi="Arial" w:cs="Arial"/>
          <w:lang w:val="en-US"/>
        </w:rPr>
        <w:fldChar w:fldCharType="end"/>
      </w:r>
      <w:r w:rsidR="000F3DAC" w:rsidRPr="00CB1C44">
        <w:rPr>
          <w:rFonts w:ascii="Arial" w:hAnsi="Arial" w:cs="Arial"/>
          <w:lang w:val="en-US"/>
        </w:rPr>
        <w:t xml:space="preserve">. Importantly, NF-kB inhibition, decreased nigral microglial activation and improved motor function in MPTP-treated mice </w:t>
      </w:r>
      <w:r w:rsidR="000F3DAC"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{"citationItems":[{"id":"ITEM-1","itemData":{"DOI":"0704908104 [pii]\\n10.1073/pnas.0704908104","ISBN":"1091-6490 (Electronic)\\n0027-8424 (Linking)","ISSN":"1091-6490","PMID":"18000063","abstract":"Parkinson's disease (PD) is the second most common neurodegenerative disorder. Despite intense investigations, no effective therapy is available to stop its onset or halt its progression. The present study evaluates the ability of peptide corresponding to the NF-kappaB essential modifier-binding domain (NBD) of IkappaB kinase alpha (IKKalpha) or IKKbeta to prevent nigrostriatal degeneration in the 1-methyl-4-phenyl-1,2,3,6-tetrahydropyridine (MPTP) mouse model of PD and establish a role for NF-kappaB in human parkinsonism. First, we found that NF-kappaB was activated within the substantia nigra pars compacta of PD patients and MPTP-intoxicated mice. However, i.p. injection of wild-type NBD peptide reduced nigral activation of NF-kappaB, suppressed nigral microglial activation, protected both the nigrostriatal axis and neurotransmitters, and improved motor functions in MPTP-intoxicated mice. These findings were specific because mutated NBD peptide had no effect. We conclude that selective inhibition of NF-kappaB activation by NBD peptide may be of therapeutic benefit for PD patients.","author":[{"dropping-particle":"","family":"Ghosh","given":"a","non-dropping-particle":"","parse-names":false,"suffix":""},{"dropping-particle":"","family":"Roy","given":"a","non-dropping-particle":"","parse-names":false,"suffix":""},{"dropping-particle":"","family":"Liu","given":"X","non-dropping-particle":"","parse-names":false,"suffix":""},{"dropping-particle":"","family":"Kordower","given":"J H","non-dropping-particle":"","parse-names":false,"suffix":""},{"dropping-particle":"","family":"Mufson","given":"E J","non-dropping-particle":"","parse-names":false,"suffix":""},{"dropping-particle":"","family":"Hartley","given":"D M","non-dropping-particle":"","parse-names":false,"suffix":""},{"dropping-particle":"","family":"Ghosh","given":"S","non-dropping-particle":"","parse-names":false,"suffix":""},{"dropping-particle":"","family":"Mosley","given":"R L","non-dropping-particle":"","parse-names":false,"suffix":""},{"dropping-particle":"","family":"Gendelman","given":"H E","non-dropping-particle":"","parse-names":false,"suffix":""},{"dropping-particle":"","family":"Pahan","given":"K","non-dropping-particle":"","parse-names":false,"suffix":""}],"container-title":"Proc Natl Acad Sci U S A","id":"ITEM-1","issue":"47","issued":{"date-parts":[["2007"]]},"note":"NULL","page":"18754-18759","title":"Selective inhibition of NF-kappaB activation prevents dopaminergic neuronal loss in a mouse model of Parkinson's disease","type":"article-journal","volume":"104"},"uris":["http://www.mendeley.com/documents/?uuid=5759b36c-96d8-4fa5-b272-25ba5ce76447"]}],"mendeley":{"formattedCitation":"(Ghosh et al., 2007)","plainTextFormattedCitation":"(Ghosh et al., 2007)","previouslyFormattedCitation":"(Ghosh et al., 2007)"},"properties":{"noteIndex":0},"schema":"https://github.com/citation-style-language/schema/raw/master/csl-citation.json"}</w:instrText>
      </w:r>
      <w:r w:rsidR="000F3DAC" w:rsidRPr="00CB1C44">
        <w:rPr>
          <w:rFonts w:ascii="Arial" w:hAnsi="Arial" w:cs="Arial"/>
          <w:lang w:val="en-US"/>
        </w:rPr>
        <w:fldChar w:fldCharType="separate"/>
      </w:r>
      <w:r w:rsidR="00DD645C" w:rsidRPr="00CB1C44">
        <w:rPr>
          <w:rFonts w:ascii="Arial" w:hAnsi="Arial" w:cs="Arial"/>
          <w:noProof/>
          <w:lang w:val="en-US"/>
        </w:rPr>
        <w:t>(Ghosh et al., 2007)</w:t>
      </w:r>
      <w:r w:rsidR="000F3DAC" w:rsidRPr="00CB1C44">
        <w:rPr>
          <w:rFonts w:ascii="Arial" w:hAnsi="Arial" w:cs="Arial"/>
          <w:lang w:val="en-US"/>
        </w:rPr>
        <w:fldChar w:fldCharType="end"/>
      </w:r>
      <w:r w:rsidR="000F3DAC" w:rsidRPr="00CB1C44">
        <w:rPr>
          <w:rFonts w:ascii="Arial" w:hAnsi="Arial" w:cs="Arial"/>
          <w:lang w:val="en-US"/>
        </w:rPr>
        <w:t xml:space="preserve">. </w:t>
      </w:r>
      <w:r w:rsidRPr="00CB1C44">
        <w:rPr>
          <w:rFonts w:ascii="Arial" w:hAnsi="Arial" w:cs="Arial"/>
          <w:lang w:val="en-US"/>
        </w:rPr>
        <w:t>Concordantly</w:t>
      </w:r>
      <w:r w:rsidR="00EE6D17" w:rsidRPr="00CB1C44">
        <w:rPr>
          <w:rFonts w:ascii="Arial" w:hAnsi="Arial" w:cs="Arial"/>
          <w:lang w:val="en-US"/>
        </w:rPr>
        <w:t>, other authors showed that t</w:t>
      </w:r>
      <w:r w:rsidR="0003009D" w:rsidRPr="00CB1C44">
        <w:rPr>
          <w:rFonts w:ascii="Arial" w:hAnsi="Arial" w:cs="Arial"/>
          <w:lang w:val="en-US"/>
        </w:rPr>
        <w:t>reatment with 6-</w:t>
      </w:r>
      <w:r w:rsidR="00561D0C" w:rsidRPr="00CB1C44">
        <w:rPr>
          <w:rFonts w:ascii="Arial" w:hAnsi="Arial" w:cs="Arial"/>
          <w:lang w:val="en-US"/>
        </w:rPr>
        <w:t>OH</w:t>
      </w:r>
      <w:r w:rsidR="0003009D" w:rsidRPr="00CB1C44">
        <w:rPr>
          <w:rFonts w:ascii="Arial" w:hAnsi="Arial" w:cs="Arial"/>
          <w:lang w:val="en-US"/>
        </w:rPr>
        <w:t>D</w:t>
      </w:r>
      <w:r w:rsidR="00561D0C" w:rsidRPr="00CB1C44">
        <w:rPr>
          <w:rFonts w:ascii="Arial" w:hAnsi="Arial" w:cs="Arial"/>
          <w:lang w:val="en-US"/>
        </w:rPr>
        <w:t>A</w:t>
      </w:r>
      <w:r w:rsidR="0003009D" w:rsidRPr="00CB1C44">
        <w:rPr>
          <w:rFonts w:ascii="Arial" w:hAnsi="Arial" w:cs="Arial"/>
          <w:lang w:val="en-US"/>
        </w:rPr>
        <w:t xml:space="preserve"> in PC12 cells </w:t>
      </w:r>
      <w:r w:rsidR="0003009D"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{"citationItems":[{"id":"ITEM-1","itemData":{"ISBN":"0006-2952 (Print)","ISSN":"0006-2952","PMID":"11448458","abstract":"The involvement of nuclear Factor-kappa B (NF-kappa B) transcription factor in PC12 cell death triggered by the dopaminergic neurotoxin 6-hydroxydopamine (6-OHDA) was investigated. Results show that oxidative stress generated by 6-OHDA activates NF-kappa B. When the NF-kappa B activation was inhibited by parthenolide, PC12 cell death induced by 6-OHDA was significantly increased, thus suggesting an involvement of this transcription factor in a protective mechanism against 6-OHDA toxicity. To further assess this hypothesis, we studied the involvement of NF-kappa B in the protective effect of two anti-apoptotic genes, bcl-2 and bfl-1. Although Bcl-2 and Bfl-1 expression normally protects PC12 cells from 6-OHDA, parthenolide strongly decreased the beneficial effects afforded by transgene expression. These results suggest: (1) that the transcription factor NF-kappa B is likely associated with the protection of catecholaminergic PC12 cells and (2) that the protective effects afforded by bcl-2 and bfl-1 expression may be dependent on NF-kappa activation.","author":[{"dropping-particle":"","family":"Blum","given":"D","non-dropping-particle":"","parse-names":false,"suffix":""},{"dropping-particle":"","family":"Torch","given":"S","non-dropping-particle":"","parse-names":false,"suffix":""},{"dropping-particle":"","family":"Nissou","given":"M F","non-dropping-particle":"","parse-names":false,"suffix":""},{"dropping-particle":"","family":"Verna","given":"J M","non-dropping-particle":"","parse-names":false,"suffix":""}],"container-title":"Biochemical pharmacology","id":"ITEM-1","issued":{"date-parts":[["2001"]]},"note":"NULL","page":"473-481","title":"6-hydroxydopamine-induced nuclear factor-kappa B activation in PC12 cells.","type":"article-journal","volume":"62"},"uris":["http://www.mendeley.com/documents/?uuid=de910cb0-df91-4e16-814a-287aca1db47a"]}],"mendeley":{"formattedCitation":"(Blum et al., 2001)","plainTextFormattedCitation":"(Blum et al., 2001)","previouslyFormattedCitation":"(Blum et al., 2001)"},"properties":{"noteIndex":0},"schema":"https://github.com/citation-style-language/schema/raw/master/csl-citation.json"}</w:instrText>
      </w:r>
      <w:r w:rsidR="0003009D" w:rsidRPr="00CB1C44">
        <w:rPr>
          <w:rFonts w:ascii="Arial" w:hAnsi="Arial" w:cs="Arial"/>
          <w:lang w:val="en-US"/>
        </w:rPr>
        <w:fldChar w:fldCharType="separate"/>
      </w:r>
      <w:r w:rsidR="00DD645C" w:rsidRPr="00CB1C44">
        <w:rPr>
          <w:rFonts w:ascii="Arial" w:hAnsi="Arial" w:cs="Arial"/>
          <w:noProof/>
          <w:lang w:val="en-US"/>
        </w:rPr>
        <w:t>(Blum et al., 2001)</w:t>
      </w:r>
      <w:r w:rsidR="0003009D" w:rsidRPr="00CB1C44">
        <w:rPr>
          <w:rFonts w:ascii="Arial" w:hAnsi="Arial" w:cs="Arial"/>
          <w:lang w:val="en-US"/>
        </w:rPr>
        <w:fldChar w:fldCharType="end"/>
      </w:r>
      <w:r w:rsidR="0003009D" w:rsidRPr="00CB1C44">
        <w:rPr>
          <w:rFonts w:ascii="Arial" w:hAnsi="Arial" w:cs="Arial"/>
          <w:lang w:val="en-US"/>
        </w:rPr>
        <w:t xml:space="preserve"> or dopamine in SH-SY5Y neuroblastoma cells </w:t>
      </w:r>
      <w:r w:rsidR="0003009D"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{"citationItems":[{"id":"ITEM-1","itemData":{"DOI":"10.1046/j.1471-4159.2001.00076.x","ISBN":"0022-3042 (Print)\\r0022-3042 (Linking)","ISSN":"00223042","PMID":"11208923","abstract":"Current concepts of the pathogenesis of Parkinson's disease (PD) center on the formation of reactive oxygen species (ROS), and dopamine has been considered to be a major source of ROS. Recently, it has been shown in a postmortem study that nuclear translocation of nuclear factor-kappa B (NF-kappaB) was observed in dopaminergic neurons of patient with PD. However, its role is not known. The present study examined the possible role of NF-kappaB in ODA (auto-oxidized dopamine)-induced apoptosis to understand the process of PD. Using the electrophoretic mobility shift assay, it was found that ODA activated the DNA binding activity of NF-kappaB. Suppression of the transcriptional activity of NF-kappaB in PC12 cells by overexpression of a wild-type and a dominant negative mutant form (S32A/S36A) of inhibitor kappa B (IkappaB)-alpha led to increase of apoptotic cell death induced by treatment of ODA. In addition, overexpression of NF-kappaB in PC12 cells blocked ODA-induced cell death. However, JNK/SAPK activities, which mediate various stress signals, were similar among the parental, NF-kappaB- or dominant negative mutant IkappaB alpha-transfected cells. Therefore, these results suggest that activation of NF-kappaB during ODA-induced apoptosis may have a counteracting activity against the signals mediating apoptotic cell death and thereby delay the process of Parkinson's disease.","author":[{"dropping-particle":"","family":"Lee","given":"Heon-Jin","non-dropping-particle":"","parse-names":false,"suffix":""},{"dropping-particle":"","family":"Kim","given":"Sun-Hee","non-dropping-particle":"","parse-names":false,"suffix":""},{"dropping-particle":"","family":"Kim","given":"Kwang-Woon","non-dropping-particle":"","parse-names":false,"suffix":""},{"dropping-particle":"","family":"Um","given":"Jee-Hyun","non-dropping-particle":"","parse-names":false,"suffix":""},{"dropping-particle":"","family":"Lee","given":"Hye-Won","non-dropping-particle":"","parse-names":false,"suffix":""},{"dropping-particle":"","family":"Chung","given":"Byung-Seon","non-dropping-particle":"","parse-names":false,"suffix":""},{"dropping-particle":"","family":"Kang","given":"Chi-Dug","non-dropping-particle":"","parse-names":false,"suffix":""}],"container-title":"Journal of Neurochemistry","id":"ITEM-1","issue":"2","issued":{"date-parts":[["2001","1"]]},"note":"NULL","page":"602-609","title":"Antiapoptotic role of NF-κB in the auto-oxidized dopamine-induced apoptosis of PC12 cells","type":"article-journal","volume":"76"},"uris":["http://www.mendeley.com/documents/?uuid=056885c2-02b8-4717-b204-05474e6627f3"]},{"id":"ITEM-2","itemData":{"DOI":"10.1046/j.1471-4159.2001.00213.x","ISBN":"0022-3042 (Print)\\r0022-3042 (Linking)","ISSN":"00223042","PMID":"11299301","abstract":"The etiology of Parkinson's disease is still unknown, though current investigations support the notion of the pivotal involvement of oxidative stress in the process of neurodegeneration in the substantia nigra (SN). In the present study, we investigated the molecular mechanisms underlying cellular response to a challenge by dopamine, one of the local oxidative stressors in the SN. Based on studies showing that nuclear factor kappa B (NF-kappaB) is activated by oxidative stress, we studied the involvement of NF-kappaB in the toxicity of PC12 cells following dopamine exposure. We found that dopamine (0.1-0.5 m M) treatment increased the phosphorylation of the IkappaB protein, the inhibitory subunit of NF-kappaB in the cytoplasm. Immunoblot analysis demonstrated the presence of NF-kappaB-p65 protein in the nuclear fraction and its disappearance from the cytoplasmic fraction after 2 h of dopamine exposure. Dopamine-induced NF-kappaB activation was also evidenced by electromobility shift assay using radioactive labeled NF-kappaB consensus DNA sequence. Cell-permeable NF-kappaB inhibitor SN-50 rescued the cells from dopamine-induced apoptosis and showed the importance of NF-kappaB activation to the induction of apoptosis. Furthermore, flow cytometry assay demonstrated a higher level of translocated NF-kappaB-p65 in the apoptotic nuclei than in the unaffected nuclei. In conclusion, our findings suggest that NF-kappaB activation is essential to dopamine-induced apoptosis in PC12 cells and it may be involved in nigral neurodegeneration in patients with Parkinson's disease","author":[{"dropping-particle":"","family":"Panet","given":"H","non-dropping-particle":"","parse-names":false,"suffix":""},{"dropping-particle":"","family":"Barzilai","given":"a","non-dropping-particle":"","parse-names":false,"suffix":""},{"dropping-particle":"","family":"Daily","given":"D","non-dropping-particle":"","parse-names":false,"suffix":""},{"dropping-particle":"","family":"Melamed","given":"E","non-dropping-particle":"","parse-names":false,"suffix":""},{"dropping-particle":"","family":"Offen","given":"D","non-dropping-particle":"","parse-names":false,"suffix":""}],"container-title":"J Neurochem.","id":"ITEM-2","issued":{"date-parts":[["2001"]]},"note":"NULL","page":"391-398","title":"Activation of nuclear transcription factor kappa B (NF-kappaB) is essential for dopamine-induced apoptosis in PC12 cells","type":"article-journal","volume":"77"},"uris":["http://www.mendeley.com/documents/?uuid=f124ba72-3a53-44c2-a1bf-0d7045364ca2"]}],"mendeley":{"formattedCitation":"(Lee et al., 2001; Panet et al., 2001)","plainTextFormattedCitation":"(Lee et al., 2001; Panet et al., 2001)","previouslyFormattedCitation":"(Lee et al., 2001; Panet et al., 2001)"},"properties":{"noteIndex":0},"schema":"https://github.com/citation-style-language/schema/raw/master/csl-citation.json"}</w:instrText>
      </w:r>
      <w:r w:rsidR="0003009D" w:rsidRPr="00CB1C44">
        <w:rPr>
          <w:rFonts w:ascii="Arial" w:hAnsi="Arial" w:cs="Arial"/>
          <w:lang w:val="en-US"/>
        </w:rPr>
        <w:fldChar w:fldCharType="separate"/>
      </w:r>
      <w:r w:rsidR="00DD645C" w:rsidRPr="00CB1C44">
        <w:rPr>
          <w:rFonts w:ascii="Arial" w:hAnsi="Arial" w:cs="Arial"/>
          <w:noProof/>
          <w:lang w:val="en-US"/>
        </w:rPr>
        <w:t>(Lee et al., 2001; Panet et al., 2001)</w:t>
      </w:r>
      <w:r w:rsidR="0003009D" w:rsidRPr="00CB1C44">
        <w:rPr>
          <w:rFonts w:ascii="Arial" w:hAnsi="Arial" w:cs="Arial"/>
          <w:lang w:val="en-US"/>
        </w:rPr>
        <w:fldChar w:fldCharType="end"/>
      </w:r>
      <w:r w:rsidR="0003009D" w:rsidRPr="00CB1C44">
        <w:rPr>
          <w:rFonts w:ascii="Arial" w:hAnsi="Arial" w:cs="Arial"/>
          <w:lang w:val="en-US"/>
        </w:rPr>
        <w:t xml:space="preserve"> induced</w:t>
      </w:r>
      <w:r w:rsidR="000C3F96" w:rsidRPr="00CB1C44">
        <w:rPr>
          <w:rFonts w:ascii="Arial" w:hAnsi="Arial" w:cs="Arial"/>
          <w:lang w:val="en-US"/>
        </w:rPr>
        <w:t xml:space="preserve"> </w:t>
      </w:r>
      <w:r w:rsidR="0003009D" w:rsidRPr="00CB1C44">
        <w:rPr>
          <w:rFonts w:ascii="Arial" w:hAnsi="Arial" w:cs="Arial"/>
          <w:lang w:val="en-US"/>
        </w:rPr>
        <w:t>translocation of NF-kB</w:t>
      </w:r>
      <w:r w:rsidR="00F53060" w:rsidRPr="00CB1C44">
        <w:rPr>
          <w:rFonts w:ascii="Arial" w:hAnsi="Arial" w:cs="Arial"/>
          <w:lang w:val="en-US"/>
        </w:rPr>
        <w:t xml:space="preserve"> to the nucleus</w:t>
      </w:r>
      <w:r w:rsidR="0003009D" w:rsidRPr="00CB1C44">
        <w:rPr>
          <w:rFonts w:ascii="Arial" w:hAnsi="Arial" w:cs="Arial"/>
          <w:lang w:val="en-US"/>
        </w:rPr>
        <w:t xml:space="preserve">. </w:t>
      </w:r>
      <w:r w:rsidR="009C6D96" w:rsidRPr="00CB1C44">
        <w:rPr>
          <w:rFonts w:ascii="Arial" w:hAnsi="Arial" w:cs="Arial"/>
          <w:lang w:val="en-US"/>
        </w:rPr>
        <w:t xml:space="preserve">In this way, </w:t>
      </w:r>
      <w:r w:rsidR="00E33081" w:rsidRPr="00CB1C44">
        <w:rPr>
          <w:rFonts w:ascii="Arial" w:hAnsi="Arial" w:cs="Arial"/>
          <w:lang w:val="en-US"/>
        </w:rPr>
        <w:t>different</w:t>
      </w:r>
      <w:r w:rsidR="009C6D96" w:rsidRPr="00CB1C44">
        <w:rPr>
          <w:rFonts w:ascii="Arial" w:hAnsi="Arial" w:cs="Arial"/>
          <w:lang w:val="en-US"/>
        </w:rPr>
        <w:t xml:space="preserve"> studies reported NF-kB modulators as </w:t>
      </w:r>
      <w:r w:rsidR="00E33081" w:rsidRPr="00CB1C44">
        <w:rPr>
          <w:rFonts w:ascii="Arial" w:hAnsi="Arial" w:cs="Arial"/>
          <w:lang w:val="en-US"/>
        </w:rPr>
        <w:t>possible PD strategies</w:t>
      </w:r>
      <w:r w:rsidR="001E5B97" w:rsidRPr="00CB1C44">
        <w:rPr>
          <w:rFonts w:ascii="Arial" w:hAnsi="Arial" w:cs="Arial"/>
          <w:lang w:val="en-US"/>
        </w:rPr>
        <w:t xml:space="preserve"> (Figure 5).</w:t>
      </w:r>
      <w:r w:rsidR="00E33081" w:rsidRPr="00CB1C44">
        <w:rPr>
          <w:rFonts w:ascii="Arial" w:hAnsi="Arial" w:cs="Arial"/>
          <w:lang w:val="en-US"/>
        </w:rPr>
        <w:t xml:space="preserve"> </w:t>
      </w:r>
      <w:r w:rsidR="00B8198B" w:rsidRPr="00CB1C44">
        <w:rPr>
          <w:rFonts w:ascii="Arial" w:hAnsi="Arial" w:cs="Arial"/>
          <w:lang w:val="en-US"/>
        </w:rPr>
        <w:t xml:space="preserve">Thus, </w:t>
      </w:r>
      <w:proofErr w:type="spellStart"/>
      <w:r w:rsidR="00B8198B" w:rsidRPr="00CB1C44">
        <w:rPr>
          <w:rFonts w:ascii="Arial" w:hAnsi="Arial" w:cs="Arial"/>
          <w:lang w:val="en-US"/>
        </w:rPr>
        <w:t>h</w:t>
      </w:r>
      <w:r w:rsidR="006125F6" w:rsidRPr="00CB1C44">
        <w:rPr>
          <w:rFonts w:ascii="Arial" w:hAnsi="Arial" w:cs="Arial"/>
          <w:lang w:val="en-US"/>
        </w:rPr>
        <w:t>ypoestoxide</w:t>
      </w:r>
      <w:proofErr w:type="spellEnd"/>
      <w:r w:rsidR="006125F6" w:rsidRPr="00CB1C44">
        <w:rPr>
          <w:rFonts w:ascii="Arial" w:hAnsi="Arial" w:cs="Arial"/>
          <w:lang w:val="en-US"/>
        </w:rPr>
        <w:t xml:space="preserve">, a NF-kB modulator, declined microgliosis, astrogliosis, and pro-inflammatory cytokine gene expression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{"citationItems":[{"id":"ITEM-1","itemData":{"DOI":"10.1186/s12974-015-0455-9","ISSN":"1742-2094","PMID":"26683203","abstract":"BACKGROUND: Deposition of α-synuclein and neuroinflammation are key pathological features of Parkinson's disease (PD). There is no cure for the disease; however, targeting the pathological features might be available to modulate the disease onset and progression. Hypoestoxide (HE) has been demonstrated as a NF-κB modulator, thereby acting as a potential anti-inflammatory and anti-cancer drug.\\n\\nMETHODS: In order to assess the effect of HE in a mouse model of PD, mThy1-α-syn transgenic mice received intraperitoneal (IP) injections of either vehicle or HE (5 mg/kg) daily for 4 weeks.\\n\\nRESULTS: Treatment of HE decreased microgliosis, astrogliosis, and pro-inflammatory cytokine gene expression in α-syn transgenic mice. HE administration also prevented the loss of dopaminergic neurons and ameliorated motor behavioral deficits in the α-syn transgenic mice, and α-synuclein pathology was significantly reduced by treatment of HE. In addition, increased levels of nuclear phosphorylated NF-κB in the frontal cortex of α-syn transgenic mice were significantly reduced by HE administration.\\n\\nCONCLUSIONS: These results support the therapeutic potential of HE for PD and other α-synuclein-related diseases.","author":[{"dropping-particle":"","family":"Kim","given":"Changyoun","non-dropping-particle":"","parse-names":false,"suffix":""},{"dropping-particle":"","family":"Ojo-Amaize","given":"Emmanuel","non-dropping-particle":"","parse-names":false,"suffix":""},{"dropping-particle":"","family":"Spencer","given":"Brian","non-dropping-particle":"","parse-names":false,"suffix":""},{"dropping-particle":"","family":"Rockenstein","given":"Edward","non-dropping-particle":"","parse-names":false,"suffix":""},{"dropping-particle":"","family":"Mante","given":"Michael","non-dropping-particle":"","parse-names":false,"suffix":""},{"dropping-particle":"","family":"Desplats","given":"Paula","non-dropping-particle":"","parse-names":false,"suffix":""},{"dropping-particle":"","family":"Wrasidlo","given":"Wolf","non-dropping-particle":"","parse-names":false,"suffix":""},{"dropping-particle":"","family":"Adame","given":"Anthony","non-dropping-particle":"","parse-names":false,"suffix":""},{"dropping-particle":"","family":"Nchekwube","given":"Emeka","non-dropping-particle":"","parse-names":false,"suffix":""},{"dropping-particle":"","family":"Oyemade","given":"Olusola","non-dropping-particle":"","parse-names":false,"suffix":""},{"dropping-particle":"","family":"Okogun","given":"Joseph","non-dropping-particle":"","parse-names":false,"suffix":""},{"dropping-particle":"","family":"Chan","given":"Michael","non-dropping-particle":"","parse-names":false,"suffix":""},{"dropping-particle":"","family":"Cottam","given":"Howard","non-dropping-particle":"","parse-names":false,"suffix":""},{"dropping-particle":"","family":"Masliah","given":"Eliezer","non-dropping-particle":"","parse-names":false,"suffix":""}],"container-title":"Journal of Neuroinflammation","id":"ITEM-1","issue":"1","issued":{"date-parts":[["2015","12","18"]]},"note":"NULL","page":"236","publisher":"Journal of Neuroinflammation","title":"Hypoestoxide reduces neuroinflammation and α-synuclein accumulation in a mouse model of Parkinson’s disease","type":"article-journal","volume":"12"},"uris":["http://www.mendeley.com/documents/?uuid=12e059d8-9cc4-4b4e-81cd-301bf53cd557"]}],"mendeley":{"formattedCitation":"(C. Kim et al., 2015)","plainTextFormattedCitation":"(C. Kim et al., 2015)","previouslyFormattedCitation":"(C. Kim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 Kim et al., 2015)</w:t>
      </w:r>
      <w:r w:rsidR="00844011" w:rsidRPr="00CB1C44">
        <w:rPr>
          <w:rFonts w:ascii="Arial" w:hAnsi="Arial" w:cs="Arial"/>
          <w:lang w:val="en-US"/>
        </w:rPr>
        <w:fldChar w:fldCharType="end"/>
      </w:r>
      <w:r w:rsidR="00B8198B" w:rsidRPr="00CB1C44">
        <w:rPr>
          <w:rFonts w:ascii="Arial" w:hAnsi="Arial" w:cs="Arial"/>
          <w:lang w:val="en-US"/>
        </w:rPr>
        <w:t xml:space="preserve">; </w:t>
      </w:r>
      <w:r w:rsidR="006125F6" w:rsidRPr="00CB1C44">
        <w:rPr>
          <w:rFonts w:ascii="Arial" w:hAnsi="Arial" w:cs="Arial"/>
          <w:lang w:val="en-US"/>
        </w:rPr>
        <w:t>decreased dopaminergic neurons</w:t>
      </w:r>
      <w:r w:rsidR="00B8198B" w:rsidRPr="00CB1C44">
        <w:rPr>
          <w:rFonts w:ascii="Arial" w:hAnsi="Arial" w:cs="Arial"/>
          <w:lang w:val="en-US"/>
        </w:rPr>
        <w:t xml:space="preserve"> loss and nuclear levels of phosphorylated NF-</w:t>
      </w:r>
      <w:proofErr w:type="spellStart"/>
      <w:r w:rsidR="00B8198B" w:rsidRPr="00CB1C44">
        <w:rPr>
          <w:rFonts w:ascii="Arial" w:hAnsi="Arial" w:cs="Arial"/>
          <w:lang w:val="en-US"/>
        </w:rPr>
        <w:t>κB</w:t>
      </w:r>
      <w:proofErr w:type="spellEnd"/>
      <w:r w:rsidR="00B8198B" w:rsidRPr="00CB1C44">
        <w:rPr>
          <w:rFonts w:ascii="Arial" w:hAnsi="Arial" w:cs="Arial"/>
          <w:lang w:val="en-US"/>
        </w:rPr>
        <w:t xml:space="preserve"> (in the frontal cortex) and</w:t>
      </w:r>
      <w:r w:rsidR="006125F6" w:rsidRPr="00CB1C44">
        <w:rPr>
          <w:rFonts w:ascii="Arial" w:hAnsi="Arial" w:cs="Arial"/>
          <w:lang w:val="en-US"/>
        </w:rPr>
        <w:t xml:space="preserve"> prevented motor behavioral deficits </w:t>
      </w:r>
      <w:r w:rsidR="00B8198B" w:rsidRPr="00CB1C44">
        <w:rPr>
          <w:rFonts w:ascii="Arial" w:hAnsi="Arial" w:cs="Arial"/>
          <w:lang w:val="en-US"/>
        </w:rPr>
        <w:t xml:space="preserve">in the mThy1-α-syn transgenic mice overexpressing human wild-type α-syn under the mThy1 promoter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{"citationItems":[{"id":"ITEM-1","itemData":{"DOI":"10.1186/s12974-015-0455-9","ISSN":"1742-2094","PMID":"26683203","abstract":"BACKGROUND: Deposition of α-synuclein and neuroinflammation are key pathological features of Parkinson's disease (PD). There is no cure for the disease; however, targeting the pathological features might be available to modulate the disease onset and progression. Hypoestoxide (HE) has been demonstrated as a NF-κB modulator, thereby acting as a potential anti-inflammatory and anti-cancer drug.\\n\\nMETHODS: In order to assess the effect of HE in a mouse model of PD, mThy1-α-syn transgenic mice received intraperitoneal (IP) injections of either vehicle or HE (5 mg/kg) daily for 4 weeks.\\n\\nRESULTS: Treatment of HE decreased microgliosis, astrogliosis, and pro-inflammatory cytokine gene expression in α-syn transgenic mice. HE administration also prevented the loss of dopaminergic neurons and ameliorated motor behavioral deficits in the α-syn transgenic mice, and α-synuclein pathology was significantly reduced by treatment of HE. In addition, increased levels of nuclear phosphorylated NF-κB in the frontal cortex of α-syn transgenic mice were significantly reduced by HE administration.\\n\\nCONCLUSIONS: These results support the therapeutic potential of HE for PD and other α-synuclein-related diseases.","author":[{"dropping-particle":"","family":"Kim","given":"Changyoun","non-dropping-particle":"","parse-names":false,"suffix":""},{"dropping-particle":"","family":"Ojo-Amaize","given":"Emmanuel","non-dropping-particle":"","parse-names":false,"suffix":""},{"dropping-particle":"","family":"Spencer","given":"Brian","non-dropping-particle":"","parse-names":false,"suffix":""},{"dropping-particle":"","family":"Rockenstein","given":"Edward","non-dropping-particle":"","parse-names":false,"suffix":""},{"dropping-particle":"","family":"Mante","given":"Michael","non-dropping-particle":"","parse-names":false,"suffix":""},{"dropping-particle":"","family":"Desplats","given":"Paula","non-dropping-particle":"","parse-names":false,"suffix":""},{"dropping-particle":"","family":"Wrasidlo","given":"Wolf","non-dropping-particle":"","parse-names":false,"suffix":""},{"dropping-particle":"","family":"Adame","given":"Anthony","non-dropping-particle":"","parse-names":false,"suffix":""},{"dropping-particle":"","family":"Nchekwube","given":"Emeka","non-dropping-particle":"","parse-names":false,"suffix":""},{"dropping-particle":"","family":"Oyemade","given":"Olusola","non-dropping-particle":"","parse-names":false,"suffix":""},{"dropping-particle":"","family":"Okogun","given":"Joseph","non-dropping-particle":"","parse-names":false,"suffix":""},{"dropping-particle":"","family":"Chan","given":"Michael","non-dropping-particle":"","parse-names":false,"suffix":""},{"dropping-particle":"","family":"Cottam","given":"Howard","non-dropping-particle":"","parse-names":false,"suffix":""},{"dropping-particle":"","family":"Masliah","given":"Eliezer","non-dropping-particle":"","parse-names":false,"suffix":""}],"container-title":"Journal of Neuroinflammation","id":"ITEM-1","issue":"1","issued":{"date-parts":[["2015","12","18"]]},"note":"NULL","page":"236","publisher":"Journal of Neuroinflammation","title":"Hypoestoxide reduces neuroinflammation and α-synuclein accumulation in a mouse model of Parkinson’s disease","type":"article-journal","volume":"12"},"uris":["http://www.mendeley.com/documents/?uuid=12e059d8-9cc4-4b4e-81cd-301bf53cd557"]}],"mendeley":{"formattedCitation":"(C. Kim et al., 2015)","plainTextFormattedCitation":"(C. Kim et al., 2015)","previouslyFormattedCitation":"(C. Kim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(C. Kim et al., 2015)</w:t>
      </w:r>
      <w:r w:rsidR="00844011" w:rsidRPr="00CB1C44">
        <w:rPr>
          <w:rFonts w:ascii="Arial" w:hAnsi="Arial" w:cs="Arial"/>
          <w:lang w:val="en-US"/>
        </w:rPr>
        <w:fldChar w:fldCharType="end"/>
      </w:r>
      <w:r w:rsidR="006125F6" w:rsidRPr="00CB1C44">
        <w:rPr>
          <w:rFonts w:ascii="Arial" w:hAnsi="Arial" w:cs="Arial"/>
          <w:lang w:val="en-US"/>
        </w:rPr>
        <w:t xml:space="preserve">. </w:t>
      </w:r>
      <w:r w:rsidR="008A004A" w:rsidRPr="00CB1C44">
        <w:rPr>
          <w:rFonts w:ascii="Arial" w:hAnsi="Arial" w:cs="Arial"/>
          <w:lang w:val="en-US"/>
        </w:rPr>
        <w:t xml:space="preserve">In addition, treatment </w:t>
      </w:r>
      <w:r w:rsidR="00071A52" w:rsidRPr="00CB1C44">
        <w:rPr>
          <w:rFonts w:ascii="Arial" w:hAnsi="Arial" w:cs="Arial"/>
          <w:lang w:val="en-US"/>
        </w:rPr>
        <w:t>of</w:t>
      </w:r>
      <w:r w:rsidR="00000B41" w:rsidRPr="00CB1C44">
        <w:rPr>
          <w:rFonts w:ascii="Arial" w:hAnsi="Arial" w:cs="Arial"/>
          <w:lang w:val="en-US"/>
        </w:rPr>
        <w:t xml:space="preserve"> mThy1-α-syn transgenic mice</w:t>
      </w:r>
      <w:r w:rsidR="00071A52" w:rsidRPr="00CB1C44">
        <w:rPr>
          <w:rFonts w:ascii="Arial" w:hAnsi="Arial" w:cs="Arial"/>
          <w:lang w:val="en-US"/>
        </w:rPr>
        <w:t xml:space="preserve"> with α-</w:t>
      </w:r>
      <w:proofErr w:type="spellStart"/>
      <w:r w:rsidR="00071A52" w:rsidRPr="00CB1C44">
        <w:rPr>
          <w:rFonts w:ascii="Arial" w:hAnsi="Arial" w:cs="Arial"/>
          <w:lang w:val="en-US"/>
        </w:rPr>
        <w:t>asarone</w:t>
      </w:r>
      <w:proofErr w:type="spellEnd"/>
      <w:r w:rsidR="00071A52" w:rsidRPr="00CB1C44">
        <w:rPr>
          <w:rFonts w:ascii="Arial" w:hAnsi="Arial" w:cs="Arial"/>
          <w:lang w:val="en-US"/>
        </w:rPr>
        <w:t>, an active compound found in</w:t>
      </w:r>
      <w:r w:rsidR="00071A52" w:rsidRPr="00CB1C44">
        <w:rPr>
          <w:rFonts w:ascii="Arial" w:hAnsi="Arial" w:cs="Arial"/>
          <w:i/>
          <w:lang w:val="en-US"/>
        </w:rPr>
        <w:t xml:space="preserve"> </w:t>
      </w:r>
      <w:proofErr w:type="spellStart"/>
      <w:r w:rsidR="00071A52" w:rsidRPr="00CB1C44">
        <w:rPr>
          <w:rFonts w:ascii="Arial" w:hAnsi="Arial" w:cs="Arial"/>
          <w:i/>
          <w:lang w:val="en-US"/>
        </w:rPr>
        <w:t>Araceae</w:t>
      </w:r>
      <w:proofErr w:type="spellEnd"/>
      <w:r w:rsidR="00071A52" w:rsidRPr="00CB1C44">
        <w:rPr>
          <w:rFonts w:ascii="Arial" w:hAnsi="Arial" w:cs="Arial"/>
          <w:lang w:val="en-US"/>
        </w:rPr>
        <w:t xml:space="preserve"> and </w:t>
      </w:r>
      <w:proofErr w:type="spellStart"/>
      <w:r w:rsidR="00071A52" w:rsidRPr="00CB1C44">
        <w:rPr>
          <w:rFonts w:ascii="Arial" w:hAnsi="Arial" w:cs="Arial"/>
          <w:i/>
          <w:lang w:val="en-US"/>
        </w:rPr>
        <w:t>Annonaceae</w:t>
      </w:r>
      <w:proofErr w:type="spellEnd"/>
      <w:r w:rsidR="00071A52" w:rsidRPr="00CB1C44">
        <w:rPr>
          <w:rFonts w:ascii="Arial" w:hAnsi="Arial" w:cs="Arial"/>
          <w:lang w:val="en-US"/>
        </w:rPr>
        <w:t xml:space="preserve"> plant species, </w:t>
      </w:r>
      <w:r w:rsidR="00F53060" w:rsidRPr="00CB1C44">
        <w:rPr>
          <w:rFonts w:ascii="Arial" w:hAnsi="Arial" w:cs="Arial"/>
          <w:lang w:val="en-US"/>
        </w:rPr>
        <w:t xml:space="preserve">decreased NF-KB p65 subunit in the nucleus, </w:t>
      </w:r>
      <w:r w:rsidR="008A004A" w:rsidRPr="00CB1C44">
        <w:rPr>
          <w:rFonts w:ascii="Arial" w:hAnsi="Arial" w:cs="Arial"/>
          <w:lang w:val="en-US"/>
        </w:rPr>
        <w:t xml:space="preserve">reduced microglial activation and improved </w:t>
      </w:r>
      <w:r w:rsidR="00000B41" w:rsidRPr="00CB1C44">
        <w:rPr>
          <w:rFonts w:ascii="Arial" w:hAnsi="Arial" w:cs="Arial"/>
          <w:lang w:val="en-US"/>
        </w:rPr>
        <w:t xml:space="preserve">PD-related motor behavioral deficits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{"citationItems":[{"id":"ITEM-1","itemData":{"DOI":"10.1016/j.neuropharm.2015.04.037","ISBN":"1873-7064 (Electronic) 0028-3908 (Linking)","ISSN":"00283908","PMID":"25983275","abstract":"The selective loss of dopaminergic neurons in Parkinson's disease (PD) is associated with microglial activation. Therefore, the importance of early therapeutic intervention to inhibit microglial activation would be an effective strategy to alleviate the progression of PD. ??-Asarone, an active compound found in Araceae and Annonaceae plant species has been used to improve various disease conditions including central nervous system disorders. In the present study the invitro and invivo therapeutic effects of ??-asarone isolated from the rhizome of Acorus gramineus Solander was evaluated on microglia-mediated neuroinflammation and neuroprotection. Lipopolysaccharide (LPS)-stimulated BV-2 microglial cells were used to evaluate invitro effects. 1-methyl-4 phenyl-1, 2, 3, 6-tetrahydropyridine (MPTP)-induced mouse model of PD was developed to study the neuroprotective effects of ??-asarone invivo. The results indicated that ??-asarone significantly attenuated the LPS-stimulated increase in neuroinflammatory responses and suppressed pro-inflammatory cytokine production in BV-2 cells. Mechanistic study revealed that ??-asarone inhibited the LPS-stimulated activation via regulation of nuclear factor kappa-B by blocking degradation of inhibitor kappa B-alpha signaling in BV-2 microglial cells. In invivo studies, MPTP intoxication to mice resulted in brain microglial activation and significant behavioral deficits. Prophylactic treatment with ??-asarone suppressed microglial activation and attenuated PD-like behavioral impairments as assessed by the Y-maze and pole tests. Taken together, these data demonstrate that ??-asarone is a promising neuroprotective agent that should be further evaluated and developed for future prevention and treatment of microglia-mediated neuroinflammatory conditions including PD.","author":[{"dropping-particle":"","family":"Kim","given":"Byung-Wook","non-dropping-particle":"","parse-names":false,"suffix":""},{"dropping-particle":"","family":"Koppula","given":"Sushruta","non-dropping-particle":"","parse-names":false,"suffix":""},{"dropping-particle":"","family":"Kumar","given":"Hemant","non-dropping-particle":"","parse-names":false,"suffix":""},{"dropping-particle":"","family":"Park","given":"Ju-Young","non-dropping-particle":"","parse-names":false,"suffix":""},{"dropping-particle":"","family":"Kim","given":"Il-Woung","non-dropping-particle":"","parse-names":false,"suffix":""},{"dropping-particle":"V.","family":"More","given":"Sandeep","non-dropping-particle":"","parse-names":false,"suffix":""},{"dropping-particle":"","family":"Kim","given":"In-Su","non-dropping-particle":"","parse-names":false,"suffix":""},{"dropping-particle":"","family":"Han","given":"Sang-Don","non-dropping-particle":"","parse-names":false,"suffix":""},{"dropping-particle":"","family":"Kim","given":"Si-Kwan","non-dropping-particle":"","parse-names":false,"suffix":""},{"dropping-particle":"","family":"Yoon","given":"Sung-Hwa","non-dropping-particle":"","parse-names":false,"suffix":""},{"dropping-particle":"","family":"Choi","given":"Dong-Kug","non-dropping-particle":"","parse-names":false,"suffix":""}],"container-title":"Neuropharmacology","id":"ITEM-1","issued":{"date-parts":[["2015","10"]]},"note":"NULL","page":"46-57","publisher":"Elsevier Ltd","title":"α-Asarone attenuates microglia-mediated neuroinflammation by inhibiting NF kappa B activation and mitigates MPTP-induced behavioral deficits in a mouse model of Parkinson's disease","type":"article-journal","volume":"97"},"uris":["http://www.mendeley.com/documents/?uuid=7906b7e8-432a-40e1-a4ad-e6a0fb066355"]}],"mendeley":{"formattedCitation":"(B.-W. Kim et al., 2015)","plainTextFormattedCitation":"(B.-W. Kim et al., 2015)","previouslyFormattedCitation":"(B.-W. Kim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(B.-W. Kim et al., 2015)</w:t>
      </w:r>
      <w:r w:rsidR="00844011" w:rsidRPr="00CB1C44">
        <w:rPr>
          <w:rFonts w:ascii="Arial" w:hAnsi="Arial" w:cs="Arial"/>
          <w:lang w:val="en-US"/>
        </w:rPr>
        <w:fldChar w:fldCharType="end"/>
      </w:r>
      <w:r w:rsidR="008A004A" w:rsidRPr="00CB1C44">
        <w:rPr>
          <w:rFonts w:ascii="Arial" w:hAnsi="Arial" w:cs="Arial"/>
          <w:lang w:val="en-US"/>
        </w:rPr>
        <w:t>.</w:t>
      </w:r>
      <w:r w:rsidR="00B8198B" w:rsidRPr="00CB1C44">
        <w:rPr>
          <w:rFonts w:ascii="Arial" w:hAnsi="Arial" w:cs="Arial"/>
          <w:lang w:val="en-US"/>
        </w:rPr>
        <w:t xml:space="preserve"> Although, no effect on Nrf2 has been assess in these previous studies and can only be hypothesized,</w:t>
      </w:r>
      <w:r w:rsidR="008A004A" w:rsidRPr="00CB1C44">
        <w:rPr>
          <w:rFonts w:ascii="Arial" w:hAnsi="Arial" w:cs="Arial"/>
          <w:lang w:val="en-US"/>
        </w:rPr>
        <w:t xml:space="preserve"> </w:t>
      </w:r>
      <w:r w:rsidR="00B8198B" w:rsidRPr="00CB1C44">
        <w:rPr>
          <w:rFonts w:ascii="Arial" w:hAnsi="Arial" w:cs="Arial"/>
          <w:lang w:val="en-US"/>
        </w:rPr>
        <w:t>increased</w:t>
      </w:r>
      <w:r w:rsidR="00903222" w:rsidRPr="00CB1C44">
        <w:rPr>
          <w:rFonts w:ascii="Arial" w:hAnsi="Arial" w:cs="Arial"/>
          <w:lang w:val="en-US"/>
        </w:rPr>
        <w:t xml:space="preserve"> </w:t>
      </w:r>
      <w:r w:rsidR="00E33081" w:rsidRPr="00CB1C44">
        <w:rPr>
          <w:rFonts w:ascii="Arial" w:hAnsi="Arial" w:cs="Arial"/>
          <w:lang w:val="en-US"/>
        </w:rPr>
        <w:t xml:space="preserve">Nrf2 </w:t>
      </w:r>
      <w:r w:rsidR="00903222" w:rsidRPr="00CB1C44">
        <w:rPr>
          <w:rFonts w:ascii="Arial" w:hAnsi="Arial" w:cs="Arial"/>
          <w:lang w:val="en-US"/>
        </w:rPr>
        <w:t xml:space="preserve">activity </w:t>
      </w:r>
      <w:r w:rsidR="00B8198B" w:rsidRPr="00CB1C44">
        <w:rPr>
          <w:rFonts w:ascii="Arial" w:hAnsi="Arial" w:cs="Arial"/>
          <w:lang w:val="en-US"/>
        </w:rPr>
        <w:t xml:space="preserve">under </w:t>
      </w:r>
      <w:r w:rsidR="00E33081" w:rsidRPr="00CB1C44">
        <w:rPr>
          <w:rFonts w:ascii="Arial" w:hAnsi="Arial" w:cs="Arial"/>
          <w:lang w:val="en-US"/>
        </w:rPr>
        <w:lastRenderedPageBreak/>
        <w:t>NF-</w:t>
      </w:r>
      <w:proofErr w:type="spellStart"/>
      <w:r w:rsidR="00E33081" w:rsidRPr="00CB1C44">
        <w:rPr>
          <w:rFonts w:ascii="Arial" w:hAnsi="Arial" w:cs="Arial"/>
          <w:lang w:val="en-US"/>
        </w:rPr>
        <w:t>κB</w:t>
      </w:r>
      <w:proofErr w:type="spellEnd"/>
      <w:r w:rsidR="00E33081" w:rsidRPr="00CB1C44">
        <w:rPr>
          <w:rFonts w:ascii="Arial" w:hAnsi="Arial" w:cs="Arial"/>
          <w:lang w:val="en-US"/>
        </w:rPr>
        <w:t xml:space="preserve"> </w:t>
      </w:r>
      <w:r w:rsidR="00903222" w:rsidRPr="00CB1C44">
        <w:rPr>
          <w:rFonts w:ascii="Arial" w:hAnsi="Arial" w:cs="Arial"/>
          <w:lang w:val="en-US"/>
        </w:rPr>
        <w:t>inhibition</w:t>
      </w:r>
      <w:r w:rsidR="00E33081" w:rsidRPr="00CB1C44">
        <w:rPr>
          <w:rFonts w:ascii="Arial" w:hAnsi="Arial" w:cs="Arial"/>
          <w:lang w:val="en-US"/>
        </w:rPr>
        <w:t xml:space="preserve"> was </w:t>
      </w:r>
      <w:r w:rsidR="00B8198B" w:rsidRPr="00CB1C44">
        <w:rPr>
          <w:rFonts w:ascii="Arial" w:hAnsi="Arial" w:cs="Arial"/>
          <w:lang w:val="en-US"/>
        </w:rPr>
        <w:t>evaluated in</w:t>
      </w:r>
      <w:r w:rsidR="00E33081" w:rsidRPr="00CB1C44">
        <w:rPr>
          <w:rFonts w:ascii="Arial" w:hAnsi="Arial" w:cs="Arial"/>
          <w:lang w:val="en-US"/>
        </w:rPr>
        <w:t xml:space="preserve"> recent studies</w:t>
      </w:r>
      <w:r w:rsidR="00B8198B" w:rsidRPr="00CB1C44">
        <w:rPr>
          <w:rFonts w:ascii="Arial" w:hAnsi="Arial" w:cs="Arial"/>
          <w:lang w:val="en-US"/>
        </w:rPr>
        <w:t xml:space="preserve"> in the context of PD. Thus</w:t>
      </w:r>
      <w:r w:rsidR="00CB6DC7" w:rsidRPr="00CB1C44">
        <w:rPr>
          <w:rFonts w:ascii="Arial" w:hAnsi="Arial" w:cs="Arial"/>
          <w:lang w:val="en-US"/>
        </w:rPr>
        <w:t>, v</w:t>
      </w:r>
      <w:r w:rsidR="00D779D4" w:rsidRPr="00CB1C44">
        <w:rPr>
          <w:rFonts w:ascii="Arial" w:hAnsi="Arial" w:cs="Arial"/>
          <w:lang w:val="en-US"/>
        </w:rPr>
        <w:t>ildag</w:t>
      </w:r>
      <w:r w:rsidR="00561D0C" w:rsidRPr="00CB1C44">
        <w:rPr>
          <w:rFonts w:ascii="Arial" w:hAnsi="Arial" w:cs="Arial"/>
          <w:lang w:val="en-US"/>
        </w:rPr>
        <w:t xml:space="preserve">liptin, a dipeptidyl peptidase </w:t>
      </w:r>
      <w:r w:rsidR="00D779D4" w:rsidRPr="00CB1C44">
        <w:rPr>
          <w:rFonts w:ascii="Arial" w:hAnsi="Arial" w:cs="Arial"/>
          <w:lang w:val="en-US"/>
        </w:rPr>
        <w:t>inhibitor, reduced cerebral inflammation and apoptosis in a rotenone</w:t>
      </w:r>
      <w:r w:rsidR="00CB6DC7" w:rsidRPr="00CB1C44">
        <w:rPr>
          <w:rFonts w:ascii="Arial" w:hAnsi="Arial" w:cs="Arial"/>
          <w:lang w:val="en-US"/>
        </w:rPr>
        <w:t>-induced</w:t>
      </w:r>
      <w:r w:rsidR="00D779D4" w:rsidRPr="00CB1C44">
        <w:rPr>
          <w:rFonts w:ascii="Arial" w:hAnsi="Arial" w:cs="Arial"/>
          <w:lang w:val="en-US"/>
        </w:rPr>
        <w:t xml:space="preserve"> PD </w:t>
      </w:r>
      <w:r w:rsidR="00CB6DC7" w:rsidRPr="00CB1C44">
        <w:rPr>
          <w:rFonts w:ascii="Arial" w:hAnsi="Arial" w:cs="Arial"/>
          <w:lang w:val="en-US"/>
        </w:rPr>
        <w:t xml:space="preserve">rat </w:t>
      </w:r>
      <w:r w:rsidR="00D779D4" w:rsidRPr="00CB1C44">
        <w:rPr>
          <w:rFonts w:ascii="Arial" w:hAnsi="Arial" w:cs="Arial"/>
          <w:lang w:val="en-US"/>
        </w:rPr>
        <w:t xml:space="preserve">model through </w:t>
      </w:r>
      <w:r w:rsidR="00CB6DC7" w:rsidRPr="00CB1C44">
        <w:rPr>
          <w:rFonts w:ascii="Arial" w:hAnsi="Arial" w:cs="Arial"/>
          <w:lang w:val="en-US"/>
        </w:rPr>
        <w:t xml:space="preserve">decreased </w:t>
      </w:r>
      <w:r w:rsidR="00D779D4" w:rsidRPr="00CB1C44">
        <w:rPr>
          <w:rFonts w:ascii="Arial" w:hAnsi="Arial" w:cs="Arial"/>
          <w:lang w:val="en-US"/>
        </w:rPr>
        <w:t>NF-</w:t>
      </w:r>
      <w:proofErr w:type="spellStart"/>
      <w:r w:rsidR="00D779D4" w:rsidRPr="00CB1C44">
        <w:rPr>
          <w:rFonts w:ascii="Arial" w:hAnsi="Arial" w:cs="Arial"/>
          <w:lang w:val="en-US"/>
        </w:rPr>
        <w:t>κB</w:t>
      </w:r>
      <w:proofErr w:type="spellEnd"/>
      <w:r w:rsidR="00D779D4" w:rsidRPr="00CB1C44">
        <w:rPr>
          <w:rFonts w:ascii="Arial" w:hAnsi="Arial" w:cs="Arial"/>
          <w:lang w:val="en-US"/>
        </w:rPr>
        <w:t xml:space="preserve"> signaling and enhanced Nrf2 </w:t>
      </w:r>
      <w:r w:rsidR="00E33081" w:rsidRPr="00CB1C44">
        <w:rPr>
          <w:rFonts w:ascii="Arial" w:hAnsi="Arial" w:cs="Arial"/>
          <w:lang w:val="en-US"/>
        </w:rPr>
        <w:t>activity</w:t>
      </w:r>
      <w:r w:rsidR="00D779D4" w:rsidRPr="00CB1C44">
        <w:rPr>
          <w:rFonts w:ascii="Arial" w:hAnsi="Arial" w:cs="Arial"/>
          <w:lang w:val="en-US"/>
        </w:rPr>
        <w:t xml:space="preserve">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{"citationItems":[{"id":"ITEM-1","itemData":{"DOI":"10.1111/jnc.13087","ISBN":"1471-4159 (Electronic) 0022-3042 (Linking)","ISSN":"1471-4159","PMID":"25752913","abstract":"Gliptins have been recently shown to conquer neuronal degeneration in cell cultures via modulating glucagon-like peptide (GLP)-1. This peptide produced in the gut not only crosses the blood-brain barrier but is also synthesized in the brain and acts on GLP-1R exerting central anti-inflammatory and antiapoptotic effects, thus impeding neuronal damage. This study investigated the antiparkinsonian effect of vildagliptin, a dipeptidyl peptidase (DPP)-4 inhibitor in a rat rotenone model targeting mainly the RAGE-NFκB/Nrf2-signaling pathways, to judge the potential anti-inflammatory/antioxidant effects of the drug. Vildagliptin markedly improved the motor performance in the open field and rotarod tests, effects that were emphasized by the accompanied reduction in striatal dopamine content. It modified the striatal energy level (ADP/ATP) associated with partial antagonism of body weight reduction. This incretin enhancer suppressed nuclear factor (NF)κB and, consequently, the downstream inflammatory mediator tumor necrosis factor-α. Normalization of receptor for advanced glycated end product (RAGE) is a main finding which justifies the anti-inflammatory effects of vildagliptin, together with hampering striatal inducible nitric oxide synthase, intracellular adhesion molecule-1 as well as myeloperoxidase. The antioxidant potential of vildagliptin was depicted as entailing reduction in thiobarbituric acid-reactive substances and the transcriptional factor Nrf-2 level. Vildagliptin guarded against neuronal demise through an antiapoptotic effect as reflected by the reduction in the mitochondrial matrix component cytochrome c and the key downstream executioner caspase-3. In conclusion, vildagliptin is endowed with various neuroprotective effects and thus can be a promising candidate for the management of Parkinson's disease. In the rat rotenone model of Parkinson's disease (PD), striatal RAGE/NFκB signaling was up-regulated associated with elevated levels of inflammatory, oxidative stress, and apoptotic mediators resulting in dopaminergic neurons death and hence motor impairment. Vildagliptin, a dipeptidyl peptidase (DPP)-4 inhibitor, blocked the RAGE/NFκB cascade exerting a potential antiparkinsonian effect. RAGE, receptor for advanced glycation end product; NFκB, nuclear factor κB; TNFα, tumor necrosis factor alpha; ICAM, intracellular adhesion molecule; iNOS, inducible nitric oxide synthase; MPO, myeloperoxidase.","author":[{"dropping-particle":"","family":"Abdelsalam","given":"Rania M.","non-dropping-particle":"","parse-names":false,"suffix":""},{"dropping-particle":"","family":"Safar","given":"Marwa M.","non-dropping-particle":"","parse-names":false,"suffix":""}],"container-title":"Journal of neurochemistry","id":"ITEM-1","issue":"5","issued":{"date-parts":[["2015","6"]]},"note":"NULL","page":"700-7","title":"Neuroprotective effects of vildagliptin in rat rotenone Parkinson's disease model: role of RAGE-NFκB and Nrf2-antioxidant signaling pathways.","type":"article-journal","volume":"133"},"uris":["http://www.mendeley.com/documents/?uuid=eec166f7-a7b5-43f3-8896-ffcd9908b918"]}],"mendeley":{"formattedCitation":"(Abdelsalam and Safar, 2015)","plainTextFormattedCitation":"(Abdelsalam and Safar, 2015)","previouslyFormattedCitation":"(Abdelsalam and Safar,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(Abdelsalam and Safar, 2015)</w:t>
      </w:r>
      <w:r w:rsidR="00844011" w:rsidRPr="00CB1C44">
        <w:rPr>
          <w:rFonts w:ascii="Arial" w:hAnsi="Arial" w:cs="Arial"/>
          <w:lang w:val="en-US"/>
        </w:rPr>
        <w:fldChar w:fldCharType="end"/>
      </w:r>
      <w:r w:rsidR="00E33081" w:rsidRPr="00CB1C44">
        <w:rPr>
          <w:rFonts w:ascii="Arial" w:hAnsi="Arial" w:cs="Arial"/>
          <w:lang w:val="en-US"/>
        </w:rPr>
        <w:t>.</w:t>
      </w:r>
      <w:r w:rsidR="00D779D4" w:rsidRPr="00CB1C44">
        <w:rPr>
          <w:rFonts w:ascii="Arial" w:hAnsi="Arial" w:cs="Arial"/>
          <w:lang w:val="en-US"/>
        </w:rPr>
        <w:t xml:space="preserve"> </w:t>
      </w:r>
      <w:r w:rsidR="00DF3E07" w:rsidRPr="00CB1C44">
        <w:rPr>
          <w:rFonts w:ascii="Arial" w:hAnsi="Arial" w:cs="Arial"/>
          <w:lang w:val="en-US"/>
        </w:rPr>
        <w:t>Similarly,</w:t>
      </w:r>
      <w:r w:rsidR="007828D7" w:rsidRPr="00CB1C44">
        <w:rPr>
          <w:rFonts w:ascii="Arial" w:hAnsi="Arial" w:cs="Arial"/>
          <w:lang w:val="en-US"/>
        </w:rPr>
        <w:t xml:space="preserve"> </w:t>
      </w:r>
      <w:proofErr w:type="spellStart"/>
      <w:r w:rsidR="007828D7" w:rsidRPr="00CB1C44">
        <w:rPr>
          <w:rFonts w:ascii="Arial" w:hAnsi="Arial" w:cs="Arial"/>
          <w:lang w:val="en-US"/>
        </w:rPr>
        <w:t>g</w:t>
      </w:r>
      <w:r w:rsidR="00150BD8" w:rsidRPr="00CB1C44">
        <w:rPr>
          <w:rFonts w:ascii="Arial" w:hAnsi="Arial" w:cs="Arial"/>
          <w:lang w:val="en-US"/>
        </w:rPr>
        <w:t>laucocalyxin</w:t>
      </w:r>
      <w:proofErr w:type="spellEnd"/>
      <w:r w:rsidR="00150BD8" w:rsidRPr="00CB1C44">
        <w:rPr>
          <w:rFonts w:ascii="Arial" w:hAnsi="Arial" w:cs="Arial"/>
          <w:lang w:val="en-US"/>
        </w:rPr>
        <w:t xml:space="preserve"> B (GLB), an </w:t>
      </w:r>
      <w:proofErr w:type="spellStart"/>
      <w:r w:rsidR="00150BD8" w:rsidRPr="00CB1C44">
        <w:rPr>
          <w:rFonts w:ascii="Arial" w:hAnsi="Arial" w:cs="Arial"/>
          <w:i/>
          <w:lang w:val="en-US"/>
        </w:rPr>
        <w:t>ent</w:t>
      </w:r>
      <w:r w:rsidR="00150BD8" w:rsidRPr="00CB1C44">
        <w:rPr>
          <w:rFonts w:ascii="Arial" w:hAnsi="Arial" w:cs="Arial"/>
          <w:lang w:val="en-US"/>
        </w:rPr>
        <w:t>-kauranoid</w:t>
      </w:r>
      <w:proofErr w:type="spellEnd"/>
      <w:r w:rsidR="00150BD8" w:rsidRPr="00CB1C44">
        <w:rPr>
          <w:rFonts w:ascii="Arial" w:hAnsi="Arial" w:cs="Arial"/>
          <w:lang w:val="en-US"/>
        </w:rPr>
        <w:t xml:space="preserve"> diterpenoid isolated from </w:t>
      </w:r>
      <w:proofErr w:type="spellStart"/>
      <w:r w:rsidR="00150BD8" w:rsidRPr="00CB1C44">
        <w:rPr>
          <w:rFonts w:ascii="Arial" w:hAnsi="Arial" w:cs="Arial"/>
          <w:i/>
          <w:lang w:val="en-US"/>
        </w:rPr>
        <w:t>Rabdosia</w:t>
      </w:r>
      <w:proofErr w:type="spellEnd"/>
      <w:r w:rsidR="00150BD8" w:rsidRPr="00CB1C44">
        <w:rPr>
          <w:rFonts w:ascii="Arial" w:hAnsi="Arial" w:cs="Arial"/>
          <w:i/>
          <w:lang w:val="en-US"/>
        </w:rPr>
        <w:t xml:space="preserve"> japonica</w:t>
      </w:r>
      <w:r w:rsidR="00150BD8" w:rsidRPr="00CB1C44">
        <w:rPr>
          <w:rFonts w:ascii="Arial" w:hAnsi="Arial" w:cs="Arial"/>
          <w:lang w:val="en-US"/>
        </w:rPr>
        <w:t xml:space="preserve">, </w:t>
      </w:r>
      <w:r w:rsidR="00385458" w:rsidRPr="00CB1C44">
        <w:rPr>
          <w:rFonts w:ascii="Arial" w:hAnsi="Arial" w:cs="Arial"/>
          <w:lang w:val="en-US"/>
        </w:rPr>
        <w:t xml:space="preserve">reduced inflammation and oxidative stress via NF-KB downregulation and enhanced Nrf2 activation, </w:t>
      </w:r>
      <w:r w:rsidR="00150BD8" w:rsidRPr="00CB1C44">
        <w:rPr>
          <w:rFonts w:ascii="Arial" w:hAnsi="Arial" w:cs="Arial"/>
          <w:lang w:val="en-US"/>
        </w:rPr>
        <w:t>in a lipopolysaccharide-induced PD rat model</w:t>
      </w:r>
      <w:r w:rsidR="00385458" w:rsidRPr="00CB1C44">
        <w:rPr>
          <w:rFonts w:ascii="Arial" w:hAnsi="Arial" w:cs="Arial"/>
          <w:lang w:val="en-US"/>
        </w:rPr>
        <w:t xml:space="preserve"> </w:t>
      </w:r>
      <w:r w:rsidR="008A6678"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{"citationItems":[{"id":"ITEM-1","itemData":{"DOI":"10.1159/000485947","ISSN":"1015-8987","PMID":"29241205","abstract":"BACKGROUND/AIMS Parkinson's disease (PD) is a common neurodegenerative disease in the old population, characterized by dopaminergic neuron loss, inflammation and oxidative stress injury in the substantia nigra. Glaucocalyxin B (GLB), an ent-kauranoid diterpenoid isolated from Rabdosia japonica, has anti-inflammation and anti-tumor effects. However, its effects on PD remain unclear. METHODS PD was introduced in rats via injection of lipopolysaccharide (LPS) into cerebral corpus striatum, and GLB was given intracerebroventricularly to these rats. Their walking, climbing and sensory states were detected by Stepping, Whisker and Cylinder Tests. The expression of tyrosine hydroxylase (TH), glial fibrillary acidic protein (GFAP), CD11b and ionized calcium binding adaptor molecule (IBA)-1 were detected by immunohischemical staining. The levels of a series of inflammatory factors, oxidative stress-related factors and apoptosis-related factors were measured by real-time PCR, immunoblotting and ELISA. In addition, Toll-like receptor (TLR)/nuclear factor kappa B (NF-κB) and nuclear factor erythroid 2-related factor 2 (Nrf2)/heme oxygenase (HO)-1 pathways were investigated to illustrate the underlying mechanism. In vitro, microglial cells exposed to LPS were treated with GLB. RESULTS The injection of LPS caused walking, climbing and sensory disturbances in rats, induced inflammation, oxidative stress response and apoptosis, and activated TLR/NF-κB and Nrf2/ HO-1 pathways in the cerebral tissue. GLB administration attenuated LPS-induced alterations. The TLR/NF-κB pathway was deactivated and Nrf2/HO-1 was activated after application of GLB. In vitro, cytotoxic effects induced by the conditioned medium derived from microglial cells exposed to LPS in PC12 cells were attenuated by GLB. CONCLUSION GLB suppresses LPS-induced PD symptoms by modification of TLR/NF-κB and Nrf2/HO-1 pathways in vivo and in vitro.","author":[{"dropping-particle":"","family":"Xu","given":"Wei","non-dropping-particle":"","parse-names":false,"suffix":""},{"dropping-particle":"","family":"Zheng","given":"Deyu","non-dropping-particle":"","parse-names":false,"suffix":""},{"dropping-particle":"","family":"Liu","given":"Yuanyuan","non-dropping-particle":"","parse-names":false,"suffix":""},{"dropping-particle":"","family":"Li","given":"Ji","non-dropping-particle":"","parse-names":false,"suffix":""},{"dropping-particle":"","family":"Yang","given":"Li","non-dropping-particle":"","parse-names":false,"suffix":""},{"dropping-particle":"","family":"Shang","given":"Xiuli","non-dropping-particle":"","parse-names":false,"suffix":""}],"container-title":"Cellular Physiology and Biochemistry","id":"ITEM-1","issue":"6","issued":{"date-parts":[["2017"]]},"page":"2091-2104","title":"Glaucocalyxin B Alleviates Lipopolysaccharide-Induced Parkinson’s Disease by Inhibiting TLR/NF-κB and Activating Nrf2/HO-1 Pathway","type":"article-journal","volume":"44"},"uris":["http://www.mendeley.com/documents/?uuid=64e268f4-d7fd-4252-b3e5-80b04a226980"]}],"mendeley":{"formattedCitation":"(Xu et al., 2017)","plainTextFormattedCitation":"(Xu et al., 2017)","previouslyFormattedCitation":"(Xu et al., 2017)"},"properties":{"noteIndex":0},"schema":"https://github.com/citation-style-language/schema/raw/master/csl-citation.json"}</w:instrText>
      </w:r>
      <w:r w:rsidR="008A6678" w:rsidRPr="00CB1C44">
        <w:rPr>
          <w:rFonts w:ascii="Arial" w:hAnsi="Arial" w:cs="Arial"/>
          <w:lang w:val="en-US"/>
        </w:rPr>
        <w:fldChar w:fldCharType="separate"/>
      </w:r>
      <w:r w:rsidR="00DD645C" w:rsidRPr="00CB1C44">
        <w:rPr>
          <w:rFonts w:ascii="Arial" w:hAnsi="Arial" w:cs="Arial"/>
          <w:noProof/>
          <w:lang w:val="en-US"/>
        </w:rPr>
        <w:t>(Xu et al., 2017)</w:t>
      </w:r>
      <w:r w:rsidR="008A6678" w:rsidRPr="00CB1C44">
        <w:rPr>
          <w:rFonts w:ascii="Arial" w:hAnsi="Arial" w:cs="Arial"/>
          <w:lang w:val="en-US"/>
        </w:rPr>
        <w:fldChar w:fldCharType="end"/>
      </w:r>
      <w:r w:rsidR="00385458" w:rsidRPr="00CB1C44">
        <w:rPr>
          <w:rFonts w:ascii="Arial" w:hAnsi="Arial" w:cs="Arial"/>
          <w:lang w:val="en-US"/>
        </w:rPr>
        <w:t>.</w:t>
      </w:r>
      <w:r w:rsidR="00B057F0" w:rsidRPr="00CB1C44">
        <w:rPr>
          <w:rFonts w:ascii="Arial" w:hAnsi="Arial" w:cs="Arial"/>
          <w:lang w:val="en-US"/>
        </w:rPr>
        <w:t xml:space="preserve"> </w:t>
      </w:r>
      <w:r w:rsidR="00CB6DC7" w:rsidRPr="00CB1C44">
        <w:rPr>
          <w:rFonts w:ascii="Arial" w:hAnsi="Arial" w:cs="Arial"/>
          <w:lang w:val="en-US"/>
        </w:rPr>
        <w:t>T</w:t>
      </w:r>
      <w:r w:rsidR="00D779D4" w:rsidRPr="00CB1C44">
        <w:rPr>
          <w:rFonts w:ascii="Arial" w:hAnsi="Arial" w:cs="Arial"/>
          <w:lang w:val="en-US"/>
        </w:rPr>
        <w:t xml:space="preserve">he Rho-associated kinase inhibitor, </w:t>
      </w:r>
      <w:proofErr w:type="spellStart"/>
      <w:r w:rsidR="00CB6DC7" w:rsidRPr="00CB1C44">
        <w:rPr>
          <w:rFonts w:ascii="Arial" w:hAnsi="Arial" w:cs="Arial"/>
          <w:lang w:val="en-US"/>
        </w:rPr>
        <w:t>f</w:t>
      </w:r>
      <w:r w:rsidR="00D779D4" w:rsidRPr="00CB1C44">
        <w:rPr>
          <w:rFonts w:ascii="Arial" w:hAnsi="Arial" w:cs="Arial"/>
          <w:lang w:val="en-US"/>
        </w:rPr>
        <w:t>asudil</w:t>
      </w:r>
      <w:proofErr w:type="spellEnd"/>
      <w:r w:rsidR="00D779D4" w:rsidRPr="00CB1C44">
        <w:rPr>
          <w:rFonts w:ascii="Arial" w:hAnsi="Arial" w:cs="Arial"/>
          <w:lang w:val="en-US"/>
        </w:rPr>
        <w:t>, also decreased NF-kB expression and improved Nrf2 target genes expression in the MPTP m</w:t>
      </w:r>
      <w:r w:rsidR="00CB6DC7" w:rsidRPr="00CB1C44">
        <w:rPr>
          <w:rFonts w:ascii="Arial" w:hAnsi="Arial" w:cs="Arial"/>
          <w:lang w:val="en-US"/>
        </w:rPr>
        <w:t>ouse</w:t>
      </w:r>
      <w:r w:rsidR="00D779D4" w:rsidRPr="00CB1C44">
        <w:rPr>
          <w:rFonts w:ascii="Arial" w:hAnsi="Arial" w:cs="Arial"/>
          <w:lang w:val="en-US"/>
        </w:rPr>
        <w:t xml:space="preserve"> model </w:t>
      </w:r>
      <w:r w:rsidR="00844011"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{"citationItems":[{"id":"ITEM-1","itemData":{"DOI":"10.1016/j.jns.2015.03.022","ISBN":"0022-510x","ISSN":"0022510X","PMID":"25908255","abstract":"Recent studies have demonstrated that activation of the Rho-associated kinase (ROCK) pathway participates in the dopaminergic neuron degeneration and possibly in Parkinson's disease (PD). In the current study, we tried to observe the therapeutic potential of ROCK inhibitor Fasudil against dopaminergic neuron injury in 1-methyl-4-phenyl-1,2,3,6-tetrahydropyridine (MPTP)-mouse model of PD, and explore possible molecular mechanisms by enzyme-linked immunosorbent assay (ELISA), western blot and immunofluorescent assays. The results showed that MPTP-PD mice presented motor deficits, dopaminergic neuron loss, activation of inflammatory response and oxidative stress as well as ROCK and glycogen synthase kinase 3?? (GSK-3??) signaling pathways. The administration of Fasudil exhibited neuroprotective effects against the dopaminergic neurons and improved the motor function recovery in the MPTP-PD mice, accompanied by the suppression of inflammatory responses (IL-1??, TNF-??, NF-??B-p65 and TLR-2), and oxidative stress (iNOS and gp91Phox), which might be associated with the inhibition of ROCK and GSK-3?? activity. Simultaneously, the administration of Fasudil resulted in the shift from inflammatory M1 to anti-inflammatory/neurorepair M2 microglia. Additionally, Fasudil intervention enhanced the expression of anti-oxidative factors such as NF-E2-related factor 2 (Nrf2), Hmox as well as neurotrophic factor including GDNF. Our observations defined the neuroprotective effects of Fasudil in MPTP-PD mice, and we found a series of novel effector molecules and pathways for explaining the neuroprotective effects against dopaminergic neurons. However, a lot of investigations are warranted to further elucidate the crosstalk among Fasudil, oxidative stress, inflammatory response, GDNF and ROCK/NF-kB/Nrf2 pathways in the therapeutic potential of PD.","author":[{"dropping-particle":"","family":"Zhao","given":"Yong-fei","non-dropping-particle":"","parse-names":false,"suffix":""},{"dropping-particle":"","family":"Zhang","given":"Qiong","non-dropping-particle":"","parse-names":false,"suffix":""},{"dropping-particle":"","family":"Xi","given":"Jian-ying","non-dropping-particle":"","parse-names":false,"suffix":""},{"dropping-particle":"","family":"Li","given":"Yan-hua","non-dropping-particle":"","parse-names":false,"suffix":""},{"dropping-particle":"","family":"Ma","given":"Cun-gen","non-dropping-particle":"","parse-names":false,"suffix":""},{"dropping-particle":"","family":"Xiao","given":"Bao-guo","non-dropping-particle":"","parse-names":false,"suffix":""}],"container-title":"Journal of the Neurological Sciences","id":"ITEM-1","issue":"1-2","issued":{"date-parts":[["2015","6"]]},"note":"NULL","page":"28-37","publisher":"Elsevier B.V.","title":"Multitarget intervention of Fasudil in the neuroprotection of dopaminergic neurons in MPTP-mouse model of Parkinson's disease","type":"article-journal","volume":"353"},"uris":["http://www.mendeley.com/documents/?uuid=0708a23f-5457-46cf-8d93-f4d431c13beb"]}],"mendeley":{"formattedCitation":"(Zhao et al., 2015)","plainTextFormattedCitation":"(Zhao et al., 2015)","previouslyFormattedCitation":"(Zhao et al., 2015)"},"properties":{"noteIndex":0},"schema":"https://github.com/citation-style-language/schema/raw/master/csl-citation.json"}</w:instrText>
      </w:r>
      <w:r w:rsidR="00844011" w:rsidRPr="00CB1C44">
        <w:rPr>
          <w:rFonts w:ascii="Arial" w:hAnsi="Arial" w:cs="Arial"/>
          <w:lang w:val="en-US"/>
        </w:rPr>
        <w:fldChar w:fldCharType="separate"/>
      </w:r>
      <w:r w:rsidR="00DD645C" w:rsidRPr="00CB1C44">
        <w:rPr>
          <w:rFonts w:ascii="Arial" w:hAnsi="Arial" w:cs="Arial"/>
          <w:noProof/>
          <w:lang w:val="en-US"/>
        </w:rPr>
        <w:t>(Zhao et al., 2015)</w:t>
      </w:r>
      <w:r w:rsidR="00844011" w:rsidRPr="00CB1C44">
        <w:rPr>
          <w:rFonts w:ascii="Arial" w:hAnsi="Arial" w:cs="Arial"/>
          <w:lang w:val="en-US"/>
        </w:rPr>
        <w:fldChar w:fldCharType="end"/>
      </w:r>
      <w:r w:rsidR="00D779D4" w:rsidRPr="00CB1C44">
        <w:rPr>
          <w:rFonts w:ascii="Arial" w:hAnsi="Arial" w:cs="Arial"/>
          <w:lang w:val="en-US"/>
        </w:rPr>
        <w:t xml:space="preserve">. </w:t>
      </w:r>
      <w:r w:rsidR="00DC24CB" w:rsidRPr="00CB1C44">
        <w:rPr>
          <w:rFonts w:ascii="Arial" w:hAnsi="Arial" w:cs="Arial"/>
          <w:lang w:val="en-US"/>
        </w:rPr>
        <w:t xml:space="preserve">In </w:t>
      </w:r>
      <w:r w:rsidR="000231B2" w:rsidRPr="00CB1C44">
        <w:rPr>
          <w:rFonts w:ascii="Arial" w:hAnsi="Arial" w:cs="Arial"/>
          <w:lang w:val="en-US"/>
        </w:rPr>
        <w:t>addition</w:t>
      </w:r>
      <w:r w:rsidR="00DC24CB" w:rsidRPr="00CB1C44">
        <w:rPr>
          <w:rFonts w:ascii="Arial" w:hAnsi="Arial" w:cs="Arial"/>
          <w:lang w:val="en-US"/>
        </w:rPr>
        <w:t xml:space="preserve">, </w:t>
      </w:r>
      <w:r w:rsidR="00561D0C" w:rsidRPr="00CB1C44">
        <w:rPr>
          <w:rFonts w:ascii="Arial" w:hAnsi="Arial" w:cs="Arial"/>
          <w:lang w:val="en-US"/>
        </w:rPr>
        <w:t>protocatechuic acid or PCA,</w:t>
      </w:r>
      <w:r w:rsidR="00DC24CB" w:rsidRPr="00CB1C44">
        <w:rPr>
          <w:rFonts w:ascii="Arial" w:hAnsi="Arial" w:cs="Arial"/>
          <w:lang w:val="en-US"/>
        </w:rPr>
        <w:t xml:space="preserve"> combined with chrysin, </w:t>
      </w:r>
      <w:r w:rsidR="00CB6DC7" w:rsidRPr="00CB1C44">
        <w:rPr>
          <w:rFonts w:ascii="Arial" w:hAnsi="Arial" w:cs="Arial"/>
          <w:lang w:val="en-US"/>
        </w:rPr>
        <w:t xml:space="preserve">pre-characterized to have </w:t>
      </w:r>
      <w:r w:rsidR="00DC24CB" w:rsidRPr="00CB1C44">
        <w:rPr>
          <w:rFonts w:ascii="Arial" w:hAnsi="Arial" w:cs="Arial"/>
          <w:lang w:val="en-US"/>
        </w:rPr>
        <w:t xml:space="preserve">antioxidant </w:t>
      </w:r>
      <w:r w:rsidR="00CB6DC7" w:rsidRPr="00CB1C44">
        <w:rPr>
          <w:rFonts w:ascii="Arial" w:hAnsi="Arial" w:cs="Arial"/>
          <w:lang w:val="en-US"/>
        </w:rPr>
        <w:t>properties</w:t>
      </w:r>
      <w:r w:rsidR="005B3F9A" w:rsidRPr="00CB1C44">
        <w:rPr>
          <w:rFonts w:ascii="Arial" w:hAnsi="Arial" w:cs="Arial"/>
          <w:lang w:val="en-US"/>
        </w:rPr>
        <w:t xml:space="preserve"> </w:t>
      </w:r>
      <w:r w:rsidR="00D31909"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{"citationItems":[{"id":"ITEM-1","itemData":{"DOI":"10.3390/ijms151120913","ISBN":"8622608174","ISSN":"14220067","PMID":"25402649","abstract":"Inflammation and oxidative stress play an important part in the pathogenesis of focal cerebral ischemia/reperfusion (I/R) injury, resulting in neuronal death. The signaling pathways involved and the underlying mechanisms of these events are not fully understood. Chrysin, which is a naturally occurring flavonoid, exhibits various biological activities. In this study, we investigated the neuroprotective properties of chrysin in a mouse model of middle cerebral artery occlusion (MCAO). To this end, male C57/BL6 mice were pretreated with chrysin once a day for seven days and were then subjected to 1 h of middle cerebral artery occlusion followed by reperfusion for 24 h. Our data show that chrysin successfully decreased neurological deficit scores and infarct volumes, compared with the vehicle group. The increases in glial cell numbers and proinflammatory cytokine secretion usually caused by ischemia/reperfusion were significantly ameliorated by chrysin pretreatment. Moreover, chrysin also inhibited the MCAO-induced up-regulation of nuclear factor-kappa B (NF-κB), cyclooxygenase-2 (COX-2), and inducible nitric oxide synthase (iNOS), compared with the vehicle. These results suggest that chrysin could be a potential prophylactic agent for cerebral ischemia/reperfusion (I/R) injury mediated by its anti-inflammatory and anti-oxidative effects.","author":[{"dropping-particle":"","family":"Yao","given":"Yang","non-dropping-particle":"","parse-names":false,"suffix":""},{"dropping-particle":"","family":"Chen","given":"Li","non-dropping-particle":"","parse-names":false,"suffix":""},{"dropping-particle":"","family":"Xiao","given":"Jinting","non-dropping-particle":"","parse-names":false,"suffix":""},{"dropping-particle":"","family":"Wang","given":"Chunyang","non-dropping-particle":"","parse-names":false,"suffix":""},{"dropping-particle":"","family":"Jiang","given":"Wei","non-dropping-particle":"","parse-names":false,"suffix":""},{"dropping-particle":"","family":"Zhang","given":"Rongxin","non-dropping-particle":"","parse-names":false,"suffix":""},{"dropping-particle":"","family":"Hao","given":"Junwei","non-dropping-particle":"","parse-names":false,"suffix":""}],"container-title":"International Journal of Molecular Sciences","id":"ITEM-1","issued":{"date-parts":[["2014"]]},"title":"Chrysin protects against focal cerebral ischemia/reperfusion injury in mice through attenuation of oxidative stress and inflammation","type":"article-journal"},"uris":["http://www.mendeley.com/documents/?uuid=ff9cec85-8afc-4c05-8951-7f56017014bd"]}],"mendeley":{"formattedCitation":"(Yao et al., 2014)","plainTextFormattedCitation":"(Yao et al., 2014)","previouslyFormattedCitation":"(Yao et al., 2014)"},"properties":{"noteIndex":0},"schema":"https://github.com/citation-style-language/schema/raw/master/csl-citation.json"}</w:instrText>
      </w:r>
      <w:r w:rsidR="00D31909" w:rsidRPr="00CB1C44">
        <w:rPr>
          <w:rFonts w:ascii="Arial" w:hAnsi="Arial" w:cs="Arial"/>
          <w:lang w:val="en-US"/>
        </w:rPr>
        <w:fldChar w:fldCharType="separate"/>
      </w:r>
      <w:r w:rsidR="00DD645C" w:rsidRPr="00CB1C44">
        <w:rPr>
          <w:rFonts w:ascii="Arial" w:hAnsi="Arial" w:cs="Arial"/>
          <w:noProof/>
          <w:lang w:val="en-US"/>
        </w:rPr>
        <w:t>(Yao et al., 2014)</w:t>
      </w:r>
      <w:r w:rsidR="00D31909" w:rsidRPr="00CB1C44">
        <w:rPr>
          <w:rFonts w:ascii="Arial" w:hAnsi="Arial" w:cs="Arial"/>
          <w:lang w:val="en-US"/>
        </w:rPr>
        <w:fldChar w:fldCharType="end"/>
      </w:r>
      <w:r w:rsidR="00DC24CB" w:rsidRPr="00CB1C44">
        <w:rPr>
          <w:rFonts w:ascii="Arial" w:hAnsi="Arial" w:cs="Arial"/>
          <w:lang w:val="en-US"/>
        </w:rPr>
        <w:t xml:space="preserve">, </w:t>
      </w:r>
      <w:r w:rsidR="0071501D" w:rsidRPr="00CB1C44">
        <w:rPr>
          <w:rFonts w:ascii="Arial" w:hAnsi="Arial" w:cs="Arial"/>
          <w:lang w:val="en-US"/>
        </w:rPr>
        <w:t xml:space="preserve">increased cell viability </w:t>
      </w:r>
      <w:r w:rsidR="00CB6DC7" w:rsidRPr="00CB1C44">
        <w:rPr>
          <w:rFonts w:ascii="Arial" w:hAnsi="Arial" w:cs="Arial"/>
          <w:lang w:val="en-US"/>
        </w:rPr>
        <w:t xml:space="preserve">as well as Nrf2 expression and transcriptional activity </w:t>
      </w:r>
      <w:r w:rsidR="0071501D" w:rsidRPr="00CB1C44">
        <w:rPr>
          <w:rFonts w:ascii="Arial" w:hAnsi="Arial" w:cs="Arial"/>
          <w:lang w:val="en-US"/>
        </w:rPr>
        <w:t>through NF-kB inhibition</w:t>
      </w:r>
      <w:r w:rsidR="00CB6DC7" w:rsidRPr="00CB1C44">
        <w:rPr>
          <w:rFonts w:ascii="Arial" w:hAnsi="Arial" w:cs="Arial"/>
          <w:lang w:val="en-US"/>
        </w:rPr>
        <w:t xml:space="preserve"> in 6-OHDA-treated PC12 cells </w:t>
      </w:r>
      <w:r w:rsidR="0071501D"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{"citationItems":[{"id":"ITEM-1","itemData":{"DOI":"10.1016/j.freeradbiomed.2015.02.030","ISSN":"08915849","PMID":"25769424","abstract":"Polypharmacology-based strategies using drug combinations with different mechanisms of action are gaining increasing attention as a novel methodology to discover potentially innovative medicines for neurodegenerative disorders. We used this approach to examine the combined neuroprotective effects of two polyphenols, protocatechuic acid (PCA) and chrysin, identified from the fruits of Alpinia oxyphylla. Our results demonstrated synergistic neuroprotective effects, with chrysin enhancing the protective effects of PCA, resulting in greater cell viability and decreased lactate dehydrogenase release from 6-hydroxydopamine-treated PC12 cells. Their combination also significantly attenuated chemically induced dopaminergic neuron loss in both zebrafish and mice. We examined the molecular mechanisms underlying these collective cytoprotective effects through proteomic analysis of treated PC12 cells, resulting in the identification of 12 regulated proteins. Two were further characterized, leading to the determination that pretreatment with PCA and chrysin resulted in (i) increased nuclear factor-erythroid 2-related factor 2 protein expression and transcriptional activity; (ii) modulation of cellular redox status with the upregulated expression of hallmark antioxidant enzymes, including heme oxygenase-1, superoxide dismutase, and catalase; and (iii) decreased levels of malondialdehyde, a known lipid peroxidation product. Treatment with PCA and chrysin also inhibited activation of nuclear factor-κB and expression of inducible nitric oxide synthase. Our findings suggest that natural products, when used in combination, can be effective potential therapeutic agents for treating diseases such as Parkinson disease. A therapy involving both PCA and chrysin exhibits its enhanced neuroprotective effects through a combination of cellular mechanisms: antioxidant cytoprotection and anti-inflammation.","author":[{"dropping-particle":"","family":"Zhang","given":"Zaijun","non-dropping-particle":"","parse-names":false,"suffix":""},{"dropping-particle":"","family":"Li","given":"Guohui","non-dropping-particle":"","parse-names":false,"suffix":""},{"dropping-particle":"","family":"Szeto","given":"Samuel S.W.","non-dropping-particle":"","parse-names":false,"suffix":""},{"dropping-particle":"","family":"Chong","given":"Cheong Meng","non-dropping-particle":"","parse-names":false,"suffix":""},{"dropping-particle":"","family":"Quan","given":"Quan","non-dropping-particle":"","parse-names":false,"suffix":""},{"dropping-particle":"","family":"Huang","given":"Chen","non-dropping-particle":"","parse-names":false,"suffix":""},{"dropping-particle":"","family":"Cui","given":"Wei","non-dropping-particle":"","parse-names":false,"suffix":""},{"dropping-particle":"","family":"Guo","given":"Baojian","non-dropping-particle":"","parse-names":false,"suffix":""},{"dropping-particle":"","family":"Wang","given":"Yuqiang","non-dropping-particle":"","parse-names":false,"suffix":""},{"dropping-particle":"","family":"Han","given":"Yifan","non-dropping-particle":"","parse-names":false,"suffix":""},{"dropping-particle":"","family":"Michael Siu","given":"K.W.","non-dropping-particle":"","parse-names":false,"suffix":""},{"dropping-particle":"","family":"Yuen Lee","given":"Simon Ming","non-dropping-particle":"","parse-names":false,"suffix":""},{"dropping-particle":"","family":"Chu","given":"Ivan K.","non-dropping-particle":"","parse-names":false,"suffix":""}],"container-title":"Free Radical Biology and Medicine","id":"ITEM-1","issued":{"date-parts":[["2015","7"]]},"page":"331-343","publisher":"Elsevier","title":"Examining the neuroprotective effects of protocatechuic acid and chrysin on in vitro and in vivo models of Parkinson disease","type":"article-journal","volume":"84"},"uris":["http://www.mendeley.com/documents/?uuid=38863a98-e0df-482f-af7e-8f3109542fd8"]}],"mendeley":{"formattedCitation":"(Zhang et al., 2015)","plainTextFormattedCitation":"(Zhang et al., 2015)","previouslyFormattedCitation":"(Zhang et al., 2015)"},"properties":{"noteIndex":0},"schema":"https://github.com/citation-style-language/schema/raw/master/csl-citation.json"}</w:instrText>
      </w:r>
      <w:r w:rsidR="0071501D" w:rsidRPr="00CB1C44">
        <w:rPr>
          <w:rFonts w:ascii="Arial" w:hAnsi="Arial" w:cs="Arial"/>
          <w:lang w:val="en-US"/>
        </w:rPr>
        <w:fldChar w:fldCharType="separate"/>
      </w:r>
      <w:r w:rsidR="00DD645C" w:rsidRPr="00CB1C44">
        <w:rPr>
          <w:rFonts w:ascii="Arial" w:hAnsi="Arial" w:cs="Arial"/>
          <w:noProof/>
          <w:lang w:val="en-US"/>
        </w:rPr>
        <w:t>(Zhang et al., 2015)</w:t>
      </w:r>
      <w:r w:rsidR="0071501D" w:rsidRPr="00CB1C44">
        <w:rPr>
          <w:rFonts w:ascii="Arial" w:hAnsi="Arial" w:cs="Arial"/>
          <w:lang w:val="en-US"/>
        </w:rPr>
        <w:fldChar w:fldCharType="end"/>
      </w:r>
      <w:r w:rsidR="0071501D" w:rsidRPr="00CB1C44">
        <w:rPr>
          <w:rFonts w:ascii="Arial" w:hAnsi="Arial" w:cs="Arial"/>
          <w:lang w:val="en-US"/>
        </w:rPr>
        <w:t>.</w:t>
      </w:r>
    </w:p>
    <w:p w14:paraId="3CBC605E" w14:textId="2BECDBE7" w:rsidR="00561FFD" w:rsidRPr="00CB1C44" w:rsidRDefault="00CB6DC7" w:rsidP="004038B5">
      <w:pPr>
        <w:spacing w:after="0" w:line="360" w:lineRule="auto"/>
        <w:jc w:val="both"/>
        <w:rPr>
          <w:rFonts w:ascii="Arial" w:hAnsi="Arial" w:cs="Arial"/>
          <w:lang w:val="en-US"/>
        </w:rPr>
      </w:pPr>
      <w:r w:rsidRPr="00CB1C44">
        <w:rPr>
          <w:rFonts w:ascii="Arial" w:hAnsi="Arial" w:cs="Arial"/>
          <w:lang w:val="en-US"/>
        </w:rPr>
        <w:t>Overall</w:t>
      </w:r>
      <w:r w:rsidR="00C12C43" w:rsidRPr="00CB1C44">
        <w:rPr>
          <w:rFonts w:ascii="Arial" w:hAnsi="Arial" w:cs="Arial"/>
          <w:lang w:val="en-US"/>
        </w:rPr>
        <w:t xml:space="preserve">, </w:t>
      </w:r>
      <w:r w:rsidR="00E9486B" w:rsidRPr="00CB1C44">
        <w:rPr>
          <w:rFonts w:ascii="Arial" w:hAnsi="Arial" w:cs="Arial"/>
          <w:lang w:val="en-US"/>
        </w:rPr>
        <w:t xml:space="preserve">modulation of </w:t>
      </w:r>
      <w:r w:rsidR="00C12C43" w:rsidRPr="00CB1C44">
        <w:rPr>
          <w:rFonts w:ascii="Arial" w:hAnsi="Arial" w:cs="Arial"/>
          <w:lang w:val="en-US"/>
        </w:rPr>
        <w:t>the PI3K/</w:t>
      </w:r>
      <w:proofErr w:type="spellStart"/>
      <w:r w:rsidR="0026569F" w:rsidRPr="00CB1C44">
        <w:rPr>
          <w:rFonts w:ascii="Arial" w:hAnsi="Arial" w:cs="Arial"/>
          <w:lang w:val="en-US"/>
        </w:rPr>
        <w:t>Akt</w:t>
      </w:r>
      <w:proofErr w:type="spellEnd"/>
      <w:r w:rsidR="00C12C43" w:rsidRPr="00CB1C44">
        <w:rPr>
          <w:rFonts w:ascii="Arial" w:hAnsi="Arial" w:cs="Arial"/>
          <w:lang w:val="en-US"/>
        </w:rPr>
        <w:t>/GSK-3β pathway</w:t>
      </w:r>
      <w:r w:rsidR="00E9486B" w:rsidRPr="00CB1C44">
        <w:rPr>
          <w:rFonts w:ascii="Arial" w:hAnsi="Arial" w:cs="Arial"/>
          <w:lang w:val="en-US"/>
        </w:rPr>
        <w:t xml:space="preserve"> and inhibition of the p38 MAPK a</w:t>
      </w:r>
      <w:r w:rsidR="00E417A5" w:rsidRPr="00CB1C44">
        <w:rPr>
          <w:rFonts w:ascii="Arial" w:hAnsi="Arial" w:cs="Arial"/>
          <w:lang w:val="en-US"/>
        </w:rPr>
        <w:t>ppear as</w:t>
      </w:r>
      <w:r w:rsidR="00CE083F" w:rsidRPr="00CB1C44">
        <w:rPr>
          <w:rFonts w:ascii="Arial" w:hAnsi="Arial" w:cs="Arial"/>
          <w:lang w:val="en-US"/>
        </w:rPr>
        <w:t xml:space="preserve"> </w:t>
      </w:r>
      <w:r w:rsidR="00E417A5" w:rsidRPr="00CB1C44">
        <w:rPr>
          <w:rFonts w:ascii="Arial" w:hAnsi="Arial" w:cs="Arial"/>
          <w:lang w:val="en-US"/>
        </w:rPr>
        <w:t xml:space="preserve">the most </w:t>
      </w:r>
      <w:r w:rsidR="00CE083F" w:rsidRPr="00CB1C44">
        <w:rPr>
          <w:rFonts w:ascii="Arial" w:hAnsi="Arial" w:cs="Arial"/>
          <w:lang w:val="en-US"/>
        </w:rPr>
        <w:t>promising</w:t>
      </w:r>
      <w:r w:rsidR="00E417A5" w:rsidRPr="00CB1C44">
        <w:rPr>
          <w:rFonts w:ascii="Arial" w:hAnsi="Arial" w:cs="Arial"/>
          <w:lang w:val="en-US"/>
        </w:rPr>
        <w:t xml:space="preserve"> target pathways</w:t>
      </w:r>
      <w:r w:rsidR="00D37952" w:rsidRPr="00CB1C44">
        <w:rPr>
          <w:rFonts w:ascii="Arial" w:hAnsi="Arial" w:cs="Arial"/>
          <w:lang w:val="en-US"/>
        </w:rPr>
        <w:t xml:space="preserve"> in </w:t>
      </w:r>
      <w:r w:rsidRPr="00CB1C44">
        <w:rPr>
          <w:rFonts w:ascii="Arial" w:hAnsi="Arial" w:cs="Arial"/>
          <w:lang w:val="en-US"/>
        </w:rPr>
        <w:t xml:space="preserve">several </w:t>
      </w:r>
      <w:r w:rsidR="00D37952" w:rsidRPr="00CB1C44">
        <w:rPr>
          <w:rFonts w:ascii="Arial" w:hAnsi="Arial" w:cs="Arial"/>
          <w:lang w:val="en-US"/>
        </w:rPr>
        <w:t>PD</w:t>
      </w:r>
      <w:r w:rsidRPr="00CB1C44">
        <w:rPr>
          <w:rFonts w:ascii="Arial" w:hAnsi="Arial" w:cs="Arial"/>
          <w:lang w:val="en-US"/>
        </w:rPr>
        <w:t xml:space="preserve"> models</w:t>
      </w:r>
      <w:r w:rsidR="00E9486B" w:rsidRPr="00CB1C44">
        <w:rPr>
          <w:rFonts w:ascii="Arial" w:hAnsi="Arial" w:cs="Arial"/>
          <w:lang w:val="en-US"/>
        </w:rPr>
        <w:t>, leading to the activation of Nrf2 and consequent stress response</w:t>
      </w:r>
      <w:r w:rsidR="006D413C" w:rsidRPr="00CB1C44">
        <w:rPr>
          <w:rFonts w:ascii="Arial" w:hAnsi="Arial" w:cs="Arial"/>
          <w:lang w:val="en-US"/>
        </w:rPr>
        <w:t xml:space="preserve"> (Table 2)</w:t>
      </w:r>
      <w:r w:rsidR="00D37952" w:rsidRPr="00CB1C44">
        <w:rPr>
          <w:rFonts w:ascii="Arial" w:hAnsi="Arial" w:cs="Arial"/>
          <w:lang w:val="en-US"/>
        </w:rPr>
        <w:t xml:space="preserve">. </w:t>
      </w:r>
      <w:r w:rsidR="00E9486B" w:rsidRPr="00CB1C44">
        <w:rPr>
          <w:rFonts w:ascii="Arial" w:hAnsi="Arial" w:cs="Arial"/>
          <w:lang w:val="en-US"/>
        </w:rPr>
        <w:t>Moreover, c</w:t>
      </w:r>
      <w:r w:rsidR="00FD0436" w:rsidRPr="00CB1C44">
        <w:rPr>
          <w:rFonts w:ascii="Arial" w:hAnsi="Arial" w:cs="Arial"/>
          <w:lang w:val="en-US"/>
        </w:rPr>
        <w:t xml:space="preserve">onsidering </w:t>
      </w:r>
      <w:r w:rsidR="00B33601" w:rsidRPr="00CB1C44">
        <w:rPr>
          <w:rFonts w:ascii="Arial" w:hAnsi="Arial" w:cs="Arial"/>
          <w:lang w:val="en-US"/>
        </w:rPr>
        <w:t xml:space="preserve">studies in </w:t>
      </w:r>
      <w:r w:rsidR="00FD0436" w:rsidRPr="00CB1C44">
        <w:rPr>
          <w:rFonts w:ascii="Arial" w:hAnsi="Arial" w:cs="Arial"/>
          <w:lang w:val="en-US"/>
        </w:rPr>
        <w:t xml:space="preserve">PD postmortem </w:t>
      </w:r>
      <w:r w:rsidR="00482710" w:rsidRPr="00CB1C44">
        <w:rPr>
          <w:rFonts w:ascii="Arial" w:hAnsi="Arial" w:cs="Arial"/>
          <w:lang w:val="en-US"/>
        </w:rPr>
        <w:t>tissues</w:t>
      </w:r>
      <w:r w:rsidR="00B33601" w:rsidRPr="00CB1C44">
        <w:rPr>
          <w:rFonts w:ascii="Arial" w:hAnsi="Arial" w:cs="Arial"/>
          <w:lang w:val="en-US"/>
        </w:rPr>
        <w:t xml:space="preserve"> </w:t>
      </w:r>
      <w:r w:rsidR="00482710" w:rsidRPr="00CB1C44">
        <w:rPr>
          <w:rFonts w:ascii="Arial" w:hAnsi="Arial" w:cs="Arial"/>
          <w:lang w:val="en-US"/>
        </w:rPr>
        <w:t xml:space="preserve">compounds </w:t>
      </w:r>
      <w:r w:rsidR="00561FFD" w:rsidRPr="00CB1C44">
        <w:rPr>
          <w:rFonts w:ascii="Arial" w:hAnsi="Arial" w:cs="Arial"/>
          <w:lang w:val="en-US"/>
        </w:rPr>
        <w:t xml:space="preserve">that are </w:t>
      </w:r>
      <w:r w:rsidR="00482710" w:rsidRPr="00CB1C44">
        <w:rPr>
          <w:rFonts w:ascii="Arial" w:hAnsi="Arial" w:cs="Arial"/>
          <w:lang w:val="en-US"/>
        </w:rPr>
        <w:t xml:space="preserve">able to inhibit NF-kB activity </w:t>
      </w:r>
      <w:r w:rsidR="00561FFD" w:rsidRPr="00CB1C44">
        <w:rPr>
          <w:rFonts w:ascii="Arial" w:hAnsi="Arial" w:cs="Arial"/>
          <w:lang w:val="en-US"/>
        </w:rPr>
        <w:t>and thus reduce neuroinflammation and boost Nrf2/ARE pathway</w:t>
      </w:r>
      <w:r w:rsidR="00994406" w:rsidRPr="00CB1C44">
        <w:rPr>
          <w:rFonts w:ascii="Arial" w:hAnsi="Arial" w:cs="Arial"/>
          <w:lang w:val="en-US"/>
        </w:rPr>
        <w:t xml:space="preserve"> </w:t>
      </w:r>
      <w:r w:rsidR="00561FFD" w:rsidRPr="00CB1C44">
        <w:rPr>
          <w:rFonts w:ascii="Arial" w:hAnsi="Arial" w:cs="Arial"/>
          <w:lang w:val="en-US"/>
        </w:rPr>
        <w:t>should</w:t>
      </w:r>
      <w:r w:rsidR="008A0BE3" w:rsidRPr="00CB1C44">
        <w:rPr>
          <w:rFonts w:ascii="Arial" w:hAnsi="Arial" w:cs="Arial"/>
          <w:lang w:val="en-US"/>
        </w:rPr>
        <w:t xml:space="preserve"> be seriously considered </w:t>
      </w:r>
      <w:r w:rsidR="00561FFD" w:rsidRPr="00CB1C44">
        <w:rPr>
          <w:rFonts w:ascii="Arial" w:hAnsi="Arial" w:cs="Arial"/>
          <w:lang w:val="en-US"/>
        </w:rPr>
        <w:t xml:space="preserve">in </w:t>
      </w:r>
      <w:r w:rsidR="008A0BE3" w:rsidRPr="00CB1C44">
        <w:rPr>
          <w:rFonts w:ascii="Arial" w:hAnsi="Arial" w:cs="Arial"/>
          <w:lang w:val="en-US"/>
        </w:rPr>
        <w:t>PD treatment</w:t>
      </w:r>
      <w:r w:rsidR="0002660D" w:rsidRPr="00CB1C44">
        <w:rPr>
          <w:rFonts w:ascii="Arial" w:hAnsi="Arial" w:cs="Arial"/>
          <w:lang w:val="en-US"/>
        </w:rPr>
        <w:t>.</w:t>
      </w:r>
    </w:p>
    <w:p w14:paraId="2AC35A95" w14:textId="75FFF2F7" w:rsidR="00E9721A" w:rsidRPr="00CB1C44" w:rsidRDefault="00E9721A" w:rsidP="004038B5">
      <w:pPr>
        <w:spacing w:after="0" w:line="360" w:lineRule="auto"/>
        <w:jc w:val="both"/>
        <w:rPr>
          <w:rFonts w:ascii="Arial" w:hAnsi="Arial" w:cs="Arial"/>
          <w:lang w:val="en-US"/>
        </w:rPr>
      </w:pPr>
    </w:p>
    <w:p w14:paraId="6D4B318E" w14:textId="73AEF7E6" w:rsidR="00407B16" w:rsidRPr="00CB1C44" w:rsidRDefault="001E5B97" w:rsidP="001E5B97">
      <w:pPr>
        <w:spacing w:after="0" w:line="360" w:lineRule="auto"/>
        <w:jc w:val="center"/>
        <w:rPr>
          <w:rFonts w:ascii="Arial" w:hAnsi="Arial" w:cs="Arial"/>
          <w:lang w:val="en-US"/>
        </w:rPr>
      </w:pPr>
      <w:r w:rsidRPr="00CB1C44">
        <w:rPr>
          <w:rFonts w:ascii="Arial" w:hAnsi="Arial" w:cs="Arial"/>
          <w:noProof/>
          <w:lang w:eastAsia="pt-PT"/>
        </w:rPr>
        <w:lastRenderedPageBreak/>
        <w:drawing>
          <wp:inline distT="0" distB="0" distL="0" distR="0" wp14:anchorId="1A693562" wp14:editId="68E38BC5">
            <wp:extent cx="4943475" cy="4314825"/>
            <wp:effectExtent l="0" t="0" r="9525"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tiff"/>
                    <pic:cNvPicPr/>
                  </pic:nvPicPr>
                  <pic:blipFill rotWithShape="1">
                    <a:blip r:embed="rId12" cstate="print">
                      <a:extLst>
                        <a:ext uri="{28A0092B-C50C-407E-A947-70E740481C1C}">
                          <a14:useLocalDpi xmlns:a14="http://schemas.microsoft.com/office/drawing/2010/main" val="0"/>
                        </a:ext>
                      </a:extLst>
                    </a:blip>
                    <a:srcRect l="2645" r="5809" b="9121"/>
                    <a:stretch/>
                  </pic:blipFill>
                  <pic:spPr bwMode="auto">
                    <a:xfrm>
                      <a:off x="0" y="0"/>
                      <a:ext cx="4943475" cy="4314825"/>
                    </a:xfrm>
                    <a:prstGeom prst="rect">
                      <a:avLst/>
                    </a:prstGeom>
                    <a:ln>
                      <a:noFill/>
                    </a:ln>
                    <a:extLst>
                      <a:ext uri="{53640926-AAD7-44D8-BBD7-CCE9431645EC}">
                        <a14:shadowObscured xmlns:a14="http://schemas.microsoft.com/office/drawing/2010/main"/>
                      </a:ext>
                    </a:extLst>
                  </pic:spPr>
                </pic:pic>
              </a:graphicData>
            </a:graphic>
          </wp:inline>
        </w:drawing>
      </w:r>
    </w:p>
    <w:p w14:paraId="6EB39C17" w14:textId="72B64737" w:rsidR="00E05CB7" w:rsidRPr="00CB1C44" w:rsidRDefault="00E05CB7" w:rsidP="00E05CB7">
      <w:pPr>
        <w:spacing w:after="0"/>
        <w:jc w:val="both"/>
        <w:rPr>
          <w:rFonts w:ascii="Arial" w:hAnsi="Arial" w:cs="Arial"/>
          <w:sz w:val="20"/>
          <w:szCs w:val="20"/>
          <w:lang w:val="en-US"/>
        </w:rPr>
      </w:pPr>
      <w:r w:rsidRPr="00CB1C44">
        <w:rPr>
          <w:rFonts w:ascii="Arial" w:hAnsi="Arial" w:cs="Arial"/>
          <w:b/>
          <w:sz w:val="20"/>
          <w:szCs w:val="20"/>
          <w:lang w:val="en-US"/>
        </w:rPr>
        <w:t xml:space="preserve">Figure 5: Altered mechanisms of Nrf2 regulation in PD and some </w:t>
      </w:r>
      <w:r w:rsidR="00F000DA" w:rsidRPr="00CB1C44">
        <w:rPr>
          <w:rFonts w:ascii="Arial" w:hAnsi="Arial" w:cs="Arial"/>
          <w:b/>
          <w:sz w:val="20"/>
          <w:szCs w:val="20"/>
          <w:lang w:val="en-US"/>
        </w:rPr>
        <w:t xml:space="preserve">drugs </w:t>
      </w:r>
      <w:r w:rsidRPr="00CB1C44">
        <w:rPr>
          <w:rFonts w:ascii="Arial" w:hAnsi="Arial" w:cs="Arial"/>
          <w:b/>
          <w:sz w:val="20"/>
          <w:szCs w:val="20"/>
          <w:lang w:val="en-US"/>
        </w:rPr>
        <w:t xml:space="preserve">shown to be </w:t>
      </w:r>
      <w:r w:rsidR="00F000DA" w:rsidRPr="00CB1C44">
        <w:rPr>
          <w:rFonts w:ascii="Arial" w:hAnsi="Arial" w:cs="Arial"/>
          <w:b/>
          <w:sz w:val="20"/>
          <w:szCs w:val="20"/>
          <w:lang w:val="en-US"/>
        </w:rPr>
        <w:t>protective</w:t>
      </w:r>
      <w:r w:rsidRPr="00CB1C44">
        <w:rPr>
          <w:rFonts w:ascii="Arial" w:hAnsi="Arial" w:cs="Arial"/>
          <w:b/>
          <w:sz w:val="20"/>
          <w:szCs w:val="20"/>
          <w:lang w:val="en-US"/>
        </w:rPr>
        <w:t xml:space="preserve"> in PD.</w:t>
      </w:r>
      <w:r w:rsidRPr="00CB1C44">
        <w:rPr>
          <w:rFonts w:ascii="Arial" w:hAnsi="Arial" w:cs="Arial"/>
          <w:sz w:val="20"/>
          <w:szCs w:val="20"/>
          <w:lang w:val="en-US"/>
        </w:rPr>
        <w:t xml:space="preserve"> Nrf2 activity and related genes expression are decreased in PD. PI3K/</w:t>
      </w:r>
      <w:proofErr w:type="spellStart"/>
      <w:r w:rsidR="0026569F" w:rsidRPr="00CB1C44">
        <w:rPr>
          <w:rFonts w:ascii="Arial" w:hAnsi="Arial" w:cs="Arial"/>
          <w:sz w:val="20"/>
          <w:szCs w:val="20"/>
          <w:lang w:val="en-US"/>
        </w:rPr>
        <w:t>Akt</w:t>
      </w:r>
      <w:proofErr w:type="spellEnd"/>
      <w:r w:rsidRPr="00CB1C44">
        <w:rPr>
          <w:rFonts w:ascii="Arial" w:hAnsi="Arial" w:cs="Arial"/>
          <w:sz w:val="20"/>
          <w:szCs w:val="20"/>
          <w:lang w:val="en-US"/>
        </w:rPr>
        <w:t xml:space="preserve"> w</w:t>
      </w:r>
      <w:r w:rsidR="00337771" w:rsidRPr="00CB1C44">
        <w:rPr>
          <w:rFonts w:ascii="Arial" w:hAnsi="Arial" w:cs="Arial"/>
          <w:sz w:val="20"/>
          <w:szCs w:val="20"/>
          <w:lang w:val="en-US"/>
        </w:rPr>
        <w:t>as</w:t>
      </w:r>
      <w:r w:rsidRPr="00CB1C44">
        <w:rPr>
          <w:rFonts w:ascii="Arial" w:hAnsi="Arial" w:cs="Arial"/>
          <w:sz w:val="20"/>
          <w:szCs w:val="20"/>
          <w:lang w:val="en-US"/>
        </w:rPr>
        <w:t xml:space="preserve"> shown to be diminished in PD models, and the inducer agents referred were tested in different PD models, producing positive effects, most of them through augmented Nrf2 activity. Conversely, p38 MAPK, GSK-3</w:t>
      </w:r>
      <w:r w:rsidRPr="00CB1C44">
        <w:rPr>
          <w:rFonts w:ascii="Arial" w:hAnsi="Arial" w:cs="Arial"/>
          <w:sz w:val="20"/>
          <w:szCs w:val="20"/>
          <w:lang w:val="en-US"/>
        </w:rPr>
        <w:sym w:font="Symbol" w:char="F062"/>
      </w:r>
      <w:r w:rsidRPr="00CB1C44">
        <w:rPr>
          <w:rFonts w:ascii="Arial" w:hAnsi="Arial" w:cs="Arial"/>
          <w:sz w:val="20"/>
          <w:szCs w:val="20"/>
          <w:lang w:val="en-US"/>
        </w:rPr>
        <w:t xml:space="preserve"> and NF-kB p65 are increased in several PD models. The use of respectively inhibitors were tested in different PD models, which </w:t>
      </w:r>
      <w:r w:rsidR="00337771" w:rsidRPr="00CB1C44">
        <w:rPr>
          <w:rFonts w:ascii="Arial" w:hAnsi="Arial" w:cs="Arial"/>
          <w:sz w:val="20"/>
          <w:szCs w:val="20"/>
          <w:lang w:val="en-US"/>
        </w:rPr>
        <w:t xml:space="preserve">were </w:t>
      </w:r>
      <w:r w:rsidRPr="00CB1C44">
        <w:rPr>
          <w:rFonts w:ascii="Arial" w:hAnsi="Arial" w:cs="Arial"/>
          <w:sz w:val="20"/>
          <w:szCs w:val="20"/>
          <w:lang w:val="en-US"/>
        </w:rPr>
        <w:t xml:space="preserve">shown to be protective, some of them via augmented Nrf2 function. </w:t>
      </w:r>
    </w:p>
    <w:p w14:paraId="78B90BF2" w14:textId="77777777" w:rsidR="00407B16" w:rsidRPr="00CB1C44" w:rsidRDefault="00407B16" w:rsidP="004038B5">
      <w:pPr>
        <w:spacing w:after="0" w:line="360" w:lineRule="auto"/>
        <w:jc w:val="both"/>
        <w:rPr>
          <w:rFonts w:ascii="Arial" w:hAnsi="Arial" w:cs="Arial"/>
          <w:lang w:val="en-US"/>
        </w:rPr>
      </w:pPr>
    </w:p>
    <w:p w14:paraId="7FD08A39" w14:textId="16EA65CA" w:rsidR="00370993" w:rsidRPr="00CB1C44" w:rsidRDefault="00370993" w:rsidP="004038B5">
      <w:pPr>
        <w:spacing w:after="0" w:line="360" w:lineRule="auto"/>
        <w:jc w:val="both"/>
        <w:rPr>
          <w:rFonts w:ascii="Arial" w:hAnsi="Arial" w:cs="Arial"/>
          <w:lang w:val="en-US"/>
        </w:rPr>
      </w:pPr>
    </w:p>
    <w:p w14:paraId="394FA3CA" w14:textId="77777777" w:rsidR="00F000DA" w:rsidRPr="00CB1C44" w:rsidRDefault="00F000DA" w:rsidP="004038B5">
      <w:pPr>
        <w:spacing w:after="0" w:line="360" w:lineRule="auto"/>
        <w:jc w:val="both"/>
        <w:rPr>
          <w:rFonts w:ascii="Arial" w:hAnsi="Arial" w:cs="Arial"/>
          <w:lang w:val="en-US"/>
        </w:rPr>
      </w:pPr>
    </w:p>
    <w:p w14:paraId="48A4D577" w14:textId="77777777" w:rsidR="00F000DA" w:rsidRPr="00CB1C44" w:rsidRDefault="00F000DA">
      <w:pPr>
        <w:rPr>
          <w:rFonts w:ascii="Arial" w:hAnsi="Arial" w:cs="Arial"/>
          <w:b/>
          <w:lang w:val="en-US"/>
        </w:rPr>
      </w:pPr>
      <w:r w:rsidRPr="00CB1C44">
        <w:rPr>
          <w:rFonts w:ascii="Arial" w:hAnsi="Arial" w:cs="Arial"/>
          <w:b/>
          <w:lang w:val="en-US"/>
        </w:rPr>
        <w:br w:type="page"/>
      </w:r>
    </w:p>
    <w:p w14:paraId="132781AD" w14:textId="3F4B5912" w:rsidR="00ED1145" w:rsidRPr="00CB1C44" w:rsidRDefault="0040451A" w:rsidP="004038B5">
      <w:pPr>
        <w:spacing w:after="0" w:line="360" w:lineRule="auto"/>
        <w:jc w:val="both"/>
        <w:outlineLvl w:val="0"/>
        <w:rPr>
          <w:rFonts w:ascii="Arial" w:hAnsi="Arial" w:cs="Arial"/>
          <w:b/>
          <w:lang w:val="en-US"/>
        </w:rPr>
      </w:pPr>
      <w:r w:rsidRPr="00CB1C44">
        <w:rPr>
          <w:rFonts w:ascii="Arial" w:hAnsi="Arial" w:cs="Arial"/>
          <w:b/>
          <w:lang w:val="en-US"/>
        </w:rPr>
        <w:lastRenderedPageBreak/>
        <w:t>4</w:t>
      </w:r>
      <w:r w:rsidR="004D2D35" w:rsidRPr="00CB1C44">
        <w:rPr>
          <w:rFonts w:ascii="Arial" w:hAnsi="Arial" w:cs="Arial"/>
          <w:b/>
          <w:lang w:val="en-US"/>
        </w:rPr>
        <w:t>.</w:t>
      </w:r>
      <w:r w:rsidR="00ED1145" w:rsidRPr="00CB1C44">
        <w:rPr>
          <w:rFonts w:ascii="Arial" w:hAnsi="Arial" w:cs="Arial"/>
          <w:b/>
          <w:lang w:val="en-US"/>
        </w:rPr>
        <w:t xml:space="preserve"> </w:t>
      </w:r>
      <w:r w:rsidR="004D2D35" w:rsidRPr="00CB1C44">
        <w:rPr>
          <w:rFonts w:ascii="Arial" w:hAnsi="Arial" w:cs="Arial"/>
          <w:b/>
          <w:lang w:val="en-US"/>
        </w:rPr>
        <w:t xml:space="preserve">CONCLUSION </w:t>
      </w:r>
    </w:p>
    <w:p w14:paraId="3CD712D9" w14:textId="01E20E61" w:rsidR="007C448E" w:rsidRPr="00CB1C44" w:rsidRDefault="00966BD9" w:rsidP="004038B5">
      <w:pPr>
        <w:spacing w:after="0" w:line="360" w:lineRule="auto"/>
        <w:jc w:val="both"/>
        <w:rPr>
          <w:rFonts w:ascii="Arial" w:hAnsi="Arial" w:cs="Arial"/>
          <w:lang w:val="en-US"/>
        </w:rPr>
      </w:pPr>
      <w:r w:rsidRPr="00CB1C44">
        <w:rPr>
          <w:rFonts w:ascii="Arial" w:hAnsi="Arial" w:cs="Arial"/>
          <w:lang w:val="en-US"/>
        </w:rPr>
        <w:t>Oxidative stress</w:t>
      </w:r>
      <w:r w:rsidR="002E57A1" w:rsidRPr="00CB1C44">
        <w:rPr>
          <w:rFonts w:ascii="Arial" w:hAnsi="Arial" w:cs="Arial"/>
          <w:lang w:val="en-US"/>
        </w:rPr>
        <w:t xml:space="preserve">, </w:t>
      </w:r>
      <w:r w:rsidR="00711A57" w:rsidRPr="00CB1C44">
        <w:rPr>
          <w:rFonts w:ascii="Arial" w:hAnsi="Arial" w:cs="Arial"/>
          <w:lang w:val="en-US"/>
        </w:rPr>
        <w:t>misfolded proteins</w:t>
      </w:r>
      <w:r w:rsidR="007B7534" w:rsidRPr="00CB1C44">
        <w:rPr>
          <w:rFonts w:ascii="Arial" w:hAnsi="Arial" w:cs="Arial"/>
          <w:lang w:val="en-US"/>
        </w:rPr>
        <w:t>, inflammation</w:t>
      </w:r>
      <w:r w:rsidR="00711A57" w:rsidRPr="00CB1C44">
        <w:rPr>
          <w:rFonts w:ascii="Arial" w:hAnsi="Arial" w:cs="Arial"/>
          <w:lang w:val="en-US"/>
        </w:rPr>
        <w:t xml:space="preserve"> </w:t>
      </w:r>
      <w:r w:rsidR="002E57A1" w:rsidRPr="00CB1C44">
        <w:rPr>
          <w:rFonts w:ascii="Arial" w:hAnsi="Arial" w:cs="Arial"/>
          <w:lang w:val="en-US"/>
        </w:rPr>
        <w:t xml:space="preserve">and consequent </w:t>
      </w:r>
      <w:r w:rsidR="00F117E9" w:rsidRPr="00CB1C44">
        <w:rPr>
          <w:rFonts w:ascii="Arial" w:hAnsi="Arial" w:cs="Arial"/>
          <w:lang w:val="en-US"/>
        </w:rPr>
        <w:t xml:space="preserve">neuronal death are common features of </w:t>
      </w:r>
      <w:r w:rsidR="00C27117" w:rsidRPr="00CB1C44">
        <w:rPr>
          <w:rFonts w:ascii="Arial" w:hAnsi="Arial" w:cs="Arial"/>
          <w:lang w:val="en-US"/>
        </w:rPr>
        <w:t>AD and PD</w:t>
      </w:r>
      <w:r w:rsidR="00F117E9" w:rsidRPr="00CB1C44">
        <w:rPr>
          <w:rFonts w:ascii="Arial" w:hAnsi="Arial" w:cs="Arial"/>
          <w:lang w:val="en-US"/>
        </w:rPr>
        <w:t xml:space="preserve">. </w:t>
      </w:r>
      <w:r w:rsidR="00492365" w:rsidRPr="00CB1C44">
        <w:rPr>
          <w:rFonts w:ascii="Arial" w:hAnsi="Arial" w:cs="Arial"/>
          <w:lang w:val="en-US"/>
        </w:rPr>
        <w:t xml:space="preserve">The </w:t>
      </w:r>
      <w:r w:rsidR="00E236A2" w:rsidRPr="00CB1C44">
        <w:rPr>
          <w:rFonts w:ascii="Arial" w:hAnsi="Arial" w:cs="Arial"/>
          <w:lang w:val="en-US"/>
        </w:rPr>
        <w:t>Nrf2 pathway, a</w:t>
      </w:r>
      <w:r w:rsidR="0076675F" w:rsidRPr="00CB1C44">
        <w:rPr>
          <w:rFonts w:ascii="Arial" w:hAnsi="Arial" w:cs="Arial"/>
          <w:lang w:val="en-US"/>
        </w:rPr>
        <w:t>n intrinsic defense mechanism to combat oxidative stress</w:t>
      </w:r>
      <w:r w:rsidR="007B7534" w:rsidRPr="00CB1C44">
        <w:rPr>
          <w:rFonts w:ascii="Arial" w:hAnsi="Arial" w:cs="Arial"/>
          <w:lang w:val="en-US"/>
        </w:rPr>
        <w:t xml:space="preserve"> and neuroinflammation</w:t>
      </w:r>
      <w:r w:rsidR="0076675F" w:rsidRPr="00CB1C44">
        <w:rPr>
          <w:rFonts w:ascii="Arial" w:hAnsi="Arial" w:cs="Arial"/>
          <w:lang w:val="en-US"/>
        </w:rPr>
        <w:t xml:space="preserve">, </w:t>
      </w:r>
      <w:r w:rsidR="004D58D7" w:rsidRPr="00CB1C44">
        <w:rPr>
          <w:rFonts w:ascii="Arial" w:hAnsi="Arial" w:cs="Arial"/>
          <w:lang w:val="en-US"/>
        </w:rPr>
        <w:t>may be</w:t>
      </w:r>
      <w:r w:rsidR="00E236A2" w:rsidRPr="00CB1C44">
        <w:rPr>
          <w:rFonts w:ascii="Arial" w:hAnsi="Arial" w:cs="Arial"/>
          <w:lang w:val="en-US"/>
        </w:rPr>
        <w:t xml:space="preserve"> activated under </w:t>
      </w:r>
      <w:r w:rsidR="00A0337A" w:rsidRPr="00CB1C44">
        <w:rPr>
          <w:rFonts w:ascii="Arial" w:hAnsi="Arial" w:cs="Arial"/>
          <w:lang w:val="en-US"/>
        </w:rPr>
        <w:t xml:space="preserve">mild oxidant conditions </w:t>
      </w:r>
      <w:r w:rsidR="00E236A2" w:rsidRPr="00CB1C44">
        <w:rPr>
          <w:rFonts w:ascii="Arial" w:hAnsi="Arial" w:cs="Arial"/>
          <w:lang w:val="en-US"/>
        </w:rPr>
        <w:t xml:space="preserve">and leads to the expression of </w:t>
      </w:r>
      <w:r w:rsidR="00733D84" w:rsidRPr="00CB1C44">
        <w:rPr>
          <w:rFonts w:ascii="Arial" w:hAnsi="Arial" w:cs="Arial"/>
          <w:lang w:val="en-US"/>
        </w:rPr>
        <w:t>innumerous cytoprotective and detoxif</w:t>
      </w:r>
      <w:r w:rsidR="00D804CD" w:rsidRPr="00CB1C44">
        <w:rPr>
          <w:rFonts w:ascii="Arial" w:hAnsi="Arial" w:cs="Arial"/>
          <w:lang w:val="en-US"/>
        </w:rPr>
        <w:t>ying</w:t>
      </w:r>
      <w:r w:rsidR="00733D84" w:rsidRPr="00CB1C44">
        <w:rPr>
          <w:rFonts w:ascii="Arial" w:hAnsi="Arial" w:cs="Arial"/>
          <w:lang w:val="en-US"/>
        </w:rPr>
        <w:t xml:space="preserve"> genes. </w:t>
      </w:r>
      <w:r w:rsidR="002A7F2C" w:rsidRPr="00CB1C44">
        <w:rPr>
          <w:rFonts w:ascii="Arial" w:hAnsi="Arial" w:cs="Arial"/>
          <w:lang w:val="en-US"/>
        </w:rPr>
        <w:t xml:space="preserve">Thus, changes </w:t>
      </w:r>
      <w:r w:rsidR="00163C3F" w:rsidRPr="00CB1C44">
        <w:rPr>
          <w:rFonts w:ascii="Arial" w:hAnsi="Arial" w:cs="Arial"/>
          <w:lang w:val="en-US"/>
        </w:rPr>
        <w:t>in</w:t>
      </w:r>
      <w:r w:rsidR="002A7F2C" w:rsidRPr="00CB1C44">
        <w:rPr>
          <w:rFonts w:ascii="Arial" w:hAnsi="Arial" w:cs="Arial"/>
          <w:lang w:val="en-US"/>
        </w:rPr>
        <w:t xml:space="preserve"> Nrf2 pathway </w:t>
      </w:r>
      <w:r w:rsidR="00A0337A" w:rsidRPr="00CB1C44">
        <w:rPr>
          <w:rFonts w:ascii="Arial" w:hAnsi="Arial" w:cs="Arial"/>
          <w:lang w:val="en-US"/>
        </w:rPr>
        <w:t>are expected to have a major impact in</w:t>
      </w:r>
      <w:r w:rsidR="002A7F2C" w:rsidRPr="00CB1C44">
        <w:rPr>
          <w:rFonts w:ascii="Arial" w:hAnsi="Arial" w:cs="Arial"/>
          <w:lang w:val="en-US"/>
        </w:rPr>
        <w:t xml:space="preserve"> early stages of </w:t>
      </w:r>
      <w:r w:rsidR="00D74C60" w:rsidRPr="00CB1C44">
        <w:rPr>
          <w:rFonts w:ascii="Arial" w:hAnsi="Arial" w:cs="Arial"/>
          <w:lang w:val="en-US"/>
        </w:rPr>
        <w:t>NDD</w:t>
      </w:r>
      <w:r w:rsidR="002A7F2C" w:rsidRPr="00CB1C44">
        <w:rPr>
          <w:rFonts w:ascii="Arial" w:hAnsi="Arial" w:cs="Arial"/>
          <w:lang w:val="en-US"/>
        </w:rPr>
        <w:t xml:space="preserve">. </w:t>
      </w:r>
    </w:p>
    <w:p w14:paraId="7AB70E37" w14:textId="25B0F9E9" w:rsidR="007B7534" w:rsidRPr="00CB1C44" w:rsidRDefault="00303F44" w:rsidP="004038B5">
      <w:pPr>
        <w:spacing w:after="0" w:line="360" w:lineRule="auto"/>
        <w:jc w:val="both"/>
        <w:rPr>
          <w:rFonts w:ascii="Arial" w:hAnsi="Arial" w:cs="Arial"/>
          <w:lang w:val="en-US"/>
        </w:rPr>
      </w:pPr>
      <w:r w:rsidRPr="00CB1C44">
        <w:rPr>
          <w:rFonts w:ascii="Arial" w:hAnsi="Arial" w:cs="Arial"/>
          <w:lang w:val="en-US"/>
        </w:rPr>
        <w:t xml:space="preserve">Nrf2 activation is </w:t>
      </w:r>
      <w:r w:rsidR="007B7534" w:rsidRPr="00CB1C44">
        <w:rPr>
          <w:rFonts w:ascii="Arial" w:hAnsi="Arial" w:cs="Arial"/>
          <w:lang w:val="en-US"/>
        </w:rPr>
        <w:t>compromised</w:t>
      </w:r>
      <w:r w:rsidRPr="00CB1C44">
        <w:rPr>
          <w:rFonts w:ascii="Arial" w:hAnsi="Arial" w:cs="Arial"/>
          <w:lang w:val="en-US"/>
        </w:rPr>
        <w:t xml:space="preserve"> in neurodegeneration and the reason for this</w:t>
      </w:r>
      <w:r w:rsidR="001718EE" w:rsidRPr="00CB1C44">
        <w:rPr>
          <w:rFonts w:ascii="Arial" w:hAnsi="Arial" w:cs="Arial"/>
          <w:lang w:val="en-US"/>
        </w:rPr>
        <w:t xml:space="preserve"> deregulation is</w:t>
      </w:r>
      <w:r w:rsidR="00AF58C4" w:rsidRPr="00CB1C44">
        <w:rPr>
          <w:rFonts w:ascii="Arial" w:hAnsi="Arial" w:cs="Arial"/>
          <w:lang w:val="en-US"/>
        </w:rPr>
        <w:t xml:space="preserve"> still</w:t>
      </w:r>
      <w:r w:rsidR="001718EE" w:rsidRPr="00CB1C44">
        <w:rPr>
          <w:rFonts w:ascii="Arial" w:hAnsi="Arial" w:cs="Arial"/>
          <w:lang w:val="en-US"/>
        </w:rPr>
        <w:t xml:space="preserve"> unclear, however </w:t>
      </w:r>
      <w:r w:rsidR="00B975CB" w:rsidRPr="00CB1C44">
        <w:rPr>
          <w:rFonts w:ascii="Arial" w:hAnsi="Arial" w:cs="Arial"/>
          <w:lang w:val="en-US"/>
        </w:rPr>
        <w:t>several</w:t>
      </w:r>
      <w:r w:rsidR="001718EE" w:rsidRPr="00CB1C44">
        <w:rPr>
          <w:rFonts w:ascii="Arial" w:hAnsi="Arial" w:cs="Arial"/>
          <w:lang w:val="en-US"/>
        </w:rPr>
        <w:t xml:space="preserve"> evidences suggest that endogenous Nrf2 signaling is impaired, possibly due to altered Nrf2-regulator pathways. </w:t>
      </w:r>
      <w:r w:rsidR="003D304C" w:rsidRPr="00CB1C44">
        <w:rPr>
          <w:rFonts w:ascii="Arial" w:hAnsi="Arial" w:cs="Arial"/>
          <w:lang w:val="en-US"/>
        </w:rPr>
        <w:t xml:space="preserve">In this review, we summarize some important </w:t>
      </w:r>
      <w:r w:rsidR="0069552A" w:rsidRPr="00CB1C44">
        <w:rPr>
          <w:rFonts w:ascii="Arial" w:hAnsi="Arial" w:cs="Arial"/>
          <w:lang w:val="en-US"/>
        </w:rPr>
        <w:t xml:space="preserve">modulators of </w:t>
      </w:r>
      <w:r w:rsidR="003D304C" w:rsidRPr="00CB1C44">
        <w:rPr>
          <w:rFonts w:ascii="Arial" w:hAnsi="Arial" w:cs="Arial"/>
          <w:lang w:val="en-US"/>
        </w:rPr>
        <w:t>Nrf2</w:t>
      </w:r>
      <w:r w:rsidR="00B403C1" w:rsidRPr="00CB1C44">
        <w:rPr>
          <w:rFonts w:ascii="Arial" w:hAnsi="Arial" w:cs="Arial"/>
          <w:lang w:val="en-US"/>
        </w:rPr>
        <w:t xml:space="preserve"> pathways, described to be altered in NDD</w:t>
      </w:r>
      <w:r w:rsidR="00D42210" w:rsidRPr="00CB1C44">
        <w:rPr>
          <w:rFonts w:ascii="Arial" w:hAnsi="Arial" w:cs="Arial"/>
          <w:lang w:val="en-US"/>
        </w:rPr>
        <w:t>, focusing on AD and PD</w:t>
      </w:r>
      <w:r w:rsidR="0063126A" w:rsidRPr="00CB1C44">
        <w:rPr>
          <w:rFonts w:ascii="Arial" w:hAnsi="Arial" w:cs="Arial"/>
          <w:lang w:val="en-US"/>
        </w:rPr>
        <w:t xml:space="preserve">. </w:t>
      </w:r>
      <w:r w:rsidR="0069552A" w:rsidRPr="00CB1C44">
        <w:rPr>
          <w:rFonts w:ascii="Arial" w:hAnsi="Arial" w:cs="Arial"/>
          <w:lang w:val="en-US"/>
        </w:rPr>
        <w:t>Results herewith reported show a</w:t>
      </w:r>
      <w:r w:rsidR="00B403C1" w:rsidRPr="00CB1C44">
        <w:rPr>
          <w:rFonts w:ascii="Arial" w:hAnsi="Arial" w:cs="Arial"/>
          <w:lang w:val="en-US"/>
        </w:rPr>
        <w:t xml:space="preserve"> </w:t>
      </w:r>
      <w:r w:rsidR="00ED446E" w:rsidRPr="00CB1C44">
        <w:rPr>
          <w:rFonts w:ascii="Arial" w:hAnsi="Arial" w:cs="Arial"/>
          <w:lang w:val="en-US"/>
        </w:rPr>
        <w:t xml:space="preserve">positive regulation of </w:t>
      </w:r>
      <w:r w:rsidR="00B403C1" w:rsidRPr="00CB1C44">
        <w:rPr>
          <w:rFonts w:ascii="Arial" w:hAnsi="Arial" w:cs="Arial"/>
          <w:lang w:val="en-US"/>
        </w:rPr>
        <w:t>Nrf2 activity</w:t>
      </w:r>
      <w:r w:rsidR="0069552A" w:rsidRPr="00CB1C44">
        <w:rPr>
          <w:rFonts w:ascii="Arial" w:hAnsi="Arial" w:cs="Arial"/>
          <w:lang w:val="en-US"/>
        </w:rPr>
        <w:t xml:space="preserve"> involving</w:t>
      </w:r>
      <w:r w:rsidR="00B403C1" w:rsidRPr="00CB1C44">
        <w:rPr>
          <w:rFonts w:ascii="Arial" w:hAnsi="Arial" w:cs="Arial"/>
          <w:lang w:val="en-US"/>
        </w:rPr>
        <w:t xml:space="preserve"> the PI3K/</w:t>
      </w:r>
      <w:proofErr w:type="spellStart"/>
      <w:r w:rsidR="0026569F" w:rsidRPr="00CB1C44">
        <w:rPr>
          <w:rFonts w:ascii="Arial" w:hAnsi="Arial" w:cs="Arial"/>
          <w:lang w:val="en-US"/>
        </w:rPr>
        <w:t>Akt</w:t>
      </w:r>
      <w:proofErr w:type="spellEnd"/>
      <w:r w:rsidR="00B403C1" w:rsidRPr="00CB1C44">
        <w:rPr>
          <w:rFonts w:ascii="Arial" w:hAnsi="Arial" w:cs="Arial"/>
          <w:lang w:val="en-US"/>
        </w:rPr>
        <w:t>/GSK-3β pathway</w:t>
      </w:r>
      <w:r w:rsidR="0069552A" w:rsidRPr="00CB1C44">
        <w:rPr>
          <w:rFonts w:ascii="Arial" w:hAnsi="Arial" w:cs="Arial"/>
          <w:lang w:val="en-US"/>
        </w:rPr>
        <w:t>, which</w:t>
      </w:r>
      <w:r w:rsidR="00B403C1" w:rsidRPr="00CB1C44">
        <w:rPr>
          <w:rFonts w:ascii="Arial" w:hAnsi="Arial" w:cs="Arial"/>
          <w:lang w:val="en-US"/>
        </w:rPr>
        <w:t xml:space="preserve"> appears </w:t>
      </w:r>
      <w:r w:rsidR="00B16E9F" w:rsidRPr="00CB1C44">
        <w:rPr>
          <w:rFonts w:ascii="Arial" w:hAnsi="Arial" w:cs="Arial"/>
          <w:lang w:val="en-US"/>
        </w:rPr>
        <w:t xml:space="preserve">to be </w:t>
      </w:r>
      <w:r w:rsidR="00B403C1" w:rsidRPr="00CB1C44">
        <w:rPr>
          <w:rFonts w:ascii="Arial" w:hAnsi="Arial" w:cs="Arial"/>
          <w:lang w:val="en-US"/>
        </w:rPr>
        <w:t xml:space="preserve">the most </w:t>
      </w:r>
      <w:r w:rsidR="0069552A" w:rsidRPr="00CB1C44">
        <w:rPr>
          <w:rFonts w:ascii="Arial" w:hAnsi="Arial" w:cs="Arial"/>
          <w:lang w:val="en-US"/>
        </w:rPr>
        <w:t xml:space="preserve">well </w:t>
      </w:r>
      <w:r w:rsidR="00B403C1" w:rsidRPr="00CB1C44">
        <w:rPr>
          <w:rFonts w:ascii="Arial" w:hAnsi="Arial" w:cs="Arial"/>
          <w:lang w:val="en-US"/>
        </w:rPr>
        <w:t>studied for AD and PD treatment</w:t>
      </w:r>
      <w:r w:rsidR="0069552A" w:rsidRPr="00CB1C44">
        <w:rPr>
          <w:rFonts w:ascii="Arial" w:hAnsi="Arial" w:cs="Arial"/>
          <w:lang w:val="en-US"/>
        </w:rPr>
        <w:t>s</w:t>
      </w:r>
      <w:r w:rsidR="00B403C1" w:rsidRPr="00CB1C44">
        <w:rPr>
          <w:rFonts w:ascii="Arial" w:hAnsi="Arial" w:cs="Arial"/>
          <w:lang w:val="en-US"/>
        </w:rPr>
        <w:t xml:space="preserve">. </w:t>
      </w:r>
      <w:r w:rsidR="0069552A" w:rsidRPr="00CB1C44">
        <w:rPr>
          <w:rFonts w:ascii="Arial" w:hAnsi="Arial" w:cs="Arial"/>
          <w:lang w:val="en-US"/>
        </w:rPr>
        <w:t>Additionally</w:t>
      </w:r>
      <w:r w:rsidR="00B403C1" w:rsidRPr="00CB1C44">
        <w:rPr>
          <w:rFonts w:ascii="Arial" w:hAnsi="Arial" w:cs="Arial"/>
          <w:lang w:val="en-US"/>
        </w:rPr>
        <w:t xml:space="preserve">, inhibition of NF-kB pathway should be further considered as </w:t>
      </w:r>
      <w:r w:rsidR="00677776" w:rsidRPr="00CB1C44">
        <w:rPr>
          <w:rFonts w:ascii="Arial" w:hAnsi="Arial" w:cs="Arial"/>
          <w:lang w:val="en-US"/>
        </w:rPr>
        <w:t xml:space="preserve">a </w:t>
      </w:r>
      <w:r w:rsidR="00B16E9F" w:rsidRPr="00CB1C44">
        <w:rPr>
          <w:rFonts w:ascii="Arial" w:hAnsi="Arial" w:cs="Arial"/>
          <w:lang w:val="en-US"/>
        </w:rPr>
        <w:t xml:space="preserve">potential </w:t>
      </w:r>
      <w:r w:rsidR="00677776" w:rsidRPr="00CB1C44">
        <w:rPr>
          <w:rFonts w:ascii="Arial" w:hAnsi="Arial" w:cs="Arial"/>
          <w:lang w:val="en-US"/>
        </w:rPr>
        <w:t xml:space="preserve">target for the treatment of </w:t>
      </w:r>
      <w:r w:rsidR="007B7534" w:rsidRPr="00CB1C44">
        <w:rPr>
          <w:rFonts w:ascii="Arial" w:hAnsi="Arial" w:cs="Arial"/>
          <w:lang w:val="en-US"/>
        </w:rPr>
        <w:t>AD and PD</w:t>
      </w:r>
      <w:r w:rsidR="00B16E9F" w:rsidRPr="00CB1C44">
        <w:rPr>
          <w:rFonts w:ascii="Arial" w:hAnsi="Arial" w:cs="Arial"/>
          <w:lang w:val="en-US"/>
        </w:rPr>
        <w:t xml:space="preserve">. </w:t>
      </w:r>
      <w:r w:rsidR="00B975CB" w:rsidRPr="00CB1C44">
        <w:rPr>
          <w:rFonts w:ascii="Arial" w:hAnsi="Arial" w:cs="Arial"/>
          <w:lang w:val="en-US"/>
        </w:rPr>
        <w:t>D</w:t>
      </w:r>
      <w:r w:rsidR="00A435DB" w:rsidRPr="00CB1C44">
        <w:rPr>
          <w:rFonts w:ascii="Arial" w:hAnsi="Arial" w:cs="Arial"/>
          <w:lang w:val="en-US"/>
        </w:rPr>
        <w:t xml:space="preserve">ata </w:t>
      </w:r>
      <w:r w:rsidR="00B16E9F" w:rsidRPr="00CB1C44">
        <w:rPr>
          <w:rFonts w:ascii="Arial" w:hAnsi="Arial" w:cs="Arial"/>
          <w:lang w:val="en-US"/>
        </w:rPr>
        <w:t xml:space="preserve">strongly </w:t>
      </w:r>
      <w:r w:rsidR="00A435DB" w:rsidRPr="00CB1C44">
        <w:rPr>
          <w:rFonts w:ascii="Arial" w:hAnsi="Arial" w:cs="Arial"/>
          <w:lang w:val="en-US"/>
        </w:rPr>
        <w:t xml:space="preserve">suggest that </w:t>
      </w:r>
      <w:r w:rsidR="00B975CB" w:rsidRPr="00CB1C44">
        <w:rPr>
          <w:rFonts w:ascii="Arial" w:hAnsi="Arial" w:cs="Arial"/>
          <w:lang w:val="en-US"/>
        </w:rPr>
        <w:t>compounds</w:t>
      </w:r>
      <w:r w:rsidR="00830D0C" w:rsidRPr="00CB1C44">
        <w:rPr>
          <w:rFonts w:ascii="Arial" w:hAnsi="Arial" w:cs="Arial"/>
          <w:lang w:val="en-US"/>
        </w:rPr>
        <w:t xml:space="preserve"> capable of</w:t>
      </w:r>
      <w:r w:rsidR="007B7534" w:rsidRPr="00CB1C44">
        <w:rPr>
          <w:rFonts w:ascii="Arial" w:hAnsi="Arial" w:cs="Arial"/>
          <w:lang w:val="en-US"/>
        </w:rPr>
        <w:t xml:space="preserve"> activating Nrf2</w:t>
      </w:r>
      <w:r w:rsidR="00B975CB" w:rsidRPr="00CB1C44">
        <w:rPr>
          <w:rFonts w:ascii="Arial" w:hAnsi="Arial" w:cs="Arial"/>
          <w:lang w:val="en-US"/>
        </w:rPr>
        <w:t>, some shown to enhance the expression of Nrf2-related genes</w:t>
      </w:r>
      <w:r w:rsidR="00D42210" w:rsidRPr="00CB1C44">
        <w:rPr>
          <w:rFonts w:ascii="Arial" w:hAnsi="Arial" w:cs="Arial"/>
          <w:lang w:val="en-US"/>
        </w:rPr>
        <w:t>,</w:t>
      </w:r>
      <w:r w:rsidR="007B7534" w:rsidRPr="00CB1C44">
        <w:rPr>
          <w:rFonts w:ascii="Arial" w:hAnsi="Arial" w:cs="Arial"/>
          <w:lang w:val="en-US"/>
        </w:rPr>
        <w:t xml:space="preserve"> are</w:t>
      </w:r>
      <w:r w:rsidR="00830D0C" w:rsidRPr="00CB1C44">
        <w:rPr>
          <w:rFonts w:ascii="Arial" w:hAnsi="Arial" w:cs="Arial"/>
          <w:lang w:val="en-US"/>
        </w:rPr>
        <w:t xml:space="preserve"> protective in </w:t>
      </w:r>
      <w:r w:rsidR="00B975CB" w:rsidRPr="00CB1C44">
        <w:rPr>
          <w:rFonts w:ascii="Arial" w:hAnsi="Arial" w:cs="Arial"/>
          <w:lang w:val="en-US"/>
        </w:rPr>
        <w:t>experimental</w:t>
      </w:r>
      <w:r w:rsidR="00830D0C" w:rsidRPr="00CB1C44">
        <w:rPr>
          <w:rFonts w:ascii="Arial" w:hAnsi="Arial" w:cs="Arial"/>
          <w:lang w:val="en-US"/>
        </w:rPr>
        <w:t xml:space="preserve"> model</w:t>
      </w:r>
      <w:r w:rsidR="00B975CB" w:rsidRPr="00CB1C44">
        <w:rPr>
          <w:rFonts w:ascii="Arial" w:hAnsi="Arial" w:cs="Arial"/>
          <w:lang w:val="en-US"/>
        </w:rPr>
        <w:t>s</w:t>
      </w:r>
      <w:r w:rsidR="00830D0C" w:rsidRPr="00CB1C44">
        <w:rPr>
          <w:rFonts w:ascii="Arial" w:hAnsi="Arial" w:cs="Arial"/>
          <w:lang w:val="en-US"/>
        </w:rPr>
        <w:t xml:space="preserve"> of </w:t>
      </w:r>
      <w:r w:rsidR="00B975CB" w:rsidRPr="00CB1C44">
        <w:rPr>
          <w:rFonts w:ascii="Arial" w:hAnsi="Arial" w:cs="Arial"/>
          <w:lang w:val="en-US"/>
        </w:rPr>
        <w:t>AD and PD.</w:t>
      </w:r>
    </w:p>
    <w:p w14:paraId="7CBF6554" w14:textId="3B0B77B6" w:rsidR="00F7760A" w:rsidRPr="00CB1C44" w:rsidRDefault="00F268B2" w:rsidP="004038B5">
      <w:pPr>
        <w:spacing w:after="0" w:line="360" w:lineRule="auto"/>
        <w:jc w:val="both"/>
        <w:rPr>
          <w:rFonts w:ascii="Arial" w:hAnsi="Arial" w:cs="Arial"/>
          <w:lang w:val="en-US"/>
        </w:rPr>
      </w:pPr>
      <w:r w:rsidRPr="00CB1C44">
        <w:rPr>
          <w:rFonts w:ascii="Arial" w:hAnsi="Arial" w:cs="Arial"/>
          <w:lang w:val="en-US"/>
        </w:rPr>
        <w:t xml:space="preserve">Some clinical trials </w:t>
      </w:r>
      <w:r w:rsidR="00044653" w:rsidRPr="00CB1C44">
        <w:rPr>
          <w:rFonts w:ascii="Arial" w:hAnsi="Arial" w:cs="Arial"/>
          <w:lang w:val="en-US"/>
        </w:rPr>
        <w:t xml:space="preserve">have been developed </w:t>
      </w:r>
      <w:r w:rsidRPr="00CB1C44">
        <w:rPr>
          <w:rFonts w:ascii="Arial" w:hAnsi="Arial" w:cs="Arial"/>
          <w:lang w:val="en-US"/>
        </w:rPr>
        <w:t xml:space="preserve">for </w:t>
      </w:r>
      <w:r w:rsidR="009C22AD" w:rsidRPr="00CB1C44">
        <w:rPr>
          <w:rFonts w:ascii="Arial" w:hAnsi="Arial" w:cs="Arial"/>
          <w:lang w:val="en-US"/>
        </w:rPr>
        <w:t>AD</w:t>
      </w:r>
      <w:r w:rsidRPr="00CB1C44">
        <w:rPr>
          <w:rFonts w:ascii="Arial" w:hAnsi="Arial" w:cs="Arial"/>
          <w:lang w:val="en-US"/>
        </w:rPr>
        <w:t xml:space="preserve"> </w:t>
      </w:r>
      <w:r w:rsidR="00044653" w:rsidRPr="00CB1C44">
        <w:rPr>
          <w:rFonts w:ascii="Arial" w:hAnsi="Arial" w:cs="Arial"/>
          <w:lang w:val="en-US"/>
        </w:rPr>
        <w:t xml:space="preserve">with Nrf2 inducing agents. </w:t>
      </w:r>
      <w:r w:rsidR="00A10533" w:rsidRPr="00CB1C44">
        <w:rPr>
          <w:rFonts w:ascii="Arial" w:hAnsi="Arial" w:cs="Arial"/>
          <w:lang w:val="en-US"/>
        </w:rPr>
        <w:t xml:space="preserve">Studies </w:t>
      </w:r>
      <w:r w:rsidR="00F7760A" w:rsidRPr="00CB1C44">
        <w:rPr>
          <w:rFonts w:ascii="Arial" w:hAnsi="Arial" w:cs="Arial"/>
          <w:lang w:val="en-US"/>
        </w:rPr>
        <w:t>in phase 2</w:t>
      </w:r>
      <w:r w:rsidR="00C27117" w:rsidRPr="00CB1C44">
        <w:rPr>
          <w:rFonts w:ascii="Arial" w:hAnsi="Arial" w:cs="Arial"/>
          <w:lang w:val="en-US"/>
        </w:rPr>
        <w:t>,</w:t>
      </w:r>
      <w:r w:rsidR="00F7760A" w:rsidRPr="00CB1C44">
        <w:rPr>
          <w:rFonts w:ascii="Arial" w:hAnsi="Arial" w:cs="Arial"/>
          <w:lang w:val="en-US"/>
        </w:rPr>
        <w:t xml:space="preserve"> </w:t>
      </w:r>
      <w:r w:rsidR="00A10533" w:rsidRPr="00CB1C44">
        <w:rPr>
          <w:rFonts w:ascii="Arial" w:hAnsi="Arial" w:cs="Arial"/>
          <w:lang w:val="en-US"/>
        </w:rPr>
        <w:t xml:space="preserve">with </w:t>
      </w:r>
      <w:r w:rsidR="00EB428E" w:rsidRPr="00CB1C44">
        <w:rPr>
          <w:rFonts w:ascii="Arial" w:hAnsi="Arial" w:cs="Arial"/>
          <w:lang w:val="en-US"/>
        </w:rPr>
        <w:t>resveratrol</w:t>
      </w:r>
      <w:r w:rsidR="005A2855" w:rsidRPr="00CB1C44">
        <w:rPr>
          <w:rFonts w:ascii="Arial" w:hAnsi="Arial" w:cs="Arial"/>
          <w:lang w:val="en-US"/>
        </w:rPr>
        <w:t xml:space="preserve"> </w:t>
      </w:r>
      <w:r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{"citationItems":[{"id":"ITEM-1","itemData":{"DOI":"10.1212/WNL.0000000000002035","ISBN":"1526-632X\\r0028-3878","ISSN":"1526632X","PMID":"26362286","abstract":"Objective: A randomized, placebo-controlled, double-blind, multicenter 52-week phase 2 trial of resveratrol in individuals with mild to moderate Alzheimer disease (AD) examined its safety and tolerability and effects on biomarker (plasma Aβ40 and Aβ42, CSF Aβ40, Aβ42, tau, and phospho-tau 181) and volumetric MRI outcomes (primary outcomes) and clinical outcomes (secondary outcomes). Methods: Participants (n 119) were randomized to placebo or resveratrol 500 mg orally once daily (with dose escalation by 500-mg increments every 13 weeks, ending with 1,000 mg twice daily). Brain MRI and CSF collection were performed at baseline and after completion of treatment. Detailed pharmacokinetics were performed on a subset (n 15) at baseline and weeks 13, 26, 39, and 52. Results: Resveratrol and its major metabolites were measurable in plasma and CSF. The most common adverse events were nausea, diarrhea, and weight loss. CSF Aβ40 and plasma Aβ40 levels declined more in the placebo group than the resveratrol-treated group, resulting in a significant difference at week 52. Brain volume loss was increased by resveratrol treatment compared to placebo. Conclusions: Resveratrol was safe and well-tolerated. Resveratrol and its major metabolites penetrated the blood-brain barrier to have CNS effects. Further studies are required to interpret the biomarker changes associated with resveratrol treatment. Classification of evidence: This study provides Class II evidence that for patients with AD resveratrol is safe, well-tolerated, and alters some AD biomarker trajectories. The study is rated Class II because more than 2 primary outcomes were designated.","author":[{"dropping-particle":"","family":"Turner","given":"R. Scott","non-dropping-particle":"","parse-names":false,"suffix":""},{"dropping-particle":"","family":"Thomas","given":"Ronald G.","non-dropping-particle":"","parse-names":false,"suffix":""},{"dropping-particle":"","family":"Craft","given":"Suzanne","non-dropping-particle":"","parse-names":false,"suffix":""},{"dropping-particle":"","family":"Dyck","given":"Christopher H.","non-dropping-particle":"Van","parse-names":false,"suffix":""},{"dropping-particle":"","family":"Mintzer","given":"Jacobo","non-dropping-particle":"","parse-names":false,"suffix":""},{"dropping-particle":"","family":"Reynolds","given":"Brigid A.","non-dropping-particle":"","parse-names":false,"suffix":""},{"dropping-particle":"","family":"Brewer","given":"James B.","non-dropping-particle":"","parse-names":false,"suffix":""},{"dropping-particle":"","family":"Rissman","given":"Robert A.","non-dropping-particle":"","parse-names":false,"suffix":""},{"dropping-particle":"","family":"Raman","given":"Rema","non-dropping-particle":"","parse-names":false,"suffix":""},{"dropping-particle":"","family":"Aisen","given":"Paul S.","non-dropping-particle":"","parse-names":false,"suffix":""}],"container-title":"Neurology","id":"ITEM-1","issued":{"date-parts":[["2015"]]},"title":"A randomized, double-blind, placebo-controlled trial of resveratrol for Alzheimer disease","type":"article-journal"},"uris":["http://www.mendeley.com/documents/?uuid=cbff8c54-944a-4fd9-a785-d662caf10863"]}],"mendeley":{"formattedCitation":"(Turner et al., 2015)","plainTextFormattedCitation":"(Turner et al., 2015)","previouslyFormattedCitation":"(Turner et al., 2015)"},"properties":{"noteIndex":0},"schema":"https://github.com/citation-style-language/schema/raw/master/csl-citation.json"}</w:instrText>
      </w:r>
      <w:r w:rsidRPr="00CB1C44">
        <w:rPr>
          <w:rFonts w:ascii="Arial" w:hAnsi="Arial" w:cs="Arial"/>
          <w:lang w:val="en-US"/>
        </w:rPr>
        <w:fldChar w:fldCharType="separate"/>
      </w:r>
      <w:r w:rsidR="00DD645C" w:rsidRPr="00CB1C44">
        <w:rPr>
          <w:rFonts w:ascii="Arial" w:hAnsi="Arial" w:cs="Arial"/>
          <w:noProof/>
          <w:lang w:val="en-US"/>
        </w:rPr>
        <w:t>(Turner et al., 2015)</w:t>
      </w:r>
      <w:r w:rsidRPr="00CB1C44">
        <w:rPr>
          <w:rFonts w:ascii="Arial" w:hAnsi="Arial" w:cs="Arial"/>
          <w:lang w:val="en-US"/>
        </w:rPr>
        <w:fldChar w:fldCharType="end"/>
      </w:r>
      <w:r w:rsidR="00EB428E" w:rsidRPr="00CB1C44">
        <w:rPr>
          <w:rFonts w:ascii="Arial" w:hAnsi="Arial" w:cs="Arial"/>
          <w:lang w:val="en-US"/>
        </w:rPr>
        <w:t xml:space="preserve"> and curcumin</w:t>
      </w:r>
      <w:r w:rsidR="00A10533" w:rsidRPr="00CB1C44">
        <w:rPr>
          <w:rFonts w:ascii="Arial" w:hAnsi="Arial" w:cs="Arial"/>
          <w:lang w:val="en-US"/>
        </w:rPr>
        <w:t xml:space="preserve"> </w:t>
      </w:r>
      <w:r w:rsidR="005A2855"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{"citationItems":[{"id":"ITEM-1","itemData":{"DOI":"10.1186/alzrt146","ISBN":"1758-9193 (Electronic)","ISSN":"17589193","PMID":"23107780","abstract":"INTRODUCTION: Curcumin is a polyphenolic compound derived from the plant Curcuma Long Lin that has been demonstrated to have antioxidant and anti-inflammatory effects as well as effects on reducing beta-amyloid aggregation. It reduces pathology in transgenic models of Alzheimer's disease (AD) and is a promising candidate for treating human AD. The purpose of the current study is to generate tolerability and preliminary clinical and biomarker efficacy data on curcumin in persons with AD. METHODS: We performed a 24-week randomized, double blind, placebo-controlled study of Curcumin C3 Complex(®) with an open-label extension to 48 weeks. Thirty-six persons with mild-to-moderate AD were randomized to receive placebo, 2 grams/day, or 4 grams/day of oral curcumin for 24 weeks. For weeks 24 through 48, subjects that were receiving curcumin continued with the same dose, while subjects previously receiving placebo were randomized in a 1:1 ratio to 2 grams/day or 4 grams/day. The primary outcome measures were incidence of adverse events, changes in clinical laboratory tests and the Alzheimer's Disease Assessment Scale - Cognitive Subscale (ADAS-Cog) at 24 weeks in those completing the study. Secondary outcome measures included the Neuropsychiatric Inventory (NPI), the Alzheimer's Disease Cooperative Study - Activities of Daily Living (ADCS-ADL) scale, levels of Aβ1-40 and Aβ1-42 in plasma and levels of Aβ1-42, t-tau, p-tau181 and F2-isoprostanes in cerebrospinal fluid. Plasma levels of curcumin and its metabolites up to four hours after drug administration were also measured. RESULTS: Mean age of completers (n = 30) was 73.5 years and mean Mini-Mental Status Examination (MMSE) score was 22.5. One subject withdrew in the placebo (8%, worsened memory) and 5/24 subjects withdrew in the curcumin group (21%, 3 due to gastrointestinal symptoms). Curcumin C3 Complex(®) was associated with lowered hematocrit and increased glucose levels that were clinically insignificant. There were no differences between treatment groups in clinical or biomarker efficacy measures. The levels of native curcumin measured in plasma were low (7.32 ng/mL). CONCLUSIONS: Curcumin was generally well-tolerated although three subjects on curcumin withdrew due to gastrointestinal symptoms. We were unable to demonstrate clinical or biochemical evidence of efficacy of Curcumin C3 Complex(®) in AD in this 24-week placebo-controlled trial although preliminary data suggest limited bioavailability of th…","author":[{"dropping-particle":"","family":"Ringman","given":"John M.","non-dropping-particle":"","parse-names":false,"suffix":""},{"dropping-particle":"","family":"Frautschy","given":"Sally A.","non-dropping-particle":"","parse-names":false,"suffix":""},{"dropping-particle":"","family":"Teng","given":"Edmond","non-dropping-particle":"","parse-names":false,"suffix":""},{"dropping-particle":"","family":"Begum","given":"Aynun N.","non-dropping-particle":"","parse-names":false,"suffix":""},{"dropping-particle":"","family":"Bardens","given":"Jenny","non-dropping-particle":"","parse-names":false,"suffix":""},{"dropping-particle":"","family":"Beigi","given":"Maryam","non-dropping-particle":"","parse-names":false,"suffix":""},{"dropping-particle":"","family":"Gylys","given":"Karen H.","non-dropping-particle":"","parse-names":false,"suffix":""},{"dropping-particle":"","family":"Badmaev","given":"Vladimir","non-dropping-particle":"","parse-names":false,"suffix":""},{"dropping-particle":"","family":"Heath","given":"Dennis D.","non-dropping-particle":"","parse-names":false,"suffix":""},{"dropping-particle":"","family":"Apostolova","given":"Liana G.","non-dropping-particle":"","parse-names":false,"suffix":""},{"dropping-particle":"","family":"Porter","given":"Verna","non-dropping-particle":"","parse-names":false,"suffix":""},{"dropping-particle":"","family":"Vanek","given":"Zeba","non-dropping-particle":"","parse-names":false,"suffix":""},{"dropping-particle":"","family":"Marshall","given":"Gad A.","non-dropping-particle":"","parse-names":false,"suffix":""},{"dropping-particle":"","family":"Hellemann","given":"Gerhard","non-dropping-particle":"","parse-names":false,"suffix":""},{"dropping-particle":"","family":"Sugar","given":"Catherine","non-dropping-particle":"","parse-names":false,"suffix":""},{"dropping-particle":"","family":"Masterman","given":"Donna L.","non-dropping-particle":"","parse-names":false,"suffix":""},{"dropping-particle":"","family":"Montine","given":"Thomas J.","non-dropping-particle":"","parse-names":false,"suffix":""},{"dropping-particle":"","family":"Cummings","given":"Jeffrey L.","non-dropping-particle":"","parse-names":false,"suffix":""},{"dropping-particle":"","family":"Cole","given":"Greg M.","non-dropping-particle":"","parse-names":false,"suffix":""}],"container-title":"Alzheimer's Research and Therapy","id":"ITEM-1","issued":{"date-parts":[["2012"]]},"title":"Oral curcumin for Alzheimer's disease: Tolerability and efficacy in a 24-week randomized, double blind, placebo-controlled study","type":"article-journal"},"uris":["http://www.mendeley.com/documents/?uuid=e9402487-72a7-4f4b-87e0-30b1cfb42d71"]},{"id":"ITEM-2","itemData":{"DOI":"10.1097/jcp.0b013e318160862c","ISBN":"0271-0749 (Print)\\r0271-0749 (Linking)","ISSN":"02710749","PMID":"18204364","abstract":"Presents a case of patient who had been diagnosed with schizophrenia at the age of 14 but did not receive any medical treatment at that point. However, our patient refused an operation, and medical treatment was mandatory. In this case, we tried to balance the dosage of both divertic treatment regimens very carefully. Even though dopamine agonist and antagonist therapy seem to have an antagonizing effect toward one another, serum prolactin levels dropped to a stable mean of 130 ng/mL. However, it is not possible to conclude that the incidence of prolactinomas is increased among patients with psychosis on long-term neuroleptic treatment. (PsycINFO Database Record (c) 2012 APA, all rights reserved)","author":[{"dropping-particle":"","family":"Baum","given":"Larry","non-dropping-particle":"","parse-names":false,"suffix":""},{"dropping-particle":"","family":"Lam","given":"Christopher Wai Kei","non-dropping-particle":"","parse-names":false,"suffix":""},{"dropping-particle":"","family":"Cheung","given":"Stanley Kwok Kuen","non-dropping-particle":"","parse-names":false,"suffix":""},{"dropping-particle":"","family":"Kwok","given":"Timothy","non-dropping-particle":"","parse-names":false,"suffix":""},{"dropping-particle":"","family":"Lui","given":"Victor","non-dropping-particle":"","parse-names":false,"suffix":""},{"dropping-particle":"","family":"Tsoh","given":"Joshua","non-dropping-particle":"","parse-names":false,"suffix":""},{"dropping-particle":"","family":"Lam","given":"Linda","non-dropping-particle":"","parse-names":false,"suffix":""},{"dropping-particle":"","family":"Leung","given":"Vivian","non-dropping-particle":"","parse-names":false,"suffix":""},{"dropping-particle":"","family":"Hui","given":"Elsie","non-dropping-particle":"","parse-names":false,"suffix":""},{"dropping-particle":"","family":"Ng","given":"Chelsia","non-dropping-particle":"","parse-names":false,"suffix":""},{"dropping-particle":"","family":"Woo","given":"Jean","non-dropping-particle":"","parse-names":false,"suffix":""},{"dropping-particle":"","family":"Chiu","given":"Helen Fung Kum","non-dropping-particle":"","parse-names":false,"suffix":""},{"dropping-particle":"","family":"Goggins","given":"William B.","non-dropping-particle":"","parse-names":false,"suffix":""},{"dropping-particle":"","family":"Zee","given":"Benny Chung Ying","non-dropping-particle":"","parse-names":false,"suffix":""},{"dropping-particle":"","family":"Cheng","given":"King Fai","non-dropping-particle":"","parse-names":false,"suffix":""},{"dropping-particle":"","family":"Fong","given":"Carmen Yuet Shim","non-dropping-particle":"","parse-names":false,"suffix":""},{"dropping-particle":"","family":"Wong","given":"Adrian","non-dropping-particle":"","parse-names":false,"suffix":""},{"dropping-particle":"","family":"Mok","given":"Hazel","non-dropping-particle":"","parse-names":false,"suffix":""},{"dropping-particle":"","family":"Chow","given":"Moses Sing Sum","non-dropping-particle":"","parse-names":false,"suffix":""},{"dropping-particle":"","family":"Ho","given":"Ping Chuen","non-dropping-particle":"","parse-names":false,"suffix":""},{"dropping-particle":"","family":"Ip","given":"Siu Po","non-dropping-particle":"","parse-names":false,"suffix":""},{"dropping-particle":"","family":"Ho","given":"Chung Shun","non-dropping-particle":"","parse-names":false,"suffix":""},{"dropping-particle":"","family":"Yu","given":"Xiong Wen","non-dropping-particle":"","parse-names":false,"suffix":""},{"dropping-particle":"","family":"Lai","given":"Caroline Yau Lin","non-dropping-particle":"","parse-names":false,"suffix":""},{"dropping-particle":"","family":"Chan","given":"Ming Houng","non-dropping-particle":"","parse-names":false,"suffix":""},{"dropping-particle":"","family":"Szeto","given":"Samuel","non-dropping-particle":"","parse-names":false,"suffix":""},{"dropping-particle":"","family":"Chan","given":"Iris Hiu Shuen","non-dropping-particle":"","parse-names":false,"suffix":""},{"dropping-particle":"","family":"Mok","given":"Vincent","non-dropping-particle":"","parse-names":false,"suffix":""}],"container-title":"Journal of Clinical Psychopharmacology","id":"ITEM-2","issued":{"date-parts":[["2008"]]},"title":"Six-month randomized, placebo-controlled, double-blind, pilot clinical trial of curcumin in patients with Alzheimer disease [7]","type":"article"},"uris":["http://www.mendeley.com/documents/?uuid=513c2c68-bb5a-4580-86d3-d283dd0e04c7"]}],"mendeley":{"formattedCitation":"(Baum et al., 2008; Ringman et al., 2012)","plainTextFormattedCitation":"(Baum et al., 2008; Ringman et al., 2012)","previouslyFormattedCitation":"(Baum et al., 2008; Ringman et al., 2012)"},"properties":{"noteIndex":0},"schema":"https://github.com/citation-style-language/schema/raw/master/csl-citation.json"}</w:instrText>
      </w:r>
      <w:r w:rsidR="005A2855" w:rsidRPr="00CB1C44">
        <w:rPr>
          <w:rFonts w:ascii="Arial" w:hAnsi="Arial" w:cs="Arial"/>
          <w:lang w:val="en-US"/>
        </w:rPr>
        <w:fldChar w:fldCharType="separate"/>
      </w:r>
      <w:r w:rsidR="00DD645C" w:rsidRPr="00CB1C44">
        <w:rPr>
          <w:rFonts w:ascii="Arial" w:hAnsi="Arial" w:cs="Arial"/>
          <w:noProof/>
          <w:lang w:val="en-US"/>
        </w:rPr>
        <w:t>(Baum et al., 2008; Ringman et al., 2012)</w:t>
      </w:r>
      <w:r w:rsidR="005A2855" w:rsidRPr="00CB1C44">
        <w:rPr>
          <w:rFonts w:ascii="Arial" w:hAnsi="Arial" w:cs="Arial"/>
          <w:lang w:val="en-US"/>
        </w:rPr>
        <w:fldChar w:fldCharType="end"/>
      </w:r>
      <w:r w:rsidR="005A2855" w:rsidRPr="00CB1C44">
        <w:rPr>
          <w:rFonts w:ascii="Arial" w:hAnsi="Arial" w:cs="Arial"/>
          <w:lang w:val="en-US"/>
        </w:rPr>
        <w:t xml:space="preserve">, </w:t>
      </w:r>
      <w:r w:rsidR="00A10533" w:rsidRPr="00CB1C44">
        <w:rPr>
          <w:rFonts w:ascii="Arial" w:hAnsi="Arial" w:cs="Arial"/>
          <w:lang w:val="en-US"/>
        </w:rPr>
        <w:t>showed limited results</w:t>
      </w:r>
      <w:r w:rsidR="005A2855" w:rsidRPr="00CB1C44">
        <w:rPr>
          <w:rFonts w:ascii="Arial" w:hAnsi="Arial" w:cs="Arial"/>
          <w:lang w:val="en-US"/>
        </w:rPr>
        <w:t>,</w:t>
      </w:r>
      <w:r w:rsidR="00240C6D" w:rsidRPr="00CB1C44">
        <w:rPr>
          <w:rFonts w:ascii="Arial" w:hAnsi="Arial" w:cs="Arial"/>
          <w:lang w:val="en-US"/>
        </w:rPr>
        <w:t xml:space="preserve"> </w:t>
      </w:r>
      <w:r w:rsidR="00A10533" w:rsidRPr="00CB1C44">
        <w:rPr>
          <w:rFonts w:ascii="Arial" w:hAnsi="Arial" w:cs="Arial"/>
          <w:lang w:val="en-US"/>
        </w:rPr>
        <w:t xml:space="preserve">possibly due to reduced brain penetrance and bioavailability of the compounds. </w:t>
      </w:r>
      <w:r w:rsidR="00ED621D" w:rsidRPr="00CB1C44">
        <w:rPr>
          <w:rFonts w:ascii="Arial" w:hAnsi="Arial" w:cs="Arial"/>
          <w:lang w:val="en-US"/>
        </w:rPr>
        <w:t xml:space="preserve">However, </w:t>
      </w:r>
      <w:r w:rsidR="00AF5020" w:rsidRPr="00CB1C44">
        <w:rPr>
          <w:rFonts w:ascii="Arial" w:hAnsi="Arial" w:cs="Arial"/>
          <w:lang w:val="en-US"/>
        </w:rPr>
        <w:t xml:space="preserve">the recent published clinical trial using </w:t>
      </w:r>
      <w:r w:rsidR="00337771" w:rsidRPr="00CB1C44">
        <w:rPr>
          <w:rFonts w:ascii="Arial" w:hAnsi="Arial" w:cs="Arial"/>
          <w:lang w:val="en-US"/>
        </w:rPr>
        <w:t>r</w:t>
      </w:r>
      <w:r w:rsidR="009C22AD" w:rsidRPr="00CB1C44">
        <w:rPr>
          <w:rFonts w:ascii="Arial" w:hAnsi="Arial" w:cs="Arial"/>
          <w:lang w:val="en-US"/>
        </w:rPr>
        <w:t>esveratrol</w:t>
      </w:r>
      <w:r w:rsidR="00AF5020" w:rsidRPr="00CB1C44">
        <w:rPr>
          <w:rFonts w:ascii="Arial" w:hAnsi="Arial" w:cs="Arial"/>
          <w:lang w:val="en-US"/>
        </w:rPr>
        <w:t xml:space="preserve"> </w:t>
      </w:r>
      <w:r w:rsidR="00D823F5" w:rsidRPr="00CB1C44">
        <w:rPr>
          <w:rFonts w:ascii="Arial" w:hAnsi="Arial" w:cs="Arial"/>
          <w:lang w:val="en-US"/>
        </w:rPr>
        <w:t xml:space="preserve">showed </w:t>
      </w:r>
      <w:r w:rsidR="009C22AD" w:rsidRPr="00CB1C44">
        <w:rPr>
          <w:rFonts w:ascii="Arial" w:hAnsi="Arial" w:cs="Arial"/>
          <w:lang w:val="en-US"/>
        </w:rPr>
        <w:t xml:space="preserve">positive results, although Nrf2 levels or </w:t>
      </w:r>
      <w:r w:rsidR="00B466E8" w:rsidRPr="00CB1C44">
        <w:rPr>
          <w:rFonts w:ascii="Arial" w:hAnsi="Arial" w:cs="Arial"/>
          <w:lang w:val="en-US"/>
        </w:rPr>
        <w:t xml:space="preserve">activity </w:t>
      </w:r>
      <w:r w:rsidR="0052251A" w:rsidRPr="00CB1C44">
        <w:rPr>
          <w:rFonts w:ascii="Arial" w:hAnsi="Arial" w:cs="Arial"/>
          <w:lang w:val="en-US"/>
        </w:rPr>
        <w:t>were</w:t>
      </w:r>
      <w:r w:rsidR="00B466E8" w:rsidRPr="00CB1C44">
        <w:rPr>
          <w:rFonts w:ascii="Arial" w:hAnsi="Arial" w:cs="Arial"/>
          <w:lang w:val="en-US"/>
        </w:rPr>
        <w:t xml:space="preserve"> not analyzed.</w:t>
      </w:r>
      <w:r w:rsidR="009C22AD" w:rsidRPr="00CB1C44">
        <w:rPr>
          <w:rFonts w:ascii="Arial" w:hAnsi="Arial" w:cs="Arial"/>
          <w:lang w:val="en-US"/>
        </w:rPr>
        <w:t xml:space="preserve"> </w:t>
      </w:r>
      <w:r w:rsidR="00CB525C" w:rsidRPr="00CB1C44">
        <w:rPr>
          <w:rFonts w:ascii="Arial" w:hAnsi="Arial" w:cs="Arial"/>
          <w:lang w:val="en-US"/>
        </w:rPr>
        <w:t>Indeed, r</w:t>
      </w:r>
      <w:r w:rsidR="009C22AD" w:rsidRPr="00CB1C44">
        <w:rPr>
          <w:rFonts w:ascii="Arial" w:hAnsi="Arial" w:cs="Arial"/>
          <w:lang w:val="en-US"/>
        </w:rPr>
        <w:t xml:space="preserve">esveratrol </w:t>
      </w:r>
      <w:r w:rsidR="00D823F5" w:rsidRPr="00CB1C44">
        <w:rPr>
          <w:rFonts w:ascii="Arial" w:hAnsi="Arial" w:cs="Arial"/>
          <w:lang w:val="en-US"/>
        </w:rPr>
        <w:t xml:space="preserve">reduced metalloproteinases, modulated neuroinflammation and induced adaptive immunity, when compared with the placebo-treated group </w:t>
      </w:r>
      <w:r w:rsidR="00273900" w:rsidRPr="00CB1C44">
        <w:rPr>
          <w:rFonts w:ascii="Arial" w:hAnsi="Arial" w:cs="Arial"/>
          <w:lang w:val="en-US"/>
        </w:rPr>
        <w:fldChar w:fldCharType="begin" w:fldLock="1"/>
      </w:r>
      <w:r w:rsidR="00DD645C" w:rsidRPr="00CB1C44">
        <w:rPr>
          <w:rFonts w:ascii="Arial" w:hAnsi="Arial" w:cs="Arial"/>
          <w:lang w:val="en-US"/>
        </w:rPr>
        <w:instrText>ADDIN CSL_CITATION {"citationItems":[{"id":"ITEM-1","itemData":{"DOI":"10.1186/s12974-016-0779-0","ISSN":"17422094","PMID":"28086917","abstract":"BACKGROUND Treatment of mild-moderate Alzheimer's disease (AD) subjects (N = 119) for 52 weeks with the SIRT1 activator resveratrol (up to 1 g by mouth twice daily) attenuates progressive declines in CSF Aβ40 levels and activities of daily living (ADL) scores. METHODS For this retrospective study, we examined banked CSF and plasma samples from a subset of AD subjects with CSF Aβ42 &lt;600 ng/ml (biomarker-confirmed AD) at baseline (N = 19 resveratrol-treated and N = 19 placebo-treated). We utilized multiplex Xmap technology to measure markers of neurodegenerative disease and metalloproteinases (MMPs) in parallel in CSF and plasma samples. RESULTS Compared to the placebo-treated group, at 52 weeks, resveratrol markedly reduced CSF MMP9 and increased macrophage-derived chemokine (MDC), interleukin (IL)-4, and fibroblast growth factor (FGF)-2. Compared to baseline, resveratrol increased plasma MMP10 and decreased IL-12P40, IL12P70, and RANTES. In this subset analysis, resveratrol treatment attenuated declines in mini-mental status examination (MMSE) scores, change in ADL (ADCS-ADL) scores, and CSF Aβ42 levels during the 52-week trial, but did not alter tau levels. CONCLUSIONS Collectively, these data suggest that resveratrol decreases CSF MMP9, modulates neuro-inflammation, and induces adaptive immunity. SIRT1 activation may be a viable target for treatment or prevention of neurodegenerative disorders. TRIAL REGISTRATION ClinicalTrials.gov NCT01504854.","author":[{"dropping-particle":"","family":"Moussa","given":"Charbel","non-dropping-particle":"","parse-names":false,"suffix":""},{"dropping-particle":"","family":"Hebron","given":"Michaeline","non-dropping-particle":"","parse-names":false,"suffix":""},{"dropping-particle":"","family":"Huang","given":"Xu","non-dropping-particle":"","parse-names":false,"suffix":""},{"dropping-particle":"","family":"Ahn","given":"Jaeil","non-dropping-particle":"","parse-names":false,"suffix":""},{"dropping-particle":"","family":"Rissman","given":"Robert A.","non-dropping-particle":"","parse-names":false,"suffix":""},{"dropping-particle":"","family":"Aisen","given":"Paul S.","non-dropping-particle":"","parse-names":false,"suffix":""},{"dropping-particle":"","family":"Turner","given":"R. Scott","non-dropping-particle":"","parse-names":false,"suffix":""}],"container-title":"Journal of Neuroinflammation","id":"ITEM-1","issued":{"date-parts":[["2017"]]},"title":"Resveratrol regulates neuro-inflammation and induces adaptive immunity in Alzheimer's disease","type":"article-journal"},"uris":["http://www.mendeley.com/documents/?uuid=ef0f2aa1-0d5e-49c2-a88b-306c32e8168c"]}],"mendeley":{"formattedCitation":"(Moussa et al., 2017)","plainTextFormattedCitation":"(Moussa et al., 2017)","previouslyFormattedCitation":"(Moussa et al., 2017)"},"properties":{"noteIndex":0},"schema":"https://github.com/citation-style-language/schema/raw/master/csl-citation.json"}</w:instrText>
      </w:r>
      <w:r w:rsidR="00273900" w:rsidRPr="00CB1C44">
        <w:rPr>
          <w:rFonts w:ascii="Arial" w:hAnsi="Arial" w:cs="Arial"/>
          <w:lang w:val="en-US"/>
        </w:rPr>
        <w:fldChar w:fldCharType="separate"/>
      </w:r>
      <w:r w:rsidR="00DD645C" w:rsidRPr="00CB1C44">
        <w:rPr>
          <w:rFonts w:ascii="Arial" w:hAnsi="Arial" w:cs="Arial"/>
          <w:noProof/>
          <w:lang w:val="en-US"/>
        </w:rPr>
        <w:t>(Moussa et al., 2017)</w:t>
      </w:r>
      <w:r w:rsidR="00273900" w:rsidRPr="00CB1C44">
        <w:rPr>
          <w:rFonts w:ascii="Arial" w:hAnsi="Arial" w:cs="Arial"/>
          <w:lang w:val="en-US"/>
        </w:rPr>
        <w:fldChar w:fldCharType="end"/>
      </w:r>
      <w:r w:rsidR="00D823F5" w:rsidRPr="00CB1C44">
        <w:rPr>
          <w:rFonts w:ascii="Arial" w:hAnsi="Arial" w:cs="Arial"/>
          <w:lang w:val="en-US"/>
        </w:rPr>
        <w:t xml:space="preserve">. </w:t>
      </w:r>
      <w:r w:rsidR="009C22AD" w:rsidRPr="00CB1C44">
        <w:rPr>
          <w:rFonts w:ascii="Arial" w:hAnsi="Arial" w:cs="Arial"/>
          <w:lang w:val="en-US"/>
        </w:rPr>
        <w:t xml:space="preserve">Other ongoing clinical trials for AD </w:t>
      </w:r>
      <w:r w:rsidR="005F38CC" w:rsidRPr="00CB1C44">
        <w:rPr>
          <w:rFonts w:ascii="Arial" w:hAnsi="Arial" w:cs="Arial"/>
          <w:lang w:val="en-US"/>
        </w:rPr>
        <w:t>are being developed using compounds known to activate Nrf2, such as DL-3</w:t>
      </w:r>
      <w:r w:rsidR="00152C61" w:rsidRPr="00CB1C44">
        <w:rPr>
          <w:rFonts w:ascii="Arial" w:hAnsi="Arial" w:cs="Arial"/>
          <w:lang w:val="en-US"/>
        </w:rPr>
        <w:t xml:space="preserve">-n-butylphthalide (NCT02711683), </w:t>
      </w:r>
      <w:r w:rsidR="0052251A" w:rsidRPr="00CB1C44">
        <w:rPr>
          <w:rFonts w:ascii="Arial" w:hAnsi="Arial" w:cs="Arial"/>
          <w:lang w:val="en-US"/>
        </w:rPr>
        <w:t>l</w:t>
      </w:r>
      <w:r w:rsidR="005F38CC" w:rsidRPr="00CB1C44">
        <w:rPr>
          <w:rFonts w:ascii="Arial" w:hAnsi="Arial" w:cs="Arial"/>
          <w:lang w:val="en-US"/>
        </w:rPr>
        <w:t xml:space="preserve">ithium </w:t>
      </w:r>
      <w:r w:rsidR="00B524E9" w:rsidRPr="00CB1C44">
        <w:rPr>
          <w:rFonts w:ascii="Arial" w:hAnsi="Arial" w:cs="Arial"/>
          <w:lang w:val="en-US"/>
        </w:rPr>
        <w:t>(1R01AG055389-01)</w:t>
      </w:r>
      <w:r w:rsidR="00152C61" w:rsidRPr="00CB1C44">
        <w:rPr>
          <w:rFonts w:ascii="Arial" w:hAnsi="Arial" w:cs="Arial"/>
          <w:lang w:val="en-US"/>
        </w:rPr>
        <w:t xml:space="preserve"> and methylene blue (NCT03446001)</w:t>
      </w:r>
      <w:r w:rsidR="00B524E9" w:rsidRPr="00CB1C44">
        <w:rPr>
          <w:rFonts w:ascii="Arial" w:hAnsi="Arial" w:cs="Arial"/>
          <w:lang w:val="en-US"/>
        </w:rPr>
        <w:t>.</w:t>
      </w:r>
      <w:r w:rsidR="004726ED" w:rsidRPr="00CB1C44">
        <w:rPr>
          <w:rFonts w:ascii="Arial" w:hAnsi="Arial" w:cs="Arial"/>
          <w:lang w:val="en-US"/>
        </w:rPr>
        <w:t xml:space="preserve"> M</w:t>
      </w:r>
      <w:r w:rsidR="00152C61" w:rsidRPr="00CB1C44">
        <w:rPr>
          <w:rFonts w:ascii="Arial" w:hAnsi="Arial" w:cs="Arial"/>
          <w:lang w:val="en-US"/>
        </w:rPr>
        <w:t>ethylene blue</w:t>
      </w:r>
      <w:r w:rsidR="00A90394" w:rsidRPr="00CB1C44">
        <w:rPr>
          <w:rFonts w:ascii="Arial" w:hAnsi="Arial" w:cs="Arial"/>
          <w:lang w:val="en-US"/>
        </w:rPr>
        <w:t xml:space="preserve"> was shown </w:t>
      </w:r>
      <w:r w:rsidR="009B4A6A" w:rsidRPr="00CB1C44">
        <w:rPr>
          <w:rFonts w:ascii="Arial" w:hAnsi="Arial" w:cs="Arial"/>
          <w:lang w:val="en-US"/>
        </w:rPr>
        <w:t xml:space="preserve">to </w:t>
      </w:r>
      <w:r w:rsidR="00464650" w:rsidRPr="00CB1C44">
        <w:rPr>
          <w:rFonts w:ascii="Arial" w:hAnsi="Arial" w:cs="Arial"/>
          <w:lang w:val="en-US"/>
        </w:rPr>
        <w:t>be protective by increasing the expression of several genes relevant to mitochondria biogenesis, bioenergetics, and antioxidant defense and more interestingly by</w:t>
      </w:r>
      <w:r w:rsidR="00A90394" w:rsidRPr="00CB1C44">
        <w:rPr>
          <w:rFonts w:ascii="Arial" w:hAnsi="Arial" w:cs="Arial"/>
          <w:lang w:val="en-US"/>
        </w:rPr>
        <w:t xml:space="preserve"> ac</w:t>
      </w:r>
      <w:r w:rsidR="00464650" w:rsidRPr="00CB1C44">
        <w:rPr>
          <w:rFonts w:ascii="Arial" w:hAnsi="Arial" w:cs="Arial"/>
          <w:lang w:val="en-US"/>
        </w:rPr>
        <w:t>tivating the Nrf2/ARE pathway</w:t>
      </w:r>
      <w:r w:rsidR="00A213ED" w:rsidRPr="00CB1C44">
        <w:rPr>
          <w:rFonts w:ascii="Arial" w:hAnsi="Arial" w:cs="Arial"/>
          <w:lang w:val="en-US"/>
        </w:rPr>
        <w:t xml:space="preserve"> in aged mice</w:t>
      </w:r>
      <w:r w:rsidR="00464650" w:rsidRPr="00CB1C44">
        <w:rPr>
          <w:rFonts w:ascii="Arial" w:hAnsi="Arial" w:cs="Arial"/>
          <w:lang w:val="en-US"/>
        </w:rPr>
        <w:t xml:space="preserve"> </w:t>
      </w:r>
      <w:r w:rsidR="00C90DFE" w:rsidRPr="00CB1C44">
        <w:rPr>
          <w:rFonts w:ascii="Arial" w:hAnsi="Arial" w:cs="Arial"/>
          <w:lang w:val="en-US"/>
        </w:rPr>
        <w:fldChar w:fldCharType="begin" w:fldLock="1"/>
      </w:r>
      <w:r w:rsidR="004726ED" w:rsidRPr="00CB1C44">
        <w:rPr>
          <w:rFonts w:ascii="Arial" w:hAnsi="Arial" w:cs="Arial"/>
          <w:lang w:val="en-US"/>
        </w:rPr>
        <w:instrText>ADDIN CSL_CITATION {"citationItems":[{"id":"ITEM-1","itemData":{"DOI":"10.1016/j.neures.2016.07.006","ISSN":"18728111","abstract":"Age-related brain dysfunctions are associated with mitochondria malfunctions and increased risk of developing neurodegenerative diseases (ND). Recently, a mitochondria-targeting drug methylene blue has been drawing considerable interest as a potential treatment for ND. We found that aged mice manifested a decrease in physical endurance, spontaneous locomotor activity, and exploration concomitant with an increase in anxiety-related behavior, as compared to adult mice. Treating mice for 60 days with MB slowed down these changes. There were no significant changes in the animals’ body weight, oxygen consumption rates, or respiratory quotient index, in adult or aged MB-treated mice. However, MB treatment significantly increased the generation of reactive oxygen species in brain mitochondria. The expression of several genes relevant to mitochondria biogenesis, bioenergetics, and antioxidant defense (NRF1, MTCOX1, TFAM, and SOD2) was greatly suppressed in aged mice; it was restored by MB treatment. It seems plausible that the effects of MB could be mediated by its ability to increase H2O2 production in brain mitochondria, thereby activating Nrf2/ARE signaling pathway and mitochondria biogenesis. Our data and earlier findings support the idea that MB can be an attractive prototype drug for developing safe and efficient gerontoprotective compounds.","author":[{"dropping-particle":"","family":"Gureev","given":"Artem P.","non-dropping-particle":"","parse-names":false,"suffix":""},{"dropping-particle":"","family":"Syromyatnikov","given":"Mikhail Yu","non-dropping-particle":"","parse-names":false,"suffix":""},{"dropping-particle":"","family":"Gorbacheva","given":"Tatyana M.","non-dropping-particle":"","parse-names":false,"suffix":""},{"dropping-particle":"","family":"Starkov","given":"Anatoly A.","non-dropping-particle":"","parse-names":false,"suffix":""},{"dropping-particle":"","family":"Popov","given":"Vasily N.","non-dropping-particle":"","parse-names":false,"suffix":""}],"container-title":"Neuroscience Research","id":"ITEM-1","issued":{"date-parts":[["2016"]]},"title":"Methylene blue improves sensorimotor phenotype and decreases anxiety in parallel with activating brain mitochondria biogenesis in mid-age mice","type":"article-journal"},"uris":["http://www.mendeley.com/documents/?uuid=438a93ae-07df-481f-85a0-e1199913864a"]}],"mendeley":{"formattedCitation":"(Gureev et al., 2016)","plainTextFormattedCitation":"(Gureev et al., 2016)","previouslyFormattedCitation":"(Gureev et al., 2016)"},"properties":{"noteIndex":0},"schema":"https://github.com/citation-style-language/schema/raw/master/csl-citation.json"}</w:instrText>
      </w:r>
      <w:r w:rsidR="00C90DFE" w:rsidRPr="00CB1C44">
        <w:rPr>
          <w:rFonts w:ascii="Arial" w:hAnsi="Arial" w:cs="Arial"/>
          <w:lang w:val="en-US"/>
        </w:rPr>
        <w:fldChar w:fldCharType="separate"/>
      </w:r>
      <w:r w:rsidR="00C90DFE" w:rsidRPr="00CB1C44">
        <w:rPr>
          <w:rFonts w:ascii="Arial" w:hAnsi="Arial" w:cs="Arial"/>
          <w:noProof/>
          <w:lang w:val="en-US"/>
        </w:rPr>
        <w:t>(Gureev et al., 2016)</w:t>
      </w:r>
      <w:r w:rsidR="00C90DFE" w:rsidRPr="00CB1C44">
        <w:rPr>
          <w:rFonts w:ascii="Arial" w:hAnsi="Arial" w:cs="Arial"/>
          <w:lang w:val="en-US"/>
        </w:rPr>
        <w:fldChar w:fldCharType="end"/>
      </w:r>
      <w:r w:rsidR="00464650" w:rsidRPr="00CB1C44">
        <w:rPr>
          <w:rFonts w:ascii="Arial" w:hAnsi="Arial" w:cs="Arial"/>
          <w:lang w:val="en-US"/>
        </w:rPr>
        <w:t>.</w:t>
      </w:r>
      <w:r w:rsidR="00C35402" w:rsidRPr="00CB1C44">
        <w:rPr>
          <w:rFonts w:ascii="Arial" w:hAnsi="Arial" w:cs="Arial"/>
          <w:lang w:val="en-US"/>
        </w:rPr>
        <w:t xml:space="preserve"> Additionally,</w:t>
      </w:r>
      <w:r w:rsidR="00A213ED" w:rsidRPr="00CB1C44">
        <w:rPr>
          <w:rFonts w:ascii="Arial" w:hAnsi="Arial" w:cs="Arial"/>
          <w:lang w:val="en-US"/>
        </w:rPr>
        <w:t xml:space="preserve"> methylene blue</w:t>
      </w:r>
      <w:r w:rsidR="00C35402" w:rsidRPr="00CB1C44">
        <w:rPr>
          <w:rFonts w:ascii="Arial" w:hAnsi="Arial" w:cs="Arial"/>
          <w:lang w:val="en-US"/>
        </w:rPr>
        <w:t xml:space="preserve"> was also protective in P301S mouse model of tauopathy</w:t>
      </w:r>
      <w:r w:rsidR="008D5BA3" w:rsidRPr="00CB1C44">
        <w:rPr>
          <w:rFonts w:ascii="Arial" w:hAnsi="Arial" w:cs="Arial"/>
          <w:lang w:val="en-US"/>
        </w:rPr>
        <w:t>, improving behavioral abnormalities</w:t>
      </w:r>
      <w:r w:rsidR="00A213ED" w:rsidRPr="00CB1C44">
        <w:rPr>
          <w:rFonts w:ascii="Arial" w:hAnsi="Arial" w:cs="Arial"/>
          <w:lang w:val="en-US"/>
        </w:rPr>
        <w:t xml:space="preserve"> and</w:t>
      </w:r>
      <w:r w:rsidR="008D5BA3" w:rsidRPr="00CB1C44">
        <w:rPr>
          <w:rFonts w:ascii="Arial" w:hAnsi="Arial" w:cs="Arial"/>
          <w:lang w:val="en-US"/>
        </w:rPr>
        <w:t xml:space="preserve"> reducing tau pathology, inflammation and oxidative damage due to Nrf2/ARE pathway activation </w:t>
      </w:r>
      <w:r w:rsidR="004726ED" w:rsidRPr="00CB1C44">
        <w:rPr>
          <w:rFonts w:ascii="Arial" w:hAnsi="Arial" w:cs="Arial"/>
          <w:lang w:val="en-US"/>
        </w:rPr>
        <w:fldChar w:fldCharType="begin" w:fldLock="1"/>
      </w:r>
      <w:r w:rsidR="00692278" w:rsidRPr="00CB1C44">
        <w:rPr>
          <w:rFonts w:ascii="Arial" w:hAnsi="Arial" w:cs="Arial"/>
          <w:lang w:val="en-US"/>
        </w:rPr>
        <w:instrText>ADDIN CSL_CITATION {"citationItems":[{"id":"ITEM-1","itemData":{"DOI":"10.1093/hmg/ddu080","ISSN":"14602083","abstract":"Methylene blue (MB, methylthioninium chloride) is a phenothiazine that crosses the blood brain barrier and acts as a redox cycler. Among its beneficial properties are its abilities to act as an antioxidant, to reduce tau protein aggregation and to improve energy metabolism. These actions are of particular interest for the treatment of neurodegenerative diseases with tau protein aggregates known as tauopathies. The present study examined the effects of MB in the P301S mouse model of tauopathy. Both 4 mg/kg MB (low dose) and 40 mg/kg MB (high dose) were administered in the diet ad libitum from 1 to 10months of age.Weassessed behavior, tau pathology, oxidative damage, inflammation and numbers of mitochondria. MB improved the behavioral abnormalities and reduced tau pathology, inflammation and oxidative damage in the P301S mice. These beneficial effects were associated with increased expression of genes regulated by NF-E2-related factor 2 (Nrf2)/antioxidant response element (ARE), which play an important role in antioxidant defenses, preventing protein aggregation, and reducing inflammation. The activation of Nrf2/ARE genes is neuroprotective in other transgenic mouse models of neurodegenerative diseases and it appears to be an important mediator of the neuroprotective effects of MB in P301S mice. Moreover, we used Nrf2 knock out fibroblasts to show that the upregulation of Nrf2/ARE genes by MB is Nrf2 dependent and not due to secondary effects of the compound. These findings provide further evidence that MB has important neuroprotective effects that may be beneficial in the treatment of human neurodegenerative diseases with tau pathology. © The Author 2014.Published by Oxford University Press. All rights reserved.","author":[{"dropping-particle":"","family":"Stack","given":"Cliona","non-dropping-particle":"","parse-names":false,"suffix":""},{"dropping-particle":"","family":"Jainuddin","given":"Shari","non-dropping-particle":"","parse-names":false,"suffix":""},{"dropping-particle":"","family":"Elipenahli","given":"Ceyhan","non-dropping-particle":"","parse-names":false,"suffix":""},{"dropping-particle":"","family":"Gerges","given":"Meri","non-dropping-particle":"","parse-names":false,"suffix":""},{"dropping-particle":"","family":"Starkova","given":"Natalia","non-dropping-particle":"","parse-names":false,"suffix":""},{"dropping-particle":"","family":"Starkov","given":"Anatoly A.","non-dropping-particle":"","parse-names":false,"suffix":""},{"dropping-particle":"","family":"Jové","given":"Mariona","non-dropping-particle":"","parse-names":false,"suffix":""},{"dropping-particle":"","family":"Portero-Otin","given":"Manuel","non-dropping-particle":"","parse-names":false,"suffix":""},{"dropping-particle":"","family":"Launay","given":"Nathalie","non-dropping-particle":"","parse-names":false,"suffix":""},{"dropping-particle":"","family":"Pujol","given":"Aurora","non-dropping-particle":"","parse-names":false,"suffix":""},{"dropping-particle":"","family":"Kaidery","given":"Navneet Ammal","non-dropping-particle":"","parse-names":false,"suffix":""},{"dropping-particle":"","family":"Thomas","given":"Bobby","non-dropping-particle":"","parse-names":false,"suffix":""},{"dropping-particle":"","family":"Tampellini","given":"Davide","non-dropping-particle":"","parse-names":false,"suffix":""},{"dropping-particle":"","family":"Flint Beal","given":"M.","non-dropping-particle":"","parse-names":false,"suffix":""},{"dropping-particle":"","family":"Dumont","given":"Magali","non-dropping-particle":"","parse-names":false,"suffix":""}],"container-title":"Human Molecular Genetics","id":"ITEM-1","issued":{"date-parts":[["2014"]]},"title":"Methylene blue upregulates Nrf2/ARE genes and prevents tau-related neurotoxicity","type":"article-journal"},"uris":["http://www.mendeley.com/documents/?uuid=a8cc6fbd-eaa1-44e3-bd1b-536b71068bac"]}],"mendeley":{"formattedCitation":"(Stack et al., 2014)","plainTextFormattedCitation":"(Stack et al., 2014)","previouslyFormattedCitation":"(Stack et al., 2014)"},"properties":{"noteIndex":0},"schema":"https://github.com/citation-style-language/schema/raw/master/csl-citation.json"}</w:instrText>
      </w:r>
      <w:r w:rsidR="004726ED" w:rsidRPr="00CB1C44">
        <w:rPr>
          <w:rFonts w:ascii="Arial" w:hAnsi="Arial" w:cs="Arial"/>
          <w:lang w:val="en-US"/>
        </w:rPr>
        <w:fldChar w:fldCharType="separate"/>
      </w:r>
      <w:r w:rsidR="004726ED" w:rsidRPr="00CB1C44">
        <w:rPr>
          <w:rFonts w:ascii="Arial" w:hAnsi="Arial" w:cs="Arial"/>
          <w:noProof/>
          <w:lang w:val="en-US"/>
        </w:rPr>
        <w:t>(Stack et al., 2014)</w:t>
      </w:r>
      <w:r w:rsidR="004726ED" w:rsidRPr="00CB1C44">
        <w:rPr>
          <w:rFonts w:ascii="Arial" w:hAnsi="Arial" w:cs="Arial"/>
          <w:lang w:val="en-US"/>
        </w:rPr>
        <w:fldChar w:fldCharType="end"/>
      </w:r>
      <w:r w:rsidR="008D5BA3" w:rsidRPr="00CB1C44">
        <w:rPr>
          <w:rFonts w:ascii="Arial" w:hAnsi="Arial" w:cs="Arial"/>
          <w:lang w:val="en-US"/>
        </w:rPr>
        <w:t>.</w:t>
      </w:r>
      <w:r w:rsidR="00A213ED" w:rsidRPr="00CB1C44">
        <w:rPr>
          <w:rFonts w:ascii="Arial" w:hAnsi="Arial" w:cs="Arial"/>
          <w:lang w:val="en-US"/>
        </w:rPr>
        <w:t xml:space="preserve"> </w:t>
      </w:r>
      <w:r w:rsidR="009B4A6A" w:rsidRPr="00CB1C44">
        <w:rPr>
          <w:rFonts w:ascii="Arial" w:hAnsi="Arial" w:cs="Arial"/>
          <w:lang w:val="en-US"/>
        </w:rPr>
        <w:t>Currently, there is one ongoing clinical trial in phase 3 for PD (NCT02642393) using oral inosine, which is converted to uric acid. U</w:t>
      </w:r>
      <w:r w:rsidR="00F35321" w:rsidRPr="00CB1C44">
        <w:rPr>
          <w:rFonts w:ascii="Arial" w:hAnsi="Arial" w:cs="Arial"/>
          <w:lang w:val="en-US"/>
        </w:rPr>
        <w:t xml:space="preserve">rate was </w:t>
      </w:r>
      <w:r w:rsidR="009B4A6A" w:rsidRPr="00CB1C44">
        <w:rPr>
          <w:rFonts w:ascii="Arial" w:hAnsi="Arial" w:cs="Arial"/>
          <w:lang w:val="en-US"/>
        </w:rPr>
        <w:t xml:space="preserve">previously shown to be </w:t>
      </w:r>
      <w:r w:rsidR="00F35321" w:rsidRPr="00CB1C44">
        <w:rPr>
          <w:rFonts w:ascii="Arial" w:hAnsi="Arial" w:cs="Arial"/>
          <w:lang w:val="en-US"/>
        </w:rPr>
        <w:t xml:space="preserve">protective in dopaminergic SH-SY5Y and MES23.5 cells </w:t>
      </w:r>
      <w:r w:rsidR="00CF768E" w:rsidRPr="00CB1C44">
        <w:rPr>
          <w:rFonts w:ascii="Arial" w:hAnsi="Arial" w:cs="Arial"/>
          <w:lang w:val="en-US"/>
        </w:rPr>
        <w:t xml:space="preserve">after </w:t>
      </w:r>
      <w:r w:rsidR="00AD006B" w:rsidRPr="00CB1C44">
        <w:rPr>
          <w:rFonts w:ascii="Arial" w:hAnsi="Arial" w:cs="Arial"/>
          <w:lang w:val="en-US"/>
        </w:rPr>
        <w:t>6-OHDA exposure due to increased Nrf2 activation, nuclear accumulation and augmented Nrf2-targeted antioxidant genes transcription</w:t>
      </w:r>
      <w:r w:rsidR="00DF2E6C" w:rsidRPr="00CB1C44">
        <w:rPr>
          <w:rFonts w:ascii="Arial" w:hAnsi="Arial" w:cs="Arial"/>
          <w:lang w:val="en-US"/>
        </w:rPr>
        <w:t xml:space="preserve"> </w:t>
      </w:r>
      <w:r w:rsidR="002F0750" w:rsidRPr="00CB1C44">
        <w:rPr>
          <w:rFonts w:ascii="Arial" w:hAnsi="Arial" w:cs="Arial"/>
          <w:lang w:val="en-US"/>
        </w:rPr>
        <w:fldChar w:fldCharType="begin" w:fldLock="1"/>
      </w:r>
      <w:r w:rsidR="00C90DFE" w:rsidRPr="00CB1C44">
        <w:rPr>
          <w:rFonts w:ascii="Arial" w:hAnsi="Arial" w:cs="Arial"/>
          <w:lang w:val="en-US"/>
        </w:rPr>
        <w:instrText>ADDIN CSL_CITATION {"citationItems":[{"id":"ITEM-1","itemData":{"DOI":"10.1371/journal.pone.0100286","ISSN":"19326203","abstract":"Background: Mounting evidence shows that urate may become a biomarker of Parkinson's disease (PD) diagnosis and prognosis and a neuroprotectant candidate for PD therapy. However, the cellular and molecular mechanisms underlying its neuroprotective actions remain poorly understood. Results: In this study, we showed that urate pretreatment protected dopaminergic cell line (SH-SY5Y and MES23.5) against 6-hydroxydopamine (6-OHDA)- and hydrogen peroxide-induced cell damage. Urate was found to be accumulated into SH-SY5Y cells after 30 min treatment. Moreover, urate induced NF-E2-related factor 2 (Nrf2) accumulation by inhibiting its ubiquitinationa and degradation, and also promoted its nuclear translocation; however, it did not modulate Nrf2 mRNA level or Kelch-like ECH-associated protein 1 (Keap1) expression. In addition, urate markedly up-regulated the transcription and protein expression of γ-glutamate- cysteine ligase catalytic subunit (γ-GCLC) and heme oxygenase-1 (HO-1), both of which are controlled by Nrf2 activity. Furthermore, Nrf2 knockdown by siRNA abolished the intracellular glutathione augmentation and the protection exerted by urate pretreatment. Conclusion: Our findings demonstrated that urate treatment may result in Nrf2-targeted anti-oxidant genes transcription and expression by reducing Nrf2 ubiquitination and degradation and promoting its nuclear translocation, and thus offer neuroprotection on dopaminergic cells against oxidative stresses. © 2014 Zhang et al.","author":[{"dropping-particle":"","family":"Zhang","given":"Ning","non-dropping-particle":"","parse-names":false,"suffix":""},{"dropping-particle":"","family":"Shu","given":"Hai Yang","non-dropping-particle":"","parse-names":false,"suffix":""},{"dropping-particle":"","family":"Huang","given":"Tingting","non-dropping-particle":"","parse-names":false,"suffix":""},{"dropping-particle":"","family":"Zhang","given":"Qi Lin","non-dropping-particle":"","parse-names":false,"suffix":""},{"dropping-particle":"","family":"Li","given":"Da","non-dropping-particle":"","parse-names":false,"suffix":""},{"dropping-particle":"","family":"Zhang","given":"Guan Qun","non-dropping-particle":"","parse-names":false,"suffix":""},{"dropping-particle":"","family":"Peng","given":"Xiao Yan","non-dropping-particle":"","parse-names":false,"suffix":""},{"dropping-particle":"","family":"Liu","given":"Chun Feng","non-dropping-particle":"","parse-names":false,"suffix":""},{"dropping-particle":"","family":"Luo","given":"Wei Feng","non-dropping-particle":"","parse-names":false,"suffix":""},{"dropping-particle":"","family":"Hu","given":"Li Fang","non-dropping-particle":"","parse-names":false,"suffix":""}],"container-title":"PLoS ONE","id":"ITEM-1","issued":{"date-parts":[["2014"]]},"title":"Nrf2 signaling contributes to the neuroprotective effects of urate against 6-OHDA toxicity","type":"article-journal"},"uris":["http://www.mendeley.com/documents/?uuid=42ae4db5-f3fa-4178-b957-bc78473d16d7"]}],"mendeley":{"formattedCitation":"(Zhang et al., 2014)","plainTextFormattedCitation":"(Zhang et al., 2014)","previouslyFormattedCitation":"(Zhang et al., 2014)"},"properties":{"noteIndex":0},"schema":"https://github.com/citation-style-language/schema/raw/master/csl-citation.json"}</w:instrText>
      </w:r>
      <w:r w:rsidR="002F0750" w:rsidRPr="00CB1C44">
        <w:rPr>
          <w:rFonts w:ascii="Arial" w:hAnsi="Arial" w:cs="Arial"/>
          <w:lang w:val="en-US"/>
        </w:rPr>
        <w:fldChar w:fldCharType="separate"/>
      </w:r>
      <w:r w:rsidR="002F0750" w:rsidRPr="00CB1C44">
        <w:rPr>
          <w:rFonts w:ascii="Arial" w:hAnsi="Arial" w:cs="Arial"/>
          <w:noProof/>
          <w:lang w:val="en-US"/>
        </w:rPr>
        <w:t>(Zhang et al., 2014)</w:t>
      </w:r>
      <w:r w:rsidR="002F0750" w:rsidRPr="00CB1C44">
        <w:rPr>
          <w:rFonts w:ascii="Arial" w:hAnsi="Arial" w:cs="Arial"/>
          <w:lang w:val="en-US"/>
        </w:rPr>
        <w:fldChar w:fldCharType="end"/>
      </w:r>
      <w:r w:rsidR="00AD006B" w:rsidRPr="00CB1C44">
        <w:rPr>
          <w:rFonts w:ascii="Arial" w:hAnsi="Arial" w:cs="Arial"/>
          <w:lang w:val="en-US"/>
        </w:rPr>
        <w:t xml:space="preserve">. </w:t>
      </w:r>
      <w:r w:rsidR="00152C61" w:rsidRPr="00CB1C44">
        <w:rPr>
          <w:rFonts w:ascii="Arial" w:hAnsi="Arial" w:cs="Arial"/>
          <w:lang w:val="en-US"/>
        </w:rPr>
        <w:t>Another</w:t>
      </w:r>
      <w:r w:rsidR="00F7760A" w:rsidRPr="00CB1C44">
        <w:rPr>
          <w:rFonts w:ascii="Arial" w:hAnsi="Arial" w:cs="Arial"/>
          <w:lang w:val="en-US"/>
        </w:rPr>
        <w:t xml:space="preserve"> </w:t>
      </w:r>
      <w:r w:rsidR="00F7760A" w:rsidRPr="00CB1C44">
        <w:rPr>
          <w:rFonts w:ascii="Arial" w:hAnsi="Arial" w:cs="Arial"/>
          <w:lang w:val="en-US"/>
        </w:rPr>
        <w:lastRenderedPageBreak/>
        <w:t xml:space="preserve">ongoing phase 1 clinical trial related with Nrf2 was found using </w:t>
      </w:r>
      <w:proofErr w:type="spellStart"/>
      <w:r w:rsidR="00F7760A" w:rsidRPr="00CB1C44">
        <w:rPr>
          <w:rFonts w:ascii="Arial" w:hAnsi="Arial" w:cs="Arial"/>
          <w:lang w:val="en-US"/>
        </w:rPr>
        <w:t>Cu</w:t>
      </w:r>
      <w:r w:rsidR="00F7760A" w:rsidRPr="00CB1C44">
        <w:rPr>
          <w:rFonts w:ascii="Arial" w:hAnsi="Arial" w:cs="Arial"/>
          <w:vertAlign w:val="superscript"/>
          <w:lang w:val="en-US"/>
        </w:rPr>
        <w:t>II</w:t>
      </w:r>
      <w:proofErr w:type="spellEnd"/>
      <w:r w:rsidR="00F7760A" w:rsidRPr="00CB1C44">
        <w:rPr>
          <w:rFonts w:ascii="Arial" w:hAnsi="Arial" w:cs="Arial"/>
          <w:vertAlign w:val="superscript"/>
          <w:lang w:val="en-US"/>
        </w:rPr>
        <w:t xml:space="preserve"> </w:t>
      </w:r>
      <w:r w:rsidR="00F7760A" w:rsidRPr="00CB1C44">
        <w:rPr>
          <w:rFonts w:ascii="Arial" w:hAnsi="Arial" w:cs="Arial"/>
          <w:lang w:val="en-US"/>
        </w:rPr>
        <w:t>(</w:t>
      </w:r>
      <w:r w:rsidR="0052251A" w:rsidRPr="00CB1C44">
        <w:rPr>
          <w:rFonts w:ascii="Arial" w:hAnsi="Arial" w:cs="Arial"/>
          <w:lang w:val="en-US"/>
        </w:rPr>
        <w:t>ATSM</w:t>
      </w:r>
      <w:r w:rsidR="00F7760A" w:rsidRPr="00CB1C44">
        <w:rPr>
          <w:rFonts w:ascii="Arial" w:hAnsi="Arial" w:cs="Arial"/>
          <w:lang w:val="en-US"/>
        </w:rPr>
        <w:t>) (NCT03204929).</w:t>
      </w:r>
      <w:r w:rsidR="00587B44" w:rsidRPr="00CB1C44">
        <w:rPr>
          <w:rFonts w:ascii="Arial" w:hAnsi="Arial" w:cs="Arial"/>
          <w:lang w:val="en-US"/>
        </w:rPr>
        <w:t xml:space="preserve"> </w:t>
      </w:r>
      <w:proofErr w:type="spellStart"/>
      <w:r w:rsidR="00587B44" w:rsidRPr="00CB1C44">
        <w:rPr>
          <w:rFonts w:ascii="Arial" w:hAnsi="Arial" w:cs="Arial"/>
          <w:lang w:val="en-US"/>
        </w:rPr>
        <w:t>Cu</w:t>
      </w:r>
      <w:r w:rsidR="00587B44" w:rsidRPr="00CB1C44">
        <w:rPr>
          <w:rFonts w:ascii="Arial" w:hAnsi="Arial" w:cs="Arial"/>
          <w:vertAlign w:val="superscript"/>
          <w:lang w:val="en-US"/>
        </w:rPr>
        <w:t>II</w:t>
      </w:r>
      <w:proofErr w:type="spellEnd"/>
      <w:r w:rsidR="00587B44" w:rsidRPr="00CB1C44">
        <w:rPr>
          <w:rFonts w:ascii="Arial" w:hAnsi="Arial" w:cs="Arial"/>
          <w:vertAlign w:val="superscript"/>
          <w:lang w:val="en-US"/>
        </w:rPr>
        <w:t xml:space="preserve"> </w:t>
      </w:r>
      <w:r w:rsidR="00587B44" w:rsidRPr="00CB1C44">
        <w:rPr>
          <w:rFonts w:ascii="Arial" w:hAnsi="Arial" w:cs="Arial"/>
          <w:lang w:val="en-US"/>
        </w:rPr>
        <w:t xml:space="preserve">(ATSM) was shown to induce Nrf2 activation in mice </w:t>
      </w:r>
      <w:r w:rsidR="006E7AD2" w:rsidRPr="00CB1C44">
        <w:rPr>
          <w:rFonts w:ascii="Arial" w:hAnsi="Arial" w:cs="Arial"/>
          <w:lang w:val="en-US"/>
        </w:rPr>
        <w:t xml:space="preserve">smooth muscle cells and </w:t>
      </w:r>
      <w:r w:rsidR="00587B44" w:rsidRPr="00CB1C44">
        <w:rPr>
          <w:rFonts w:ascii="Arial" w:hAnsi="Arial" w:cs="Arial"/>
          <w:lang w:val="en-US"/>
        </w:rPr>
        <w:t xml:space="preserve">cardiac myocytes </w:t>
      </w:r>
      <w:r w:rsidR="002836BE" w:rsidRPr="00CB1C44">
        <w:rPr>
          <w:rFonts w:ascii="Arial" w:hAnsi="Arial" w:cs="Arial"/>
          <w:lang w:val="en-US"/>
        </w:rPr>
        <w:fldChar w:fldCharType="begin" w:fldLock="1"/>
      </w:r>
      <w:r w:rsidR="008846E1" w:rsidRPr="00CB1C44">
        <w:rPr>
          <w:rFonts w:ascii="Arial" w:hAnsi="Arial" w:cs="Arial"/>
          <w:lang w:val="en-US"/>
        </w:rPr>
        <w:instrText>ADDIN CSL_CITATION {"citationItems":[{"id":"ITEM-1","itemData":{"DOI":"10.1038/s41598-016-0012-5","ISSN":"20452322","abstract":"Cu((II))ATSM was developed as a hypoxia sensitive positron emission tomography agent. Recent reports have highlighted the neuroprotective properties of Cu((II))ATSM, yet there are no reports that it confers cardioprotection. We demonstrate that Cu((II))ATSM activates the redox-sensitive transcription factor Nrf2 in human coronary artery smooth muscle cells (HCASMC) and cardiac myocytes (HCM), leading to upregulation of antioxidant defense enzymes. Oral delivery of Cu((II))ATSM in mice induced expression of the Nrf2-regulated enzymes in the heart and aorta. In HCASMC, Cu((II))ATSM increased expression of the Nrf2 stabilizer DJ-1, and knockdown of Nrf2 or DJ-1 attenuated Cu((II))ATSM-mediated heme oxygenase-1 and NADPH quinone oxidoreductase-1 induction. Pre-treatment of HCASMC with Cu((II))ATSM protected against the pro-oxidant effects of angiotensin II (Ang II) by attenuating superoxide generation, apoptosis, proliferation and increases in intracellular calcium. Notably, Cu((II))ATSM-mediated protection against Ang II-induced HCASMC apoptosis was diminished by Nrf2 knockdown. Acute treatment with Cu((II))ATSM enhanced the association of DJ-1 with superoxide dismutase-1 (SOD1), paralleled by significant increases in intracellular Cu((II)) levels and SOD1 activity. We describe a novel mechanism by which Cu((II))ATSM induces Nrf2-regulated antioxidant enzymes and protects against Ang II-mediated HCASMC dysfunction via activation of the Nrf2/DJ-1 axis. Cu((II))ATSM may provide a therapeutic strategy for cardioprotection via upregulation of antioxidant defenses.","author":[{"dropping-particle":"","family":"Srivastava","given":"Salil","non-dropping-particle":"","parse-names":false,"suffix":""},{"dropping-particle":"","family":"Blower","given":"Philip J.","non-dropping-particle":"","parse-names":false,"suffix":""},{"dropping-particle":"","family":"Aubdool","given":"Aisah A.","non-dropping-particle":"","parse-names":false,"suffix":""},{"dropping-particle":"","family":"Hider","given":"Robert C.","non-dropping-particle":"","parse-names":false,"suffix":""},{"dropping-particle":"","family":"Mann","given":"Giovanni E.","non-dropping-particle":"","parse-names":false,"suffix":""},{"dropping-particle":"","family":"Siow","given":"Richard C.","non-dropping-particle":"","parse-names":false,"suffix":""}],"container-title":"Scientific Reports","id":"ITEM-1","issued":{"date-parts":[["2016"]]},"title":"Cardioprotective effects of Cu (II) ATSM in human vascular smooth muscle cells and cardiomyocytes mediated by Nrf2 and DJ-1","type":"article-journal"},"uris":["http://www.mendeley.com/documents/?uuid=771ba092-3e2a-4e01-95c8-455db8ce4793"]}],"mendeley":{"formattedCitation":"(Srivastava et al., 2016)","plainTextFormattedCitation":"(Srivastava et al., 2016)","previouslyFormattedCitation":"(Srivastava et al., 2016)"},"properties":{"noteIndex":0},"schema":"https://github.com/citation-style-language/schema/raw/master/csl-citation.json"}</w:instrText>
      </w:r>
      <w:r w:rsidR="002836BE" w:rsidRPr="00CB1C44">
        <w:rPr>
          <w:rFonts w:ascii="Arial" w:hAnsi="Arial" w:cs="Arial"/>
          <w:lang w:val="en-US"/>
        </w:rPr>
        <w:fldChar w:fldCharType="separate"/>
      </w:r>
      <w:r w:rsidR="002836BE" w:rsidRPr="00CB1C44">
        <w:rPr>
          <w:rFonts w:ascii="Arial" w:hAnsi="Arial" w:cs="Arial"/>
          <w:noProof/>
          <w:lang w:val="en-US"/>
        </w:rPr>
        <w:t>(Srivastava et al., 2016)</w:t>
      </w:r>
      <w:r w:rsidR="002836BE" w:rsidRPr="00CB1C44">
        <w:rPr>
          <w:rFonts w:ascii="Arial" w:hAnsi="Arial" w:cs="Arial"/>
          <w:lang w:val="en-US"/>
        </w:rPr>
        <w:fldChar w:fldCharType="end"/>
      </w:r>
      <w:r w:rsidR="00587B44" w:rsidRPr="00CB1C44">
        <w:rPr>
          <w:rFonts w:ascii="Arial" w:hAnsi="Arial" w:cs="Arial"/>
          <w:lang w:val="en-US"/>
        </w:rPr>
        <w:t>. Thus, se</w:t>
      </w:r>
      <w:r w:rsidR="00952F76" w:rsidRPr="00CB1C44">
        <w:rPr>
          <w:rFonts w:ascii="Arial" w:hAnsi="Arial" w:cs="Arial"/>
          <w:lang w:val="en-US"/>
        </w:rPr>
        <w:t>veral</w:t>
      </w:r>
      <w:r w:rsidR="00CF131B" w:rsidRPr="00CB1C44">
        <w:rPr>
          <w:rFonts w:ascii="Arial" w:hAnsi="Arial" w:cs="Arial"/>
          <w:lang w:val="en-US"/>
        </w:rPr>
        <w:t xml:space="preserve"> clinical trials testing Nrf2 activators in NDDs </w:t>
      </w:r>
      <w:r w:rsidR="00474412" w:rsidRPr="00CB1C44">
        <w:rPr>
          <w:rFonts w:ascii="Arial" w:hAnsi="Arial" w:cs="Arial"/>
          <w:lang w:val="en-US"/>
        </w:rPr>
        <w:t>are being developed</w:t>
      </w:r>
      <w:r w:rsidR="004938FD" w:rsidRPr="00CB1C44">
        <w:rPr>
          <w:rFonts w:ascii="Arial" w:hAnsi="Arial" w:cs="Arial"/>
          <w:lang w:val="en-US"/>
        </w:rPr>
        <w:t xml:space="preserve">, </w:t>
      </w:r>
      <w:r w:rsidR="00474412" w:rsidRPr="00CB1C44">
        <w:rPr>
          <w:rFonts w:ascii="Arial" w:hAnsi="Arial" w:cs="Arial"/>
          <w:lang w:val="en-US"/>
        </w:rPr>
        <w:t>reinforcing</w:t>
      </w:r>
      <w:r w:rsidR="004938FD" w:rsidRPr="00CB1C44">
        <w:rPr>
          <w:rFonts w:ascii="Arial" w:hAnsi="Arial" w:cs="Arial"/>
          <w:lang w:val="en-US"/>
        </w:rPr>
        <w:t xml:space="preserve"> their </w:t>
      </w:r>
      <w:r w:rsidR="00474412" w:rsidRPr="00CB1C44">
        <w:rPr>
          <w:rFonts w:ascii="Arial" w:hAnsi="Arial" w:cs="Arial"/>
          <w:lang w:val="en-US"/>
        </w:rPr>
        <w:t xml:space="preserve">clear </w:t>
      </w:r>
      <w:r w:rsidR="004938FD" w:rsidRPr="00CB1C44">
        <w:rPr>
          <w:rFonts w:ascii="Arial" w:hAnsi="Arial" w:cs="Arial"/>
          <w:lang w:val="en-US"/>
        </w:rPr>
        <w:t>ut</w:t>
      </w:r>
      <w:r w:rsidR="00474412" w:rsidRPr="00CB1C44">
        <w:rPr>
          <w:rFonts w:ascii="Arial" w:hAnsi="Arial" w:cs="Arial"/>
          <w:lang w:val="en-US"/>
        </w:rPr>
        <w:t>ility and beneficial effects.</w:t>
      </w:r>
    </w:p>
    <w:p w14:paraId="60D50086" w14:textId="1C814DDB" w:rsidR="00E9721A" w:rsidRPr="00CB1C44" w:rsidRDefault="0052251A" w:rsidP="00C27117">
      <w:pPr>
        <w:spacing w:after="0" w:line="360" w:lineRule="auto"/>
        <w:jc w:val="both"/>
        <w:rPr>
          <w:rFonts w:ascii="Arial" w:hAnsi="Arial" w:cs="Arial"/>
          <w:lang w:val="en-US"/>
        </w:rPr>
      </w:pPr>
      <w:r w:rsidRPr="00CB1C44">
        <w:rPr>
          <w:rFonts w:ascii="Arial" w:hAnsi="Arial" w:cs="Arial"/>
          <w:lang w:val="en-US"/>
        </w:rPr>
        <w:t>Considering that</w:t>
      </w:r>
      <w:r w:rsidR="00FB77E2" w:rsidRPr="00CB1C44">
        <w:rPr>
          <w:rFonts w:ascii="Arial" w:hAnsi="Arial" w:cs="Arial"/>
          <w:lang w:val="en-US"/>
        </w:rPr>
        <w:t xml:space="preserve"> </w:t>
      </w:r>
      <w:r w:rsidR="004A0F60" w:rsidRPr="00CB1C44">
        <w:rPr>
          <w:rFonts w:ascii="Arial" w:hAnsi="Arial" w:cs="Arial"/>
          <w:lang w:val="en-US"/>
        </w:rPr>
        <w:t xml:space="preserve">augmented oxidative stress, inflammation and </w:t>
      </w:r>
      <w:r w:rsidR="00FB77E2" w:rsidRPr="00CB1C44">
        <w:rPr>
          <w:rFonts w:ascii="Arial" w:hAnsi="Arial" w:cs="Arial"/>
          <w:lang w:val="en-US"/>
        </w:rPr>
        <w:t xml:space="preserve">Nrf2 deregulation </w:t>
      </w:r>
      <w:r w:rsidRPr="00CB1C44">
        <w:rPr>
          <w:rFonts w:ascii="Arial" w:hAnsi="Arial" w:cs="Arial"/>
          <w:lang w:val="en-US"/>
        </w:rPr>
        <w:t>are common degenerative pathways in NDD</w:t>
      </w:r>
      <w:r w:rsidR="00F7760A" w:rsidRPr="00CB1C44">
        <w:rPr>
          <w:rFonts w:ascii="Arial" w:hAnsi="Arial" w:cs="Arial"/>
          <w:lang w:val="en-US"/>
        </w:rPr>
        <w:t>,</w:t>
      </w:r>
      <w:r w:rsidR="004A0F60" w:rsidRPr="00CB1C44">
        <w:rPr>
          <w:rFonts w:ascii="Arial" w:hAnsi="Arial" w:cs="Arial"/>
          <w:lang w:val="en-US"/>
        </w:rPr>
        <w:t xml:space="preserve"> result</w:t>
      </w:r>
      <w:r w:rsidRPr="00CB1C44">
        <w:rPr>
          <w:rFonts w:ascii="Arial" w:hAnsi="Arial" w:cs="Arial"/>
          <w:lang w:val="en-US"/>
        </w:rPr>
        <w:t>ing</w:t>
      </w:r>
      <w:r w:rsidR="004A0F60" w:rsidRPr="00CB1C44">
        <w:rPr>
          <w:rFonts w:ascii="Arial" w:hAnsi="Arial" w:cs="Arial"/>
          <w:lang w:val="en-US"/>
        </w:rPr>
        <w:t xml:space="preserve"> in impaired neuronal function and death, strategies to combat th</w:t>
      </w:r>
      <w:r w:rsidRPr="00CB1C44">
        <w:rPr>
          <w:rFonts w:ascii="Arial" w:hAnsi="Arial" w:cs="Arial"/>
          <w:lang w:val="en-US"/>
        </w:rPr>
        <w:t>ese</w:t>
      </w:r>
      <w:r w:rsidR="004A0F60" w:rsidRPr="00CB1C44">
        <w:rPr>
          <w:rFonts w:ascii="Arial" w:hAnsi="Arial" w:cs="Arial"/>
          <w:lang w:val="en-US"/>
        </w:rPr>
        <w:t xml:space="preserve"> NDD features</w:t>
      </w:r>
      <w:r w:rsidRPr="00CB1C44">
        <w:rPr>
          <w:rFonts w:ascii="Arial" w:hAnsi="Arial" w:cs="Arial"/>
          <w:lang w:val="en-US"/>
        </w:rPr>
        <w:t xml:space="preserve"> may likely encompass</w:t>
      </w:r>
      <w:r w:rsidR="00C27117" w:rsidRPr="00CB1C44">
        <w:rPr>
          <w:rFonts w:ascii="Arial" w:hAnsi="Arial" w:cs="Arial"/>
          <w:lang w:val="en-US"/>
        </w:rPr>
        <w:t xml:space="preserve"> modulating</w:t>
      </w:r>
      <w:r w:rsidR="004A0F60" w:rsidRPr="00CB1C44">
        <w:rPr>
          <w:rFonts w:ascii="Arial" w:hAnsi="Arial" w:cs="Arial"/>
          <w:lang w:val="en-US"/>
        </w:rPr>
        <w:t xml:space="preserve"> Nrf2-regulator</w:t>
      </w:r>
      <w:r w:rsidRPr="00CB1C44">
        <w:rPr>
          <w:rFonts w:ascii="Arial" w:hAnsi="Arial" w:cs="Arial"/>
          <w:lang w:val="en-US"/>
        </w:rPr>
        <w:t>y</w:t>
      </w:r>
      <w:r w:rsidR="004A0F60" w:rsidRPr="00CB1C44">
        <w:rPr>
          <w:rFonts w:ascii="Arial" w:hAnsi="Arial" w:cs="Arial"/>
          <w:lang w:val="en-US"/>
        </w:rPr>
        <w:t xml:space="preserve"> pathways, </w:t>
      </w:r>
      <w:r w:rsidRPr="00CB1C44">
        <w:rPr>
          <w:rFonts w:ascii="Arial" w:hAnsi="Arial" w:cs="Arial"/>
          <w:lang w:val="en-US"/>
        </w:rPr>
        <w:t xml:space="preserve">namely </w:t>
      </w:r>
      <w:r w:rsidR="004A0F60" w:rsidRPr="00CB1C44">
        <w:rPr>
          <w:rFonts w:ascii="Arial" w:hAnsi="Arial" w:cs="Arial"/>
          <w:lang w:val="en-US"/>
        </w:rPr>
        <w:t>PI3K/</w:t>
      </w:r>
      <w:proofErr w:type="spellStart"/>
      <w:r w:rsidR="0026569F" w:rsidRPr="00CB1C44">
        <w:rPr>
          <w:rFonts w:ascii="Arial" w:hAnsi="Arial" w:cs="Arial"/>
          <w:lang w:val="en-US"/>
        </w:rPr>
        <w:t>Akt</w:t>
      </w:r>
      <w:proofErr w:type="spellEnd"/>
      <w:r w:rsidR="004A0F60" w:rsidRPr="00CB1C44">
        <w:rPr>
          <w:rFonts w:ascii="Arial" w:hAnsi="Arial" w:cs="Arial"/>
          <w:lang w:val="en-US"/>
        </w:rPr>
        <w:t>/GSK-3β or NF-kB pathways</w:t>
      </w:r>
      <w:r w:rsidRPr="00CB1C44">
        <w:rPr>
          <w:rFonts w:ascii="Arial" w:hAnsi="Arial" w:cs="Arial"/>
          <w:lang w:val="en-US"/>
        </w:rPr>
        <w:t xml:space="preserve">. In this perspective, </w:t>
      </w:r>
      <w:r w:rsidR="00FB77E2" w:rsidRPr="00CB1C44">
        <w:rPr>
          <w:rFonts w:ascii="Arial" w:hAnsi="Arial" w:cs="Arial"/>
          <w:lang w:val="en-US"/>
        </w:rPr>
        <w:t>targeting of Nrf2</w:t>
      </w:r>
      <w:r w:rsidR="00E82B2E" w:rsidRPr="00CB1C44">
        <w:rPr>
          <w:rFonts w:ascii="Arial" w:hAnsi="Arial" w:cs="Arial"/>
          <w:lang w:val="en-US"/>
        </w:rPr>
        <w:t>,</w:t>
      </w:r>
      <w:r w:rsidR="0076007E" w:rsidRPr="00CB1C44">
        <w:rPr>
          <w:rFonts w:ascii="Arial" w:hAnsi="Arial" w:cs="Arial"/>
          <w:lang w:val="en-US"/>
        </w:rPr>
        <w:t xml:space="preserve"> or its modulators</w:t>
      </w:r>
      <w:r w:rsidR="00E82B2E" w:rsidRPr="00CB1C44">
        <w:rPr>
          <w:rFonts w:ascii="Arial" w:hAnsi="Arial" w:cs="Arial"/>
          <w:lang w:val="en-US"/>
        </w:rPr>
        <w:t>,</w:t>
      </w:r>
      <w:r w:rsidR="00FB77E2" w:rsidRPr="00CB1C44">
        <w:rPr>
          <w:rFonts w:ascii="Arial" w:hAnsi="Arial" w:cs="Arial"/>
          <w:lang w:val="en-US"/>
        </w:rPr>
        <w:t xml:space="preserve"> may represent “universal” early therapeutic</w:t>
      </w:r>
      <w:r w:rsidRPr="00CB1C44">
        <w:rPr>
          <w:rFonts w:ascii="Arial" w:hAnsi="Arial" w:cs="Arial"/>
          <w:lang w:val="en-US"/>
        </w:rPr>
        <w:t>s</w:t>
      </w:r>
      <w:r w:rsidR="00FB77E2" w:rsidRPr="00CB1C44">
        <w:rPr>
          <w:rFonts w:ascii="Arial" w:hAnsi="Arial" w:cs="Arial"/>
          <w:lang w:val="en-US"/>
        </w:rPr>
        <w:t xml:space="preserve"> for </w:t>
      </w:r>
      <w:r w:rsidR="009B4A6A" w:rsidRPr="00CB1C44">
        <w:rPr>
          <w:rFonts w:ascii="Arial" w:hAnsi="Arial" w:cs="Arial"/>
          <w:lang w:val="en-US"/>
        </w:rPr>
        <w:t xml:space="preserve">age-dependent </w:t>
      </w:r>
      <w:r w:rsidR="00FB77E2" w:rsidRPr="00CB1C44">
        <w:rPr>
          <w:rFonts w:ascii="Arial" w:hAnsi="Arial" w:cs="Arial"/>
          <w:lang w:val="en-US"/>
        </w:rPr>
        <w:t>NDD</w:t>
      </w:r>
      <w:r w:rsidRPr="00CB1C44">
        <w:rPr>
          <w:rFonts w:ascii="Arial" w:hAnsi="Arial" w:cs="Arial"/>
          <w:lang w:val="en-US"/>
        </w:rPr>
        <w:t>, AD and PD</w:t>
      </w:r>
      <w:r w:rsidR="00FB77E2" w:rsidRPr="00CB1C44">
        <w:rPr>
          <w:rFonts w:ascii="Arial" w:hAnsi="Arial" w:cs="Arial"/>
          <w:lang w:val="en-US"/>
        </w:rPr>
        <w:t xml:space="preserve">. </w:t>
      </w:r>
    </w:p>
    <w:p w14:paraId="4415060B" w14:textId="0E2CA445" w:rsidR="006E1DD6" w:rsidRPr="00CB1C44" w:rsidRDefault="006E1DD6" w:rsidP="004038B5">
      <w:pPr>
        <w:spacing w:after="0" w:line="360" w:lineRule="auto"/>
        <w:jc w:val="both"/>
        <w:rPr>
          <w:rFonts w:ascii="Arial" w:hAnsi="Arial" w:cs="Arial"/>
          <w:lang w:val="en-US"/>
        </w:rPr>
      </w:pPr>
    </w:p>
    <w:p w14:paraId="61A69493" w14:textId="77777777" w:rsidR="00D804CD" w:rsidRPr="00CB1C44" w:rsidRDefault="00D804CD" w:rsidP="004038B5">
      <w:pPr>
        <w:spacing w:after="0" w:line="360" w:lineRule="auto"/>
        <w:jc w:val="both"/>
        <w:rPr>
          <w:rFonts w:ascii="Arial" w:hAnsi="Arial" w:cs="Arial"/>
          <w:lang w:val="en-US"/>
        </w:rPr>
      </w:pPr>
    </w:p>
    <w:p w14:paraId="721EA710" w14:textId="2CDAB9EE" w:rsidR="00D804CD" w:rsidRPr="00CB1C44" w:rsidRDefault="00D804CD" w:rsidP="004038B5">
      <w:pPr>
        <w:spacing w:after="0" w:line="360" w:lineRule="auto"/>
        <w:jc w:val="both"/>
        <w:rPr>
          <w:rFonts w:ascii="Arial" w:hAnsi="Arial" w:cs="Arial"/>
          <w:lang w:val="en-US"/>
        </w:rPr>
      </w:pPr>
    </w:p>
    <w:p w14:paraId="5E1BB7E0" w14:textId="77777777" w:rsidR="004B5EFA" w:rsidRPr="00CB1C44" w:rsidRDefault="004B5EFA" w:rsidP="004038B5">
      <w:pPr>
        <w:spacing w:after="0" w:line="360" w:lineRule="auto"/>
        <w:jc w:val="both"/>
        <w:rPr>
          <w:rFonts w:ascii="Arial" w:hAnsi="Arial" w:cs="Arial"/>
          <w:lang w:val="en-US"/>
        </w:rPr>
      </w:pPr>
    </w:p>
    <w:p w14:paraId="7F451AF8" w14:textId="77777777" w:rsidR="00D8690B" w:rsidRPr="00CB1C44" w:rsidRDefault="00D8690B" w:rsidP="00D8690B">
      <w:pPr>
        <w:spacing w:line="360" w:lineRule="auto"/>
        <w:rPr>
          <w:rFonts w:ascii="Arial" w:hAnsi="Arial" w:cs="Arial"/>
          <w:lang w:val="en-US"/>
        </w:rPr>
      </w:pPr>
      <w:r w:rsidRPr="00CB1C44">
        <w:rPr>
          <w:rFonts w:ascii="Arial" w:hAnsi="Arial" w:cs="Arial"/>
          <w:b/>
          <w:lang w:val="en-US"/>
        </w:rPr>
        <w:t>Acknowledgments</w:t>
      </w:r>
    </w:p>
    <w:p w14:paraId="739F7CEA" w14:textId="0F2B29FD" w:rsidR="00D8690B" w:rsidRPr="00CB1C44" w:rsidRDefault="00D8690B" w:rsidP="00D8690B">
      <w:pPr>
        <w:spacing w:line="360" w:lineRule="auto"/>
        <w:jc w:val="both"/>
        <w:rPr>
          <w:rFonts w:ascii="Arial" w:hAnsi="Arial" w:cs="Arial"/>
          <w:lang w:val="en-US"/>
        </w:rPr>
      </w:pPr>
      <w:r w:rsidRPr="00CB1C44">
        <w:rPr>
          <w:rFonts w:ascii="Arial" w:hAnsi="Arial" w:cs="Arial"/>
          <w:lang w:val="en-US"/>
        </w:rPr>
        <w:t xml:space="preserve">This work was financed by the European Regional Development Fund (ERDF), through Centro 2020 Regional Operational </w:t>
      </w:r>
      <w:proofErr w:type="spellStart"/>
      <w:r w:rsidRPr="00CB1C44">
        <w:rPr>
          <w:rFonts w:ascii="Arial" w:hAnsi="Arial" w:cs="Arial"/>
          <w:lang w:val="en-US"/>
        </w:rPr>
        <w:t>Programme</w:t>
      </w:r>
      <w:proofErr w:type="spellEnd"/>
      <w:r w:rsidRPr="00CB1C44">
        <w:rPr>
          <w:rFonts w:ascii="Arial" w:hAnsi="Arial" w:cs="Arial"/>
          <w:lang w:val="en-US"/>
        </w:rPr>
        <w:t xml:space="preserve">: project CENTRO-01-0145-FEDER-000012-HealthyAging2020, the COMPETE 2020-Operational </w:t>
      </w:r>
      <w:proofErr w:type="spellStart"/>
      <w:r w:rsidRPr="00CB1C44">
        <w:rPr>
          <w:rFonts w:ascii="Arial" w:hAnsi="Arial" w:cs="Arial"/>
          <w:lang w:val="en-US"/>
        </w:rPr>
        <w:t>Programme</w:t>
      </w:r>
      <w:proofErr w:type="spellEnd"/>
      <w:r w:rsidRPr="00CB1C44">
        <w:rPr>
          <w:rFonts w:ascii="Arial" w:hAnsi="Arial" w:cs="Arial"/>
          <w:lang w:val="en-US"/>
        </w:rPr>
        <w:t xml:space="preserve"> for Competitiveness and </w:t>
      </w:r>
      <w:proofErr w:type="spellStart"/>
      <w:r w:rsidRPr="00CB1C44">
        <w:rPr>
          <w:rFonts w:ascii="Arial" w:hAnsi="Arial" w:cs="Arial"/>
          <w:lang w:val="en-US"/>
        </w:rPr>
        <w:t>Internationalisation</w:t>
      </w:r>
      <w:proofErr w:type="spellEnd"/>
      <w:r w:rsidRPr="00CB1C44">
        <w:rPr>
          <w:rFonts w:ascii="Arial" w:hAnsi="Arial" w:cs="Arial"/>
          <w:lang w:val="en-US"/>
        </w:rPr>
        <w:t xml:space="preserve"> and Portuguese national funds via FCT – </w:t>
      </w:r>
      <w:proofErr w:type="spellStart"/>
      <w:r w:rsidRPr="00CB1C44">
        <w:rPr>
          <w:rFonts w:ascii="Arial" w:hAnsi="Arial" w:cs="Arial"/>
          <w:lang w:val="en-US"/>
        </w:rPr>
        <w:t>Fundação</w:t>
      </w:r>
      <w:proofErr w:type="spellEnd"/>
      <w:r w:rsidRPr="00CB1C44">
        <w:rPr>
          <w:rFonts w:ascii="Arial" w:hAnsi="Arial" w:cs="Arial"/>
          <w:lang w:val="en-US"/>
        </w:rPr>
        <w:t xml:space="preserve"> para a </w:t>
      </w:r>
      <w:proofErr w:type="spellStart"/>
      <w:r w:rsidRPr="00CB1C44">
        <w:rPr>
          <w:rFonts w:ascii="Arial" w:hAnsi="Arial" w:cs="Arial"/>
          <w:lang w:val="en-US"/>
        </w:rPr>
        <w:t>Ciência</w:t>
      </w:r>
      <w:proofErr w:type="spellEnd"/>
      <w:r w:rsidRPr="00CB1C44">
        <w:rPr>
          <w:rFonts w:ascii="Arial" w:hAnsi="Arial" w:cs="Arial"/>
          <w:lang w:val="en-US"/>
        </w:rPr>
        <w:t xml:space="preserve"> e a </w:t>
      </w:r>
      <w:proofErr w:type="spellStart"/>
      <w:r w:rsidRPr="00CB1C44">
        <w:rPr>
          <w:rFonts w:ascii="Arial" w:hAnsi="Arial" w:cs="Arial"/>
          <w:lang w:val="en-US"/>
        </w:rPr>
        <w:t>Tecnologia</w:t>
      </w:r>
      <w:proofErr w:type="spellEnd"/>
      <w:r w:rsidRPr="00CB1C44">
        <w:rPr>
          <w:rFonts w:ascii="Arial" w:hAnsi="Arial" w:cs="Arial"/>
          <w:lang w:val="en-US"/>
        </w:rPr>
        <w:t>, I.P.: project POCI-01-0145-FEDER-007440</w:t>
      </w:r>
      <w:r w:rsidR="009310A8">
        <w:rPr>
          <w:rFonts w:ascii="Arial" w:hAnsi="Arial" w:cs="Arial"/>
          <w:lang w:val="en-US"/>
        </w:rPr>
        <w:t xml:space="preserve">, </w:t>
      </w:r>
      <w:r w:rsidR="009310A8" w:rsidRPr="009310A8">
        <w:rPr>
          <w:rFonts w:ascii="Arial" w:hAnsi="Arial" w:cs="Arial"/>
          <w:lang w:val="en-US"/>
        </w:rPr>
        <w:t>POCI-01-0145-FEDER-032316</w:t>
      </w:r>
      <w:r w:rsidR="009310A8">
        <w:rPr>
          <w:rFonts w:ascii="Arial" w:hAnsi="Arial" w:cs="Arial"/>
          <w:lang w:val="en-US"/>
        </w:rPr>
        <w:t xml:space="preserve"> </w:t>
      </w:r>
      <w:r w:rsidRPr="00CB1C44">
        <w:rPr>
          <w:rFonts w:ascii="Arial" w:hAnsi="Arial" w:cs="Arial"/>
          <w:lang w:val="en-US"/>
        </w:rPr>
        <w:t>and FCT post-doctoral fellowship reference SFRH/BPD/99219/2013.</w:t>
      </w:r>
    </w:p>
    <w:p w14:paraId="43A00769" w14:textId="77777777" w:rsidR="004B5EFA" w:rsidRPr="00CB1C44" w:rsidRDefault="004B5EFA" w:rsidP="00D8690B">
      <w:pPr>
        <w:spacing w:line="360" w:lineRule="auto"/>
        <w:jc w:val="both"/>
        <w:rPr>
          <w:rFonts w:ascii="Arial" w:hAnsi="Arial" w:cs="Arial"/>
          <w:lang w:val="en-US"/>
        </w:rPr>
      </w:pPr>
      <w:bookmarkStart w:id="1" w:name="_GoBack"/>
      <w:bookmarkEnd w:id="1"/>
    </w:p>
    <w:p w14:paraId="48881977" w14:textId="77777777" w:rsidR="00D8690B" w:rsidRPr="00CB1C44" w:rsidRDefault="00D8690B" w:rsidP="00D8690B">
      <w:pPr>
        <w:spacing w:line="360" w:lineRule="auto"/>
        <w:jc w:val="both"/>
        <w:outlineLvl w:val="0"/>
        <w:rPr>
          <w:rFonts w:ascii="Arial" w:hAnsi="Arial" w:cs="Arial"/>
          <w:lang w:val="en-US"/>
        </w:rPr>
      </w:pPr>
      <w:r w:rsidRPr="00CB1C44">
        <w:rPr>
          <w:rFonts w:ascii="Arial" w:hAnsi="Arial" w:cs="Arial"/>
          <w:b/>
          <w:lang w:val="en-US"/>
        </w:rPr>
        <w:t>Conflict of Interest:</w:t>
      </w:r>
      <w:r w:rsidRPr="00CB1C44">
        <w:rPr>
          <w:rFonts w:ascii="Arial" w:hAnsi="Arial" w:cs="Arial"/>
          <w:lang w:val="en-US"/>
        </w:rPr>
        <w:t xml:space="preserve"> The authors declare no competing financial interests or any conflict of interest.</w:t>
      </w:r>
    </w:p>
    <w:p w14:paraId="79E2723A" w14:textId="77777777" w:rsidR="00D8690B" w:rsidRPr="00CB1C44" w:rsidRDefault="00D8690B" w:rsidP="004038B5">
      <w:pPr>
        <w:spacing w:after="0" w:line="360" w:lineRule="auto"/>
        <w:jc w:val="both"/>
        <w:rPr>
          <w:rFonts w:ascii="Arial" w:hAnsi="Arial" w:cs="Arial"/>
          <w:lang w:val="en-US"/>
        </w:rPr>
      </w:pPr>
    </w:p>
    <w:p w14:paraId="140B3CEA" w14:textId="77777777" w:rsidR="00D804CD" w:rsidRPr="00CB1C44" w:rsidRDefault="00D804CD">
      <w:pPr>
        <w:rPr>
          <w:rFonts w:ascii="Arial" w:hAnsi="Arial" w:cs="Arial"/>
          <w:b/>
          <w:szCs w:val="20"/>
          <w:lang w:val="en-US"/>
        </w:rPr>
      </w:pPr>
      <w:r w:rsidRPr="00CB1C44">
        <w:rPr>
          <w:rFonts w:ascii="Arial" w:hAnsi="Arial" w:cs="Arial"/>
          <w:b/>
          <w:szCs w:val="20"/>
          <w:lang w:val="en-US"/>
        </w:rPr>
        <w:br w:type="page"/>
      </w:r>
    </w:p>
    <w:p w14:paraId="15D08B9D" w14:textId="0BE9666E" w:rsidR="00D8690B" w:rsidRPr="00CB1C44" w:rsidRDefault="00D8690B" w:rsidP="00DD645C">
      <w:pPr>
        <w:jc w:val="both"/>
        <w:outlineLvl w:val="0"/>
        <w:rPr>
          <w:rFonts w:ascii="Arial" w:hAnsi="Arial" w:cs="Arial"/>
          <w:b/>
          <w:sz w:val="20"/>
          <w:szCs w:val="20"/>
        </w:rPr>
      </w:pPr>
      <w:proofErr w:type="spellStart"/>
      <w:r w:rsidRPr="00CB1C44">
        <w:rPr>
          <w:rFonts w:ascii="Arial" w:hAnsi="Arial" w:cs="Arial"/>
          <w:b/>
          <w:sz w:val="20"/>
          <w:szCs w:val="20"/>
        </w:rPr>
        <w:lastRenderedPageBreak/>
        <w:t>References</w:t>
      </w:r>
      <w:proofErr w:type="spellEnd"/>
      <w:r w:rsidRPr="00CB1C44">
        <w:rPr>
          <w:rFonts w:ascii="Arial" w:hAnsi="Arial" w:cs="Arial"/>
          <w:b/>
          <w:sz w:val="20"/>
          <w:szCs w:val="20"/>
        </w:rPr>
        <w:t xml:space="preserve"> </w:t>
      </w:r>
    </w:p>
    <w:p w14:paraId="2A9BBD9F" w14:textId="22178C12" w:rsidR="00F81BD2" w:rsidRPr="00CB1C44" w:rsidRDefault="00475094"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hAnsi="Arial" w:cs="Arial"/>
          <w:sz w:val="20"/>
          <w:szCs w:val="20"/>
          <w:lang w:val="en-US"/>
        </w:rPr>
        <w:fldChar w:fldCharType="begin" w:fldLock="1"/>
      </w:r>
      <w:r w:rsidRPr="00CB1C44">
        <w:rPr>
          <w:rFonts w:ascii="Arial" w:hAnsi="Arial" w:cs="Arial"/>
          <w:sz w:val="20"/>
          <w:szCs w:val="20"/>
        </w:rPr>
        <w:instrText xml:space="preserve">ADDIN Mendeley Bibliography CSL_BIBLIOGRAPHY </w:instrText>
      </w:r>
      <w:r w:rsidRPr="00CB1C44">
        <w:rPr>
          <w:rFonts w:ascii="Arial" w:hAnsi="Arial" w:cs="Arial"/>
          <w:sz w:val="20"/>
          <w:szCs w:val="20"/>
          <w:lang w:val="en-US"/>
        </w:rPr>
        <w:fldChar w:fldCharType="separate"/>
      </w:r>
      <w:r w:rsidR="00F81BD2" w:rsidRPr="00CB1C44">
        <w:rPr>
          <w:rFonts w:ascii="Arial" w:eastAsia="Times New Roman" w:hAnsi="Arial" w:cs="Arial"/>
          <w:noProof/>
          <w:sz w:val="20"/>
        </w:rPr>
        <w:t xml:space="preserve">Abdelsalam, R.M., Safar, M.M., 2015. </w:t>
      </w:r>
      <w:r w:rsidR="00F81BD2" w:rsidRPr="00CB1C44">
        <w:rPr>
          <w:rFonts w:ascii="Arial" w:eastAsia="Times New Roman" w:hAnsi="Arial" w:cs="Arial"/>
          <w:noProof/>
          <w:sz w:val="20"/>
          <w:lang w:val="en-US"/>
        </w:rPr>
        <w:t>Neuroprotective effects of vildagliptin in rat rotenone Parkinson’s disease model: role of RAGE-NF</w:t>
      </w:r>
      <w:r w:rsidR="00F81BD2" w:rsidRPr="00CB1C44">
        <w:rPr>
          <w:rFonts w:ascii="Arial" w:eastAsia="Times New Roman" w:hAnsi="Arial" w:cs="Arial"/>
          <w:noProof/>
          <w:sz w:val="20"/>
        </w:rPr>
        <w:t>κ</w:t>
      </w:r>
      <w:r w:rsidR="00F81BD2" w:rsidRPr="00CB1C44">
        <w:rPr>
          <w:rFonts w:ascii="Arial" w:eastAsia="Times New Roman" w:hAnsi="Arial" w:cs="Arial"/>
          <w:noProof/>
          <w:sz w:val="20"/>
          <w:lang w:val="en-US"/>
        </w:rPr>
        <w:t xml:space="preserve">B and Nrf2-antioxidant signaling pathways. </w:t>
      </w:r>
      <w:r w:rsidR="00F81BD2" w:rsidRPr="00CB1C44">
        <w:rPr>
          <w:rFonts w:ascii="Arial" w:eastAsia="Times New Roman" w:hAnsi="Arial" w:cs="Arial"/>
          <w:noProof/>
          <w:sz w:val="20"/>
        </w:rPr>
        <w:t>J. Neurochem. 133, 700–7. https://doi.org/10.1111/jnc.13087</w:t>
      </w:r>
    </w:p>
    <w:p w14:paraId="33C6342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Aguiar, A.S., Duzzioni, M., Remor, A.P., Tristão, F.S.M., Matheus, F.C., Raisman-Vozari, R., Latini, A., Prediger, R.D., 2016. </w:t>
      </w:r>
      <w:r w:rsidRPr="00CB1C44">
        <w:rPr>
          <w:rFonts w:ascii="Arial" w:eastAsia="Times New Roman" w:hAnsi="Arial" w:cs="Arial"/>
          <w:noProof/>
          <w:sz w:val="20"/>
          <w:lang w:val="en-US"/>
        </w:rPr>
        <w:t>Moderate-intensity physical exercise protects against experimental 6-hydroxydopamine-induced hemiparkinsonism through Nrf2-antioxidant response element pathway. Neurochem. Res. https://doi.org/10.1007/s11064-015-1709-8</w:t>
      </w:r>
    </w:p>
    <w:p w14:paraId="55CADF1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Ahuja, M., Ammal Kaidery, N., Yang, L., Calingasan, N., Smirnova, N., Gaisin, A., Gaisina, I.N., Gazaryan, I., Hushpulian, D.M., Kaddour-Djebbar, I., Bollag, W.B., Morgan, J.C., Ratan, R.R., Starkov, A.A., Beal, M.F., Thomas, B., 2016. Distinct Nrf2 Signaling Mechanisms of Fumaric Acid Esters and Their Role in Neuroprotection against 1-Methyl-4-Phenyl-1,2,3,6-Tetrahydropyridine-Induced Experimental Parkinson’s-Like Disease. J. Neurosci. https://doi.org/10.1523/JNEUROSCI.0426-16.2016</w:t>
      </w:r>
    </w:p>
    <w:p w14:paraId="62DDF81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Alam, Z.I., Daniel, S.E., Lees, A.J., Marsden, D.C., Jenner, P., Halliwell, B., 2002. A Generalised Increase in Protein Carbonyls in the Brain in Parkinson’s but Not Incidental Lewy Body Disease. J. Neurochem. 69, 1326–1329. https://doi.org/10.1046/j.1471-4159.1997.69031326.x</w:t>
      </w:r>
    </w:p>
    <w:p w14:paraId="78831F5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Ali, T., Kim, T., Rehman, S.U., Khan, M.S., Amin, F.U., Khan, M., Ikram, M., Kim, M.O., 2018. Natural Dietary Supplementation of Anthocyanins via PI3K/Akt/Nrf2/HO-1 Pathways Mitigate Oxidative Stress, Neurodegeneration, and Memory Impairment in a Mouse Model of Alzheimer’s Disease. Mol. Neurobiol. 55, 6076–6093. https://doi.org/10.1007/s12035-017-0798-6</w:t>
      </w:r>
    </w:p>
    <w:p w14:paraId="5955FAA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Alural, B., Ozerdem, A., Allmer, J., Genc, K., Genc, S., 2015. Lithium protects against paraquat neurotoxicity by NRF2 activation and miR-34a inhibition in SH-SY5Y cells. Front. Cell. Neurosci. 9, 209. https://doi.org/10.3389/fncel.2015.00209</w:t>
      </w:r>
    </w:p>
    <w:p w14:paraId="527F00B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Alves, G., Forsaa, E.B., Pedersen, K.F., Dreetz Gjerstad, M., Larsen, J.P., 2008. Epidemiology of Parkinson’s disease, in: Journal of Neurology. pp. 18–32. https://doi.org/10.1007/s00415-008-5004-3</w:t>
      </w:r>
    </w:p>
    <w:p w14:paraId="6D4A361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Amin, F.U., Shah, S.A., Badshah, H., Khan, M., Kim, M.O., 2017a. Anthocyanins encapsulated by PLGA@PEG nanoparticles potentially improved its free radical scavenging capabilities via p38/JNK pathway against A</w:t>
      </w:r>
      <w:r w:rsidRPr="00CB1C44">
        <w:rPr>
          <w:rFonts w:ascii="Arial" w:eastAsia="Times New Roman" w:hAnsi="Arial" w:cs="Arial"/>
          <w:noProof/>
          <w:sz w:val="20"/>
        </w:rPr>
        <w:t>β</w:t>
      </w:r>
      <w:r w:rsidRPr="00CB1C44">
        <w:rPr>
          <w:rFonts w:ascii="Arial" w:eastAsia="Times New Roman" w:hAnsi="Arial" w:cs="Arial"/>
          <w:noProof/>
          <w:sz w:val="20"/>
          <w:lang w:val="en-US"/>
        </w:rPr>
        <w:t>1-42-induced oxidative stress. J. Nanobiotechnology 15. https://doi.org/10.1186/s12951-016-0227-4</w:t>
      </w:r>
    </w:p>
    <w:p w14:paraId="530A7F4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Amin, F.U., Shah, S.A., Kim, M.O., 2017b. Vanillic acid attenuates A</w:t>
      </w:r>
      <w:r w:rsidRPr="00CB1C44">
        <w:rPr>
          <w:rFonts w:ascii="Arial" w:eastAsia="Times New Roman" w:hAnsi="Arial" w:cs="Arial"/>
          <w:noProof/>
          <w:sz w:val="20"/>
        </w:rPr>
        <w:t>β</w:t>
      </w:r>
      <w:r w:rsidRPr="00CB1C44">
        <w:rPr>
          <w:rFonts w:ascii="Arial" w:eastAsia="Times New Roman" w:hAnsi="Arial" w:cs="Arial"/>
          <w:noProof/>
          <w:sz w:val="20"/>
          <w:lang w:val="en-US"/>
        </w:rPr>
        <w:t>1-42-induced oxidative stress and cognitive impairment in mice. Sci. Rep. 7, 40753. https://doi.org/10.1038/srep40753</w:t>
      </w:r>
    </w:p>
    <w:p w14:paraId="54C2908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Andersen, J.K., 2004. Oxidative stress in neurodegeneration: cause or consequence? Nat. Med. 10 Suppl, S18-25. https://doi.org/10.1038/nrn1434\rnrn1434 [pii]</w:t>
      </w:r>
    </w:p>
    <w:p w14:paraId="47305A6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Anderson, G., Maes, M., 2014. Neurodegeneration in Parkinson’s disease: Interactions of oxidative stress, tryptophan catabolites and depression with mitochondria and sirtuins. Mol. Neurobiol. https://doi.org/10.1007/s12035-013-8554-z</w:t>
      </w:r>
    </w:p>
    <w:p w14:paraId="2509BBF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Apopa, P.L., He, X., Ma, Q., 2008. Phosphorylation of Nrf2 in the transcription activation domain by casein kinase 2 (CK2) is critical for the nuclear translocation and transcription activation function of Nrf2 in IMR-32 neuroblastoma cells. J. Biochem. Mol. Toxicol. 22, 63–76. https://doi.org/10.1002/jbt.20212</w:t>
      </w:r>
    </w:p>
    <w:p w14:paraId="017D180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Aslan, M., Ozben, T., 2004. Reactive oxygen and nitrogen species in Alzheimer’s disease. Curr. Alzheimer Res. 1, 111–119. https://doi.org/10.2174/1567205043332162</w:t>
      </w:r>
    </w:p>
    <w:p w14:paraId="370F6C7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Bach, J.-P., Mengel, D., Wahle, T., Kautz, A., Balzer-Geldsetzer, M., Al-Abed, Y., Dodel, R., Bacher, M., 2011. The role of CNI-1493 in the function of primary microglia with respect to amyloid-</w:t>
      </w:r>
      <w:r w:rsidRPr="00CB1C44">
        <w:rPr>
          <w:rFonts w:ascii="Arial" w:eastAsia="Times New Roman" w:hAnsi="Arial" w:cs="Arial"/>
          <w:noProof/>
          <w:sz w:val="20"/>
        </w:rPr>
        <w:t>β</w:t>
      </w:r>
      <w:r w:rsidRPr="00CB1C44">
        <w:rPr>
          <w:rFonts w:ascii="Arial" w:eastAsia="Times New Roman" w:hAnsi="Arial" w:cs="Arial"/>
          <w:noProof/>
          <w:sz w:val="20"/>
          <w:lang w:val="en-US"/>
        </w:rPr>
        <w:t>. J. Alzheimers. Dis. 26, 69–80. https://doi.org/10.3233/JAD-2011-110179</w:t>
      </w:r>
    </w:p>
    <w:p w14:paraId="65C17D6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Bacher, M., Dodel, R., Aljabari, B., Keyvani, K., Marambaud, P., Kayed, R., Glabe, C., Goertz, N., Hoppmann, A., Sachser, N., Klotsche, J., Schnell, S., Lewejohann, L., Al-Abed, Y., 2008. CNI-1493 inhibits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production, plaque formation, and cognitive deterioration in an animal model of Alzheimer’s disease. </w:t>
      </w:r>
      <w:r w:rsidRPr="00CB1C44">
        <w:rPr>
          <w:rFonts w:ascii="Arial" w:eastAsia="Times New Roman" w:hAnsi="Arial" w:cs="Arial"/>
          <w:noProof/>
          <w:sz w:val="20"/>
        </w:rPr>
        <w:t>J. Exp. Med. 205, 1593–1599. https://doi.org/10.1084/jem.20060467</w:t>
      </w:r>
    </w:p>
    <w:p w14:paraId="4AF4D21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Baldeiras, I., Santana, I., Proença, M.T., Garrucho, M.H., Pascoal, R., Rodrigues, A., Duro, D., Oliveira, C.R., 2008. </w:t>
      </w:r>
      <w:r w:rsidRPr="00CB1C44">
        <w:rPr>
          <w:rFonts w:ascii="Arial" w:eastAsia="Times New Roman" w:hAnsi="Arial" w:cs="Arial"/>
          <w:noProof/>
          <w:sz w:val="20"/>
          <w:lang w:val="en-US"/>
        </w:rPr>
        <w:t>Peripheral oxidative damage in mild cognitive impairment and mild Alzheimer’s disease. J. Alzheimers. Dis. 15, 117–28.</w:t>
      </w:r>
    </w:p>
    <w:p w14:paraId="2D2D08B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Baldwin,  a S., 1996. The NF-kappa B and I kappa B proteins: new discoveries and insights. </w:t>
      </w:r>
      <w:r w:rsidRPr="00CB1C44">
        <w:rPr>
          <w:rFonts w:ascii="Arial" w:eastAsia="Times New Roman" w:hAnsi="Arial" w:cs="Arial"/>
          <w:noProof/>
          <w:sz w:val="20"/>
          <w:lang w:val="en-US"/>
        </w:rPr>
        <w:lastRenderedPageBreak/>
        <w:t>Annu. Rev. Immunol. 14, 649–683. https://doi.org/10.1146/annurev.immunol.14.1.649</w:t>
      </w:r>
    </w:p>
    <w:p w14:paraId="33B3083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Barage, S.H., Sonawane, K.D., 2015. Amyloid cascade hypothesis: Pathogenesis and therapeutic strategies in Alzheimer’s disease. Neuropeptides 52, 1–18. https://doi.org/10.1016/j.npep.2015.06.008</w:t>
      </w:r>
    </w:p>
    <w:p w14:paraId="764F6D1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Barnham, K.J., Masters, C.L., Bush, A.I., 2004. Neurodegenerative diseases and oxidative stress. Nat. Rev. Drug Discov. 3, 205–214. https://doi.org/10.1038/nrd1330</w:t>
      </w:r>
    </w:p>
    <w:p w14:paraId="6017F06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Baum, L., Lam, C.W.K., Cheung, S.K.K., Kwok, T., Lui, V., Tsoh, J., Lam, L., Leung, V., Hui, E., Ng, C., Woo, J., Chiu, H.F.K., Goggins, W.B., Zee, B.C.Y., Cheng, K.F., Fong, C.Y.S., Wong, A., Mok, H., Chow, M.S.S., Ho, P.C., Ip, S.P., Ho, C.S., Yu, X.W., Lai, C.Y.L., Chan, M.H., Szeto, S., Chan, I.H.S., Mok, V., 2008. Six-month randomized, placebo-controlled, double-blind, pilot clinical trial of curcumin in patients with Alzheimer disease [7]. </w:t>
      </w:r>
      <w:r w:rsidRPr="00CB1C44">
        <w:rPr>
          <w:rFonts w:ascii="Arial" w:eastAsia="Times New Roman" w:hAnsi="Arial" w:cs="Arial"/>
          <w:noProof/>
          <w:sz w:val="20"/>
        </w:rPr>
        <w:t>J. Clin. Psychopharmacol. https://doi.org/10.1097/jcp.0b013e318160862c</w:t>
      </w:r>
    </w:p>
    <w:p w14:paraId="116E875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Blesa, J., Trigo-Damas, I., Dileone, M., del Rey, N.L.-G., Hernandez, L.F., Obeso, J.A., 2017. </w:t>
      </w:r>
      <w:r w:rsidRPr="00CB1C44">
        <w:rPr>
          <w:rFonts w:ascii="Arial" w:eastAsia="Times New Roman" w:hAnsi="Arial" w:cs="Arial"/>
          <w:noProof/>
          <w:sz w:val="20"/>
          <w:lang w:val="en-US"/>
        </w:rPr>
        <w:t>Compensatory mechanisms in Parkinson’s disease: Circuits adaptations and role in disease modification. Exp. Neurol. 298, 148–161. https://doi.org/10.1016/j.expneurol.2017.10.002</w:t>
      </w:r>
    </w:p>
    <w:p w14:paraId="584B125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Bloom, D.A., Jaiswal, A.K., 2003. Phosphorylation of Nrf2 at Ser40 by protein kinase C in response to antioxidants leads to the release of Nrf2 from INrf2, but is not required for Nrf2 stabilization/accumulation in the nucleus and transcriptional activation of antioxidant response element. J. Biol. Chem. 278, 44675–82. https://doi.org/10.1074/jbc.M307633200</w:t>
      </w:r>
    </w:p>
    <w:p w14:paraId="530B3F2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Blum, D., Torch, S., Nissou, M.F., Verna, J.M., 2001. 6-hydroxydopamine-induced nuclear factor-kappa B activation in PC12 cells. Biochem. Pharmacol. 62, 473–481.</w:t>
      </w:r>
    </w:p>
    <w:p w14:paraId="7182100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Bórquez, D.A., Urrutia, P.J., Wilson, C., Van Zundert, B., Núñez, M.T., González-Billault, C., 2016. Dissecting the role of redox signaling in neuronal development. J. Neurochem. </w:t>
      </w:r>
      <w:r w:rsidRPr="00CB1C44">
        <w:rPr>
          <w:rFonts w:ascii="Arial" w:eastAsia="Times New Roman" w:hAnsi="Arial" w:cs="Arial"/>
          <w:noProof/>
          <w:sz w:val="20"/>
        </w:rPr>
        <w:t>137, 506–517. https://doi.org/10.1111/jnc.13581</w:t>
      </w:r>
    </w:p>
    <w:p w14:paraId="25AD04F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Branca, C., Ferreira, E., Nguyen, T.-V., Doyle, K., Caccamo, A., Oddo, S., 2017. </w:t>
      </w:r>
      <w:r w:rsidRPr="00CB1C44">
        <w:rPr>
          <w:rFonts w:ascii="Arial" w:eastAsia="Times New Roman" w:hAnsi="Arial" w:cs="Arial"/>
          <w:noProof/>
          <w:sz w:val="20"/>
          <w:lang w:val="en-US"/>
        </w:rPr>
        <w:t>Genetic reduction of Nrf2 exacerbates cognitive deficits in a mouse model of Alzheimer’s disease. Hum. Mol. Genet. 26, 4823–4835. https://doi.org/10.1093/hmg/ddx361</w:t>
      </w:r>
    </w:p>
    <w:p w14:paraId="79A3D19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Caesar, I., Jonson, M., Nilsson, K.P.R., Thor, S., Hammarstr??m, P., 2012. Curcumin promotes a-beta fibrillation and reduces neurotoxicity in transgenic Drosophila. PLoS One 7. https://doi.org/10.1371/journal.pone.0031424</w:t>
      </w:r>
    </w:p>
    <w:p w14:paraId="1CAC7C9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Calabrese, V., Sultana, R., Scapagnini, G., Guagliano, E., Sapienza, M., Bella, R., Kanski, J., Pennisi, G., Mancuso, C., Stella, A.M.G., Butterfield, D.A., 2006. Nitrosative stress, cellular stress response, and thiol homeostasis in patients with Alzheimer’s disease. Antioxid. Redox Signal. 8, 1975–1986. https://doi.org/10.1089/ars.2006.8.1975</w:t>
      </w:r>
    </w:p>
    <w:p w14:paraId="2034E56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Castello, P.R., Drechsel, D.A., Patel, M., 2007. Mitochondria are a major source of paraquat-induced reactive oxygen species production in the brain. J. Biol. Chem. https://doi.org/10.1074/jbc.M700827200</w:t>
      </w:r>
    </w:p>
    <w:p w14:paraId="285188D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Chang, W.H., Chen, M.C., Cheng, I.H., 2015. Antroquinonol lowers brain amyloid-</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levels and improves spatial learning and memory in a transgenic mouse model of alzheimers disease. Sci. Rep. https://doi.org/10.1038/srep15067</w:t>
      </w:r>
    </w:p>
    <w:p w14:paraId="5AFC8E6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Chen, J., Yin, W., Tu, Y., Wang, S., Yang, X., Chen, Q., Zhang, X., Han, Y., Pi, R., 2017. L-F001, a novel multifunctional ROCK inhibitor, suppresses neuroinflammation in vitro and in vivo: Involvement of NF-</w:t>
      </w:r>
      <w:r w:rsidRPr="00CB1C44">
        <w:rPr>
          <w:rFonts w:ascii="Arial" w:eastAsia="Times New Roman" w:hAnsi="Arial" w:cs="Arial"/>
          <w:noProof/>
          <w:sz w:val="20"/>
        </w:rPr>
        <w:t>κ</w:t>
      </w:r>
      <w:r w:rsidRPr="00CB1C44">
        <w:rPr>
          <w:rFonts w:ascii="Arial" w:eastAsia="Times New Roman" w:hAnsi="Arial" w:cs="Arial"/>
          <w:noProof/>
          <w:sz w:val="20"/>
          <w:lang w:val="en-US"/>
        </w:rPr>
        <w:t>B inhibition and Nrf2 pathway activation. Eur. J. Pharmacol. 806, 1–9. https://doi.org/10.1016/j.ejphar.2017.03.025</w:t>
      </w:r>
    </w:p>
    <w:p w14:paraId="25F0ED6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Chen, P.-C., Vargas, M.R., Pani, A.K., Smeyne, R.J., Johnson, D.A., Kan, Y.W., Johnson, J.A., 2009. Nrf2-mediated neuroprotection in the MPTP mouse model of Parkinson’s disease: Critical role for the astrocyte. Proc. Natl. Acad. Sci. U. S. A. 106, 2933–8. https://doi.org/10.1073/pnas.0813361106</w:t>
      </w:r>
    </w:p>
    <w:p w14:paraId="26CF466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Cheung, B., Kwan, M., Chan, R., Sea, M., Woo, J., 2016. Potential of Asian Natural Products for Health in Aging, in: Molecular Basis of Nutrition and Aging. Elsevier, pp. 659–676. https://doi.org/10.1016/B978-0-12-801816-3.00047-9</w:t>
      </w:r>
    </w:p>
    <w:p w14:paraId="78CDB98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Chowdhry, S., Zhang, Y., McMahon, M., Sutherland, C., Cuadrado, A., Hayes, J.D., 2013. Nrf2 is controlled by two distinct </w:t>
      </w:r>
      <w:r w:rsidRPr="00CB1C44">
        <w:rPr>
          <w:rFonts w:ascii="Arial" w:eastAsia="Times New Roman" w:hAnsi="Arial" w:cs="Arial"/>
          <w:noProof/>
          <w:sz w:val="20"/>
        </w:rPr>
        <w:t>β</w:t>
      </w:r>
      <w:r w:rsidRPr="00CB1C44">
        <w:rPr>
          <w:rFonts w:ascii="Arial" w:eastAsia="Times New Roman" w:hAnsi="Arial" w:cs="Arial"/>
          <w:noProof/>
          <w:sz w:val="20"/>
          <w:lang w:val="en-US"/>
        </w:rPr>
        <w:t>-TrCP recognition motifs in its Neh6 domain, one of which can be modulated by GSK-3 activity. Oncogene 32, 3765–81. https://doi.org/10.1038/onc.2012.388</w:t>
      </w:r>
    </w:p>
    <w:p w14:paraId="075392D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Copple, I.M., Lister, A., Obeng, A.D., Kitteringham, N.R., Jenkins, R.E., Layfield, R., Foster, B.J., Goldring, C.E., Park, B.K., 2010. Physical and functional interaction of sequestosome 1 with Keap1 regulates the Keap1-Nrf2 cell defense pathway. J. Biol. Chem. 285, 16782–16788. https://doi.org/10.1074/jbc.M109.096545</w:t>
      </w:r>
    </w:p>
    <w:p w14:paraId="2C35F6E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lastRenderedPageBreak/>
        <w:t>Cuadrado, A., 2015. Structural and functional characterization of Nrf2 degradation by glycogen synthase kinase 3/</w:t>
      </w:r>
      <w:r w:rsidRPr="00CB1C44">
        <w:rPr>
          <w:rFonts w:ascii="Arial" w:eastAsia="Times New Roman" w:hAnsi="Arial" w:cs="Arial"/>
          <w:noProof/>
          <w:sz w:val="20"/>
        </w:rPr>
        <w:t>β</w:t>
      </w:r>
      <w:r w:rsidRPr="00CB1C44">
        <w:rPr>
          <w:rFonts w:ascii="Arial" w:eastAsia="Times New Roman" w:hAnsi="Arial" w:cs="Arial"/>
          <w:noProof/>
          <w:sz w:val="20"/>
          <w:lang w:val="en-US"/>
        </w:rPr>
        <w:t>-TrCP. Free Radic. Biol. Med. https://doi.org/10.1016/j.freeradbiomed.2015.04.029</w:t>
      </w:r>
    </w:p>
    <w:p w14:paraId="2D4D2AB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Cuadrado, A., Kügler, S., Lastres-Becker, I., 2018. Pharmacological targeting of GSK-3 and NRF2 provides neuroprotection in a preclinical model of tauopathy. Redox Biol. https://doi.org/10.1016/j.redox.2017.10.010</w:t>
      </w:r>
    </w:p>
    <w:p w14:paraId="046BCC6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Culbert, A.A., Skaper, S.D., Howlett, D.R., Evans, N.A., Facci, L., Soden, P.E., Seymour, Z.M., Guillot, F., Gaestel, M., Richardson, J.C., 2006. MAPK-activated protein kinase 2 deficiency in microglia inhibits pro-inflammatory mediator release and resultant neurotoxicity: Relevance to neuroinflammation in a transgenic mouse model of Alzheimer disease. J. Biol. Chem. 281, 23658–23667. https://doi.org/10.1074/jbc.M513646200</w:t>
      </w:r>
    </w:p>
    <w:p w14:paraId="368D47D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Cullinan, S.B., Gordan, J.D., Jin, J., Harper, J.W., Diehl, J.A., 2004. The Keap1-BTB protein is an adaptor that bridges Nrf2 to a Cul3-based E3 ligase: oxidative stress sensing by a Cul3-Keap1 ligase. Mol. Cell. Biol. 24, 8477–86. https://doi.org/10.1128/MCB.24.19.8477-8486.2004</w:t>
      </w:r>
    </w:p>
    <w:p w14:paraId="6508B97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Cullinan, S.B., Zhang, D., Hannink, M., Arvisais, E., Kaufman, R.J., Diehl, J.A., 2003. Nrf2 is a direct PERK substrate and effector of PERK-dependent cell survival. Mol. Cell. Biol. 23, 7198–209. https://doi.org/10.1128/MCB.23.20.7198-7209.2003</w:t>
      </w:r>
    </w:p>
    <w:p w14:paraId="1AC038A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Cummings, J.L., 2004. Alzheimer’s Disease. N. Engl. J. Med. 351, 56–67. https://doi.org/10.1056/NEJMra040223</w:t>
      </w:r>
    </w:p>
    <w:p w14:paraId="5B4AA63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Dawson, T.M., Dawson, V.L., 2003. Molecular pathways of neurodegeneration in Parkinson’s disease. </w:t>
      </w:r>
      <w:r w:rsidRPr="00CB1C44">
        <w:rPr>
          <w:rFonts w:ascii="Arial" w:eastAsia="Times New Roman" w:hAnsi="Arial" w:cs="Arial"/>
          <w:noProof/>
          <w:sz w:val="20"/>
        </w:rPr>
        <w:t>Science 302, 819–822. https://doi.org/10.1126/science.1087753</w:t>
      </w:r>
    </w:p>
    <w:p w14:paraId="59D6E79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de Oliveira, M.R., Ferreira, G.C., Schuck, P.F., 2016. </w:t>
      </w:r>
      <w:r w:rsidRPr="00CB1C44">
        <w:rPr>
          <w:rFonts w:ascii="Arial" w:eastAsia="Times New Roman" w:hAnsi="Arial" w:cs="Arial"/>
          <w:noProof/>
          <w:sz w:val="20"/>
          <w:lang w:val="en-US"/>
        </w:rPr>
        <w:t>Protective effect of carnosic acid against paraquat-induced redox impairment and mitochondrial dysfunction in SH-SY5Y cells: Role for PI3K/Akt/Nrf2 pathway. Toxicol. Vitr. 32, 41–54. https://doi.org/10.1016/j.tiv.2015.12.005</w:t>
      </w:r>
    </w:p>
    <w:p w14:paraId="247E74E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Deibel, M.A., Ehmann, W.D., Markesbery, W.R., 1996. Copper, iron, and zinc imbalances in severely degenerated brain regions in Alzheimer’s disease: Possible relation to oxidative stress. J. Neurol. Sci. 143, 137–142. https://doi.org/10.1016/S0022-510X(96)00203-1</w:t>
      </w:r>
    </w:p>
    <w:p w14:paraId="22568EF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Deng, H., Wang, P., Jankovic, J., 2018. The genetics of Parkinson disease. Ageing Res. Rev. 42, 72–85. https://doi.org/10.1016/j.arr.2017.12.007</w:t>
      </w:r>
    </w:p>
    <w:p w14:paraId="6DB8630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Dexter, D.T., Carter, C.J., Wells, F.R., Javoy-Agid, F., Agid, Y., Lees,  a, Jenner, P., Marsden, C.D., 1989a. Basal lipid peroxidation in substantia nigra is increased in Parkinson’s disease. J. Neurochem. 52, 381–389. https://doi.org/10.1111/j.1471-4159.1989.tb09133.x</w:t>
      </w:r>
    </w:p>
    <w:p w14:paraId="55BC5C6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Dexter, D.T., Wells, F.R., Lees, A.J., Agid, F., Agid, Y., Jenner, P., Marsden, C.D., 1989b. Increased nigral iron content and alterations in other metal ions occurring in brain in Parkinson’s disease. J. Neurochem. 52, 1830–1836. https://doi.org/10.1111/j.1471-4159.1989.tb07264.x</w:t>
      </w:r>
    </w:p>
    <w:p w14:paraId="36310F3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Dinkova-Kostova, A.T., Abramov, A.Y., 2015. The emerging role of Nrf2 in mitochondrial function. Free Radic. Biol. Med. https://doi.org/10.1016/j.freeradbiomed.2015.04.036</w:t>
      </w:r>
    </w:p>
    <w:p w14:paraId="1321953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Dinkova-Kostova, A.T., Holtzclaw, W.D., Cole, R.N., Itoh, K., Wakabayashi, N., Katoh, Y., Yamamoto, M., Talalay, P., 2002. Direct evidence that sulfhydryl groups of Keap1 are the sensors regulating induction of phase 2 enzymes that protect against carcinogens and oxidants. Proc. Natl. Acad. Sci. U. S. A. 99, 11908–13. https://doi.org/10.1073/pnas.172398899</w:t>
      </w:r>
    </w:p>
    <w:p w14:paraId="0A66F9F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Droge, W., 2002. Free Radicals in the Physiological Control of Cell Function. Physiol Rev 82, 47–95.</w:t>
      </w:r>
    </w:p>
    <w:p w14:paraId="2B91148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Du, L.L., Xie, J.Z., Cheng, X.S., Li, X.H., Kong, F.L., Jiang, X., Ma, Z.W., Wang, J.Z., Chen, C., Zhou, X.W., 2014. Activation of sirtuin 1 attenuates cerebral ventricular streptozotocin-induced tau hyperphosphorylation and cognitive injuries in rat hippocampi. Age (Omaha). 36, 613–623. https://doi.org/10.1007/s11357-013-9592-1</w:t>
      </w:r>
    </w:p>
    <w:p w14:paraId="77CE8DE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Du, Y., Wooten, M.C., Gearing, M., Wooten, M.W., 2009a. Age-associated oxidative damage to the p62 promoter: implications for Alzheimer disease. Free Radic. Biol. Med. 46, 492–501. https://doi.org/10.1016/j.freeradbiomed.2008.11.003</w:t>
      </w:r>
    </w:p>
    <w:p w14:paraId="4A26126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Du, Y., Wooten, M.C., Wooten, M.W., 2009b. Oxidative damage to the promoter region of SQSTM1/p62 is common to neurodegenerative disease. Neurobiol. Dis. 35, 302–310. https://doi.org/10.1016/j.nbd.2009.05.015</w:t>
      </w:r>
    </w:p>
    <w:p w14:paraId="319E059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Duka, T., Duka, V., Joyce, J.N., Sidhu, A., 2009. Alpha-Synuclein contributes to GSK-3beta-catalyzed Tau phosphorylation in Parkinson’s disease models. </w:t>
      </w:r>
      <w:r w:rsidRPr="00CB1C44">
        <w:rPr>
          <w:rFonts w:ascii="Arial" w:eastAsia="Times New Roman" w:hAnsi="Arial" w:cs="Arial"/>
          <w:noProof/>
          <w:sz w:val="20"/>
        </w:rPr>
        <w:t>FASEB J. 23, 2820–30. https://doi.org/10.1096/fj.08-120410</w:t>
      </w:r>
    </w:p>
    <w:p w14:paraId="16484BF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lastRenderedPageBreak/>
        <w:t xml:space="preserve">Egea, J., Buendia, I., Parada, E., Navarro, E., Rada, P., Cuadrado, A., López, M.G., García, A.G., León, R., 2015. </w:t>
      </w:r>
      <w:r w:rsidRPr="00CB1C44">
        <w:rPr>
          <w:rFonts w:ascii="Arial" w:eastAsia="Times New Roman" w:hAnsi="Arial" w:cs="Arial"/>
          <w:noProof/>
          <w:sz w:val="20"/>
          <w:lang w:val="en-US"/>
        </w:rPr>
        <w:t>Melatonin-sulforaphane hybrid ITH12674 induces neuroprotection in oxidative stress conditions by a “drug-prodrug” mechanism of action. Br. J. Pharmacol. 172, 1807–1821. https://doi.org/10.1111/bph.13025</w:t>
      </w:r>
    </w:p>
    <w:p w14:paraId="6E9716B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Ehmann, W.D., Alauddin, M., Hossain, T.I., Markesbery, W.R., 1984. Brain trace elements in Pick’s disease. Ann Neurol 15, 102–104.</w:t>
      </w:r>
    </w:p>
    <w:p w14:paraId="354FA8C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Ehmann, W.D., Markesbery, W.R., Alauddin, M., Hossain, T.I., Brubaker, E.H., 1986. Brain trace elements in Alzheimer’s disease. Neurotoxicology 7, 195–206.</w:t>
      </w:r>
    </w:p>
    <w:p w14:paraId="4C0B820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Engel, T., Hernández, F., Avila, J., Lucas, J.J., 2006. Full reversal of Alzheimer’s disease-like phenotype in a mouse model with conditional overexpression of Glycogen Synthase Kinase-3. J. Neurosci. 26, 5083–5090. https://doi.org/10.1523/JNEUROSCI.0604-06.2006</w:t>
      </w:r>
    </w:p>
    <w:p w14:paraId="70886AA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Esterbauer, H., Schaur, R.J., Zollner, H., 1991. Chemistry and biochemistry of 4-hydroxynonenal, malonaldehyde and related aldehydes. Free Radic. Biol. Med. https://doi.org/10.1016/0891-5849(91)90192-6</w:t>
      </w:r>
    </w:p>
    <w:p w14:paraId="3C6FC11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Etcheberrigaray, R., Tan, M., Dewachter, I., Kuiperi, C., der Auwera, I. Van, Wera, S., Qiao, L., Bank, B., Nelson, T.J., Kozikowski, A.P., Leuven, F. Van, Alkon, D.L., 2004. Therapeutic effects of PKC activators in Alzheimer’s disease transgenic mice. Proc. Natl. Acad. Sci. U. S. A. 101, 11141–11146. https://doi.org/10.1073/pnas.0403921101</w:t>
      </w:r>
    </w:p>
    <w:p w14:paraId="26503D8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Fão, L., Mota, S.I., Rego, A.C., 2019. c-Src regulates Nrf2 activity through PKC</w:t>
      </w:r>
      <w:r w:rsidRPr="00CB1C44">
        <w:rPr>
          <w:rFonts w:ascii="Arial" w:eastAsia="Times New Roman" w:hAnsi="Arial" w:cs="Arial"/>
          <w:noProof/>
          <w:sz w:val="20"/>
        </w:rPr>
        <w:t>δ</w:t>
      </w:r>
      <w:r w:rsidRPr="00CB1C44">
        <w:rPr>
          <w:rFonts w:ascii="Arial" w:eastAsia="Times New Roman" w:hAnsi="Arial" w:cs="Arial"/>
          <w:noProof/>
          <w:sz w:val="20"/>
          <w:lang w:val="en-US"/>
        </w:rPr>
        <w:t xml:space="preserve"> after oxidant stimulus. Biochim. Biophys. Acta - Mol. Cell Res. 1866, 686–698. https://doi.org/S0167488918302428</w:t>
      </w:r>
    </w:p>
    <w:p w14:paraId="6F55C65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Finley, D., 2009. Recognition and processing of ubiquitin-protein conjugates by the proteasome. Annu. Rev. Biochem. 78, 477–513. https://doi.org/10.1146/annurev.biochem.78.081507.101607</w:t>
      </w:r>
    </w:p>
    <w:p w14:paraId="48A64D4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Fragoulis, A., Siegl, S., Fendt, M., Jansen, S., Soppa, U., Brandenburg, L.O., Pufe, T., Weis, J., Wruck, C.J., 2017. Oral administration of methysticin improves cognitive deficits in a mouse model of Alzheimer’s disease. Redox Biol. https://doi.org/10.1016/j.redox.2017.04.024</w:t>
      </w:r>
    </w:p>
    <w:p w14:paraId="2EEF384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Fukutomi, T., Takagi, K., Mizushima, T., Ohuchi, N., Yamamoto, M., 2014. Kinetic, Thermodynamic, and Structural Characterizations of the Association between Nrf2-DLGex Degron and Keap1. Mol. Cell. Biol. 34, 832–846. https://doi.org/10.1128/MCB.01191-13</w:t>
      </w:r>
    </w:p>
    <w:p w14:paraId="2A4F622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Furukawa, M., Xiong, Y., 2005. BTB protein Keap1 targets antioxidant transcription factor Nrf2 for ubiquitination by the Cullin 3-Roc1 ligase. Mol. Cell. Biol. 25, 162–171. https://doi.org/10.1128/MCB.25.1.162-171.2005</w:t>
      </w:r>
    </w:p>
    <w:p w14:paraId="4274270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Gan, L., Johnson, J.A., 2014. Oxidative damage and the Nrf2-ARE pathway in neurodegenerative diseases. Biochim. Biophys. Acta - Mol. Basis Dis. 1842, 1208–1218. https://doi.org/10.1016/j.bbadis.2013.12.011</w:t>
      </w:r>
    </w:p>
    <w:p w14:paraId="7D0A740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Gan, L., Vargas, M.R., Johnson, D.A., Johnson, J.A., 2012. Astrocyte-specific overexpression of Nrf2 delays motor pathology and synuclein aggregation throughout the CNS in the alpha-synuclein mutant (A53T) mouse model. J. Neurosci. 32, 17775–87. https://doi.org/10.1523/JNEUROSCI.3049-12.2012</w:t>
      </w:r>
    </w:p>
    <w:p w14:paraId="151363F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Gao, B., Lee, S.M., Chen, A., Zhang, J., Zhang, D.D., Kannan, K., Ortmann, R.A., Fang, D., 2008. Synoviolin promotes IRE1 ubiquitination and degradation in synovial fibroblasts from mice with collagen-induced arthritis. EMBO Rep. https://doi.org/10.1038/embor.2008.37</w:t>
      </w:r>
    </w:p>
    <w:p w14:paraId="23EE4EE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Garrido, J.L., Godoy, J.A., Alvarez, A., Bronfman, M., Inestrosa, N.C., 2002. Protein kinase C inhibits amyloid beta peptide neurotoxicity by acting on members of the Wnt pathway. FASEB J. 16, 1982–1984. https://doi.org/10.1096/fj.02-0327fje</w:t>
      </w:r>
    </w:p>
    <w:p w14:paraId="08559D6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Gatt, A.P., Duncan, O.F., Attems, J., Francis, P.T., Ballard, C.G., Bateman, J.M., 2016. Dementia in Parkinson’s disease is associated with enhanced mitochondrial complex I deficiency. Mov. Disord. 31, 352–9. https://doi.org/10.1002/mds.26513</w:t>
      </w:r>
    </w:p>
    <w:p w14:paraId="5785509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Ghosh,  a, Roy,  a, Liu, X., Kordower, J.H., Mufson, E.J., Hartley, D.M., Ghosh, S., Mosley, R.L., Gendelman, H.E., Pahan, K., 2007. Selective inhibition of NF-kappaB activation prevents dopaminergic neuronal loss in a mouse model of Parkinson’s disease. </w:t>
      </w:r>
      <w:r w:rsidRPr="00CB1C44">
        <w:rPr>
          <w:rFonts w:ascii="Arial" w:eastAsia="Times New Roman" w:hAnsi="Arial" w:cs="Arial"/>
          <w:noProof/>
          <w:sz w:val="20"/>
        </w:rPr>
        <w:t>Proc Natl Acad Sci U S A 104, 18754–18759. https://doi.org/0704908104 [pii]\n10.1073/pnas.0704908104</w:t>
      </w:r>
    </w:p>
    <w:p w14:paraId="307088B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Giovannini, M.G., Scali, C., Prosperi, C., Bellucci, A., Vannucchi, M.G., Rosi, S., Pepeu, G., Casamenti, F., 2002. </w:t>
      </w:r>
      <w:r w:rsidRPr="00CB1C44">
        <w:rPr>
          <w:rFonts w:ascii="Arial" w:eastAsia="Times New Roman" w:hAnsi="Arial" w:cs="Arial"/>
          <w:noProof/>
          <w:sz w:val="20"/>
        </w:rPr>
        <w:t>β</w:t>
      </w:r>
      <w:r w:rsidRPr="00CB1C44">
        <w:rPr>
          <w:rFonts w:ascii="Arial" w:eastAsia="Times New Roman" w:hAnsi="Arial" w:cs="Arial"/>
          <w:noProof/>
          <w:sz w:val="20"/>
          <w:lang w:val="en-US"/>
        </w:rPr>
        <w:t>-Amyloid-Induced Inflammation and Cholinergic Hypofunction in the Rat Brain in Vivo: Involvement of the p38MAPK Pathway. Neurobiol. Dis. 11, 257–274. https://doi.org/10.1006/nbdi.2002.0538</w:t>
      </w:r>
    </w:p>
    <w:p w14:paraId="6839BD9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Giraldo, E., Lloret, A., Fuchsberger, T., Viña, J., 2014.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and tau toxicities in Alzheimer’s are linked via oxidative stress-induced p38 activation: Protective role of vitamin E. Redox Biol. </w:t>
      </w:r>
      <w:r w:rsidRPr="00CB1C44">
        <w:rPr>
          <w:rFonts w:ascii="Arial" w:eastAsia="Times New Roman" w:hAnsi="Arial" w:cs="Arial"/>
          <w:noProof/>
          <w:sz w:val="20"/>
          <w:lang w:val="en-US"/>
        </w:rPr>
        <w:lastRenderedPageBreak/>
        <w:t>2, 873–877. https://doi.org/10.1016/j.redox.2014.03.002</w:t>
      </w:r>
    </w:p>
    <w:p w14:paraId="0A2BB71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Gu, C., Zhang, Y., Hu, Q., Wu, J., Ren, H., Liu, C.-F., Wang, G., 2017. P7C3 inhibits GSK3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activation to protect dopaminergic neurons against neurotoxin-induced cell death in vitro and in vivo. Cell Death Dis. 8, e2858. https://doi.org/10.1038/cddis.2017.250</w:t>
      </w:r>
    </w:p>
    <w:p w14:paraId="4A1B56F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Gureev, A.P., Syromyatnikov, M.Y., Gorbacheva, T.M., Starkov, A.A., Popov, V.N., 2016. Methylene blue improves sensorimotor phenotype and decreases anxiety in parallel with activating brain mitochondria biogenesis in mid-age mice. </w:t>
      </w:r>
      <w:r w:rsidRPr="00CB1C44">
        <w:rPr>
          <w:rFonts w:ascii="Arial" w:eastAsia="Times New Roman" w:hAnsi="Arial" w:cs="Arial"/>
          <w:noProof/>
          <w:sz w:val="20"/>
        </w:rPr>
        <w:t>Neurosci. Res. https://doi.org/10.1016/j.neures.2016.07.006</w:t>
      </w:r>
    </w:p>
    <w:p w14:paraId="15E39C9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Haass, C., Selkoe, D.J., 2007. </w:t>
      </w:r>
      <w:r w:rsidRPr="00CB1C44">
        <w:rPr>
          <w:rFonts w:ascii="Arial" w:eastAsia="Times New Roman" w:hAnsi="Arial" w:cs="Arial"/>
          <w:noProof/>
          <w:sz w:val="20"/>
          <w:lang w:val="en-US"/>
        </w:rPr>
        <w:t>Soluble protein oligomers in neurodegeneration: lessons from the Alzheimer’s amyloid beta-peptide. Nat. Rev. Mol. Cell Biol. 8, 101–12. https://doi.org/10.1038/nrm2101</w:t>
      </w:r>
    </w:p>
    <w:p w14:paraId="57FA3CE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Han, Y.-S., Zheng, W.-H., Bastianetto, S., Chabot, J.-G., Quirion, R., 2004. Neuroprotective effects of resveratrol against beta-amyloid-induced neurotoxicity in rat hippocampal neurons: involvement of protein kinase C. Br. J. Pharmacol. 141, 997–1005. https://doi.org/10.1038/sj.bjp.0705688</w:t>
      </w:r>
    </w:p>
    <w:p w14:paraId="35FFDFD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Hancock, R., Bertrand, H.C., Tsujita, T., Naz, S., El-Bakry, A., Laoruchupong, J., Hayes, J.D., Wells, G., 2012. Peptide inhibitors of the Keap1-Nrf2 protein-protein interaction. Free Radic. Biol. Med. 52, 444–451. https://doi.org/10.1016/j.freeradbiomed.2011.10.486</w:t>
      </w:r>
    </w:p>
    <w:p w14:paraId="343ACDC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Hasegawa, T., Treis, A., Patenge, N., Fiesel, F.C., Springer, W., Kahle, P.J., 2008. Parkin protects against tyrosinase-mediated dopamine neurotoxicity by suppressing stress-activated protein kinase pathways. J. Neurochem. 105, 1700–1715. https://doi.org/10.1111/j.1471-4159.2008.05277.x</w:t>
      </w:r>
    </w:p>
    <w:p w14:paraId="4EF4947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Hayes, J.D., Chowdhry, S., Dinkova-Kostova, A.T., Sutherland, C., 2015. Dual regulation of transcription factor Nrf2 by Keap1 and by the combined actions of </w:t>
      </w:r>
      <w:r w:rsidRPr="00CB1C44">
        <w:rPr>
          <w:rFonts w:ascii="Arial" w:eastAsia="Times New Roman" w:hAnsi="Arial" w:cs="Arial"/>
          <w:noProof/>
          <w:sz w:val="20"/>
        </w:rPr>
        <w:t>β</w:t>
      </w:r>
      <w:r w:rsidRPr="00CB1C44">
        <w:rPr>
          <w:rFonts w:ascii="Arial" w:eastAsia="Times New Roman" w:hAnsi="Arial" w:cs="Arial"/>
          <w:noProof/>
          <w:sz w:val="20"/>
          <w:lang w:val="en-US"/>
        </w:rPr>
        <w:t>-TrCP and GSK-3. Biochem. Soc. Trans. https://doi.org/10.1042/bst20150011</w:t>
      </w:r>
    </w:p>
    <w:p w14:paraId="17EFB4C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Hensley, K., Floyd, R.A., Zheng, N.Y., Nael, R., Robinson, K.A., Nguyen, X., Pye, Q.N., Stewart, C.A., Geddes, J., Markesbery, W.R., Patel, E., Johnson, G. V, Bing, G., 1999. p38 kinase is activated in the Alzheimer’s disease brain. </w:t>
      </w:r>
      <w:r w:rsidRPr="00CB1C44">
        <w:rPr>
          <w:rFonts w:ascii="Arial" w:eastAsia="Times New Roman" w:hAnsi="Arial" w:cs="Arial"/>
          <w:noProof/>
          <w:sz w:val="20"/>
        </w:rPr>
        <w:t>J Neurochem 72, 2053–2058. https://doi.org/10.1046/j.1471-4159.1999.0722053.x</w:t>
      </w:r>
    </w:p>
    <w:p w14:paraId="61F613B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rPr>
        <w:t xml:space="preserve">Hernandez-Baltazar, D., Mendoza-Garrido, M.E., Martinez-Fong, D., 2013. </w:t>
      </w:r>
      <w:r w:rsidRPr="00CB1C44">
        <w:rPr>
          <w:rFonts w:ascii="Arial" w:eastAsia="Times New Roman" w:hAnsi="Arial" w:cs="Arial"/>
          <w:noProof/>
          <w:sz w:val="20"/>
          <w:lang w:val="en-US"/>
        </w:rPr>
        <w:t>Activation of GSK-3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and Caspase-3 Occurs in Nigral Dopamine Neurons during the Development of Apoptosis Activated by a Striatal Injection of 6-Hydroxydopamine. </w:t>
      </w:r>
      <w:r w:rsidRPr="00CB1C44">
        <w:rPr>
          <w:rFonts w:ascii="Arial" w:eastAsia="Times New Roman" w:hAnsi="Arial" w:cs="Arial"/>
          <w:noProof/>
          <w:sz w:val="20"/>
        </w:rPr>
        <w:t>PLoS One 8, 1–13. https://doi.org/10.1371/journal.pone.0070951</w:t>
      </w:r>
    </w:p>
    <w:p w14:paraId="385E8DB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rPr>
        <w:t xml:space="preserve">Hernández, F., Borrell, J., Guaza, C., Avila, J., Lucas, J.J., 2002. </w:t>
      </w:r>
      <w:r w:rsidRPr="00CB1C44">
        <w:rPr>
          <w:rFonts w:ascii="Arial" w:eastAsia="Times New Roman" w:hAnsi="Arial" w:cs="Arial"/>
          <w:noProof/>
          <w:sz w:val="20"/>
          <w:lang w:val="en-US"/>
        </w:rPr>
        <w:t>Spatial learning deficit in transgenic mice that conditionally over-express GSK-3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in the brain but do not form tau filaments. </w:t>
      </w:r>
      <w:r w:rsidRPr="00CB1C44">
        <w:rPr>
          <w:rFonts w:ascii="Arial" w:eastAsia="Times New Roman" w:hAnsi="Arial" w:cs="Arial"/>
          <w:noProof/>
          <w:sz w:val="20"/>
        </w:rPr>
        <w:t>J. Neurochem. 83, 1529–1533. https://doi.org/10.1046/j.1471-4159.2002.01269.x</w:t>
      </w:r>
    </w:p>
    <w:p w14:paraId="1E6FC7E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Hirotsu, Y., Katsuoka, F., Funayama, R., Nagashima, T., Nishida, Y., Nakayama, K., Douglas Engel, J., Yamamoto, M., 2012. </w:t>
      </w:r>
      <w:r w:rsidRPr="00CB1C44">
        <w:rPr>
          <w:rFonts w:ascii="Arial" w:eastAsia="Times New Roman" w:hAnsi="Arial" w:cs="Arial"/>
          <w:noProof/>
          <w:sz w:val="20"/>
          <w:lang w:val="en-US"/>
        </w:rPr>
        <w:t>Nrf2-MafG heterodimers contribute globally to antioxidant and metabolic networks. Nucleic Acids Res. 40, 10228–10239. https://doi.org/10.1093/nar/gks827</w:t>
      </w:r>
    </w:p>
    <w:p w14:paraId="4155A12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Holland, R., Hawkins, A.E., Eggler, A.L., Mesecar, A.D., Fabris, D., Fishbein, J.C., 2008. Prospective type 1 and type 2 disulfides of keap1 protein. Chem. Res. Toxicol. 21, 2051–2060. https://doi.org/10.1021/tx800226m</w:t>
      </w:r>
    </w:p>
    <w:p w14:paraId="0D13DE5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Hong, F., Sekhar, K.E., Freeman, M.L., Liebler, D.C., 2005. Specific patterns of electrophile adduction trigger Keap1 ubiquitination and Nrf2 activation. J. Biol. Chem. 280, 31768–31775. https://doi.org/10.1074/jbc.M503346200</w:t>
      </w:r>
    </w:p>
    <w:p w14:paraId="4E445CA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Hong, Y., An, Z., 2015. Hesperidin attenuates learning and memory deficits in APP/PS1 mice through activation of Akt/Nrf2 signaling and inhibition of RAGE/NF-</w:t>
      </w:r>
      <w:r w:rsidRPr="00CB1C44">
        <w:rPr>
          <w:rFonts w:ascii="Arial" w:eastAsia="Times New Roman" w:hAnsi="Arial" w:cs="Arial"/>
          <w:noProof/>
          <w:sz w:val="20"/>
        </w:rPr>
        <w:t>κ</w:t>
      </w:r>
      <w:r w:rsidRPr="00CB1C44">
        <w:rPr>
          <w:rFonts w:ascii="Arial" w:eastAsia="Times New Roman" w:hAnsi="Arial" w:cs="Arial"/>
          <w:noProof/>
          <w:sz w:val="20"/>
          <w:lang w:val="en-US"/>
        </w:rPr>
        <w:t>B signaling. Arch. Pharm. Res. https://doi.org/10.1007/s12272-015-0662-z</w:t>
      </w:r>
    </w:p>
    <w:p w14:paraId="2FA4733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Hongpaisan, J., Sun, M.-K., Alkon, D.L., 2011. PKC </w:t>
      </w:r>
      <w:r w:rsidRPr="00CB1C44">
        <w:rPr>
          <w:rFonts w:ascii="Arial" w:eastAsia="Times New Roman" w:hAnsi="Arial" w:cs="Arial"/>
          <w:noProof/>
          <w:sz w:val="20"/>
        </w:rPr>
        <w:t>ε</w:t>
      </w:r>
      <w:r w:rsidRPr="00CB1C44">
        <w:rPr>
          <w:rFonts w:ascii="Arial" w:eastAsia="Times New Roman" w:hAnsi="Arial" w:cs="Arial"/>
          <w:noProof/>
          <w:sz w:val="20"/>
          <w:lang w:val="en-US"/>
        </w:rPr>
        <w:t xml:space="preserve"> activation prevents synaptic loss,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elevation, and cognitive deficits in Alzheimer’s disease transgenic mice. J. Neurosci. 31, 630–43. https://doi.org/10.1523/JNEUROSCI.5209-10.2011</w:t>
      </w:r>
    </w:p>
    <w:p w14:paraId="52E44C4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Huang, H.-C., Nguyen, T., Pickett, C.B., 2002. Phosphorylation of Nrf2 at Ser-40 by Protein Kinase C Regulates Antioxidant Response Element-mediated Transcription. J. Biol. Chem. 277, 42769–42774. https://doi.org/10.1074/jbc.M206911200</w:t>
      </w:r>
    </w:p>
    <w:p w14:paraId="1B4E6CE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Huang, L.-P., Deng, M.-Z., He, Y.-P., Fang, Y.-Q., 2015. </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-asarone and levodopa co-administration protects against 6-hydroxydopamine-induced damage in parkinsonian rat mesencephalon by regulating autophagy: down-expression Beclin-1 and light chain 3B and up-expression P62. Clin. Exp. Pharmacol. Physiol. 42, 269–277. </w:t>
      </w:r>
      <w:r w:rsidRPr="00CB1C44">
        <w:rPr>
          <w:rFonts w:ascii="Arial" w:eastAsia="Times New Roman" w:hAnsi="Arial" w:cs="Arial"/>
          <w:noProof/>
          <w:sz w:val="20"/>
          <w:lang w:val="en-US"/>
        </w:rPr>
        <w:lastRenderedPageBreak/>
        <w:t>https://doi.org/10.1111/1440-1681.12344</w:t>
      </w:r>
    </w:p>
    <w:p w14:paraId="2AB5779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Huang, X., Atwood, C.S., Hartshorn, M.A., Multhaup, G., Goldstein, L.E., Scarpa, R.C., Cuajungco, M.P., Gray, D.N., Lim, J., Moir, R.D., Tanzi, R.E., Bush, A.I., 1999. The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Peptide of Alzheimer’s Disease Directly Produces Hydrogen Peroxide through Metal Ion Reduction †. Biochemistry 38, 7609–7616. https://doi.org/10.1021/bi990438f</w:t>
      </w:r>
    </w:p>
    <w:p w14:paraId="0EBAD91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Hubbs, A.F., Benkovic, S.A., Miller, D.B., O’Callaghan, J.P., Battelli, L., Schwegler-Berry, D., Ma, Q., 2007. Vacuolar leukoencephalopathy with widespread astrogliosis in mice lacking transcription factor Nrf2. Am. J. Pathol. 170, 2068–76. https://doi.org/10.2353/ajpath.2007.060898</w:t>
      </w:r>
    </w:p>
    <w:p w14:paraId="3127286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Innamorato, N.G., Jazwa, A., Rojo, A.I., García, C., Ferna ́ndez-Ruiz, J., Grochot-Przeczek, A., Stachurska, A., Jozkowicz, A., Dulak, J., Cuadrado, A., 2010. Different susceptibility to the parkinson’s toxin MPTP in mice lacking the redox master regulator Nrf2 or its target gene heme oxygenase-1. PLoS One 5. https://doi.org/10.1371/journal.pone.0011838</w:t>
      </w:r>
    </w:p>
    <w:p w14:paraId="4645406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Irvine, G.B., El-Agnaf, O.M., Shankar, G.M., Walsh, D.M., 2008. Protein Aggregation in the Brain: The Molecular Basis for Alzheimer’s and Parkinson’s Diseases. Mol. Med. 14, 451–464. https://doi.org/10.2119/2007-00100.Irvine</w:t>
      </w:r>
    </w:p>
    <w:p w14:paraId="69C53CA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Isagawa, T., Mukai, H., Oishi, K., Taniguchi, T., Hasegawa, H., Kawamata, T., Tanaka, C., Ono, Y., 2000. Dual effects of PKNalpha and protein kinase C on phosphorylation of tau protein by glycogen synthase kinase-3beta. Biochem. Biophys. Res. Commun. 273, 209–12. https://doi.org/10.1006/bbrc.2000.2926</w:t>
      </w:r>
    </w:p>
    <w:p w14:paraId="4EB4050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Isobe, C., Abe, T., Terayama, Y., 2010. Levels of reduced and oxidized coenzyme Q-10 and 8-hydroxy-2’-deoxyguanosine in the cerebrospinal fluid of patients with living Parkinson’s disease demonstrate that mitochondrial oxidative damage and/or oxidative DNA damage contributes to the neurodegener. Neurosci. Lett. 469, 159–63. https://doi.org/10.1016/j.neulet.2009.11.065</w:t>
      </w:r>
    </w:p>
    <w:p w14:paraId="6B3249F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Itoh, K., Chiba, T., Takahashi, S., Ishii, T., Igarashi, K., Katoh, Y., Oyake, T., Hayashi, N., Satoh, K., Hatayama, I., Yamamoto, M., Nabeshima, Y., 1997. An Nrf2/Small Maf Heterodimer Mediates the Induction of Phase II Detoxifying Enzyme Genes through Antioxidant Response Elements. Biochem. Biophys. Res. Commun. 236, 313–322. https://doi.org/10.1006/bbrc.1997.6943</w:t>
      </w:r>
    </w:p>
    <w:p w14:paraId="034B7F5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Itoh, K., Igarashi, K., Hayashi, N., Nishizawa, M., Yamamoto, M., 1995. Cloning and characterization of a novel erythroid cell-derived CNC family transcription factor heterodimerizing with the small Maf family proteins. Mol. Cell. Biol. 15, 4184–93.</w:t>
      </w:r>
    </w:p>
    <w:p w14:paraId="025FF51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Itoh, K., Wakabayashi, N., Katoh, Y., Ishii, T., Igarashi, K., Engel, J.D., Yamamoto, M., 1999. Keap1 represses nuclear activation of antioxidant responsive elements by Nrf2 through binding to the amino-terminal Neh2 domain. Genes Dev. 13, 76–86. https://doi.org/10.1101/gad.13.1.76</w:t>
      </w:r>
    </w:p>
    <w:p w14:paraId="364AECD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Jain, A., Lamark, T., Sjøttem, E., Larsen, K.B., Awuh, J.A., Øvervatn, A., McMahon, M., Hayes, J.D., Johansen, T., 2010. p62/SQSTM1 is a target gene for transcription factor NRF2 and creates a positive feedback loop by inducing antioxidant response element-driven gene transcription. J. Biol. Chem. https://doi.org/10.1074/jbc.M110.118976</w:t>
      </w:r>
    </w:p>
    <w:p w14:paraId="736DEC3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Jain, A.K., Jaiswal, A.K., 2007. GSK-3beta Acts Upstream of Fyn Kinase in Regulation of Nuclear Export and Degradation of NF-E2 Related Factor 2. J. Biol. Chem. 282, 16502–16510. https://doi.org/10.1074/jbc.M611336200</w:t>
      </w:r>
    </w:p>
    <w:p w14:paraId="5B0CD26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Jain, A.K., Jaiswal, A.K., 2006. Phosphorylation of tyrosine 568 controls nuclear export of Nrf2. J. Biol. Chem. 281, 12132–12142. https://doi.org/10.1074/jbc.M511198200</w:t>
      </w:r>
    </w:p>
    <w:p w14:paraId="15F1799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Jakel, R.J., Kern, J.T., Johnson, D.A., Johnson, J.A., 2005. Induction of the protective antioxidant response element pathway by 6-hydroxydopamine in vivo and in vitro. Toxicol. Sci. 87, 176–186. https://doi.org/10.1093/toxsci/kfi241</w:t>
      </w:r>
    </w:p>
    <w:p w14:paraId="6BD24F1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Jakel, R.J., Townsend, J.A., Kraft, A.D., Johnson, J.A., 2007. Nrf2-mediated protection against 6-hydroxydopamine. Brain Res. 1144, 192–201. https://doi.org/10.1016/j.brainres.2007.01.131</w:t>
      </w:r>
    </w:p>
    <w:p w14:paraId="7E31699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Jankovic, J., 2008. Parkinson’s disease: clinical features and diagnosis. J. Neurol. Neurosurg. Psychiatry 79, 368–76. https://doi.org/10.1136/jnnp.2007.131045</w:t>
      </w:r>
    </w:p>
    <w:p w14:paraId="48ACBB4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Jenner, P., 2003. Oxidative stress in Parkinson’s disease. Ann. Neurol. 53 Suppl 3, S26-36; discussion S36–8. https://doi.org/10.1002/ana.10483</w:t>
      </w:r>
    </w:p>
    <w:p w14:paraId="259911D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Jenner, P., Olanow, C.W., 2006. The pathogenesis of cell death in Parkinson’s disease. Neurology 66, S24-36. https://doi.org/10.1002/mds.21675</w:t>
      </w:r>
    </w:p>
    <w:p w14:paraId="7C4D714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Jing, X., Shi, H., Zhu, X., Wei, X., Ren, M., Han, M., Ren, D., Lou, H., 2015. Eriodictyol Attenuates </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-Amyloid 25–35 Peptide-Induced Oxidative Cell Death in Primary Cultured </w:t>
      </w:r>
      <w:r w:rsidRPr="00CB1C44">
        <w:rPr>
          <w:rFonts w:ascii="Arial" w:eastAsia="Times New Roman" w:hAnsi="Arial" w:cs="Arial"/>
          <w:noProof/>
          <w:sz w:val="20"/>
          <w:lang w:val="en-US"/>
        </w:rPr>
        <w:lastRenderedPageBreak/>
        <w:t>Neurons by Activation of Nrf2. Neurochem. Res. 40, 1463–1471. https://doi.org/10.1007/s11064-015-1616-z</w:t>
      </w:r>
    </w:p>
    <w:p w14:paraId="41FF1E9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Joo, M.S., Kim, W.D., Lee, K.Y., Kim, J.H., Koo, J.H., Kim, S.G., 2016. AMPK Facilitates Nuclear Accumulation of Nrf2 by Phosphorylating at Serine 550. Mol. Cell. Biol. https://doi.org/10.1128/mcb.00118-16</w:t>
      </w:r>
    </w:p>
    <w:p w14:paraId="7345351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Joshi, G., Gan, K.A., Johnson, D.A., Johnson, J.A., 2015. Increased Alzheimer’s disease-like pathology in the APP/ PS1??E9 mouse model lacking Nrf2 through modulation of autophagy. Neurobiol. Aging 36, 664–679. https://doi.org/10.1016/j.neurobiolaging.2014.09.004</w:t>
      </w:r>
    </w:p>
    <w:p w14:paraId="4112699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Jung, Y.-S., Ryu, B.R., Lee, B.K., Mook-Jung, I., Kim, S.U., Lee, S.H., Baik, E.J., Moon, C.-H., 2004. Role for PKC-epsilon in neuronal death induced by oxidative stress. Biochem. Biophys. Res. Commun. 320, 789–94. https://doi.org/10.1016/j.bbrc.2004.05.217</w:t>
      </w:r>
    </w:p>
    <w:p w14:paraId="7A6A264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Kalkhoven, E., 2004. CBP and p300: HATs for different occasions, in: Biochemical Pharmacology. pp. 1145–1155. https://doi.org/10.1016/j.bcp.2004.03.045</w:t>
      </w:r>
    </w:p>
    <w:p w14:paraId="554AD91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Kang, K.W., Lee, S.J., Park, J.W., Kim, S.G., 2002. Phosphatidylinositol 3-kinase regulates nuclear translocation of NF-E2-related factor 2 through actin rearrangement in response to oxidative stress. Mol. Pharmacol. 62, 1001–1010. https://doi.org/10.1124/mol.62.5.1001</w:t>
      </w:r>
    </w:p>
    <w:p w14:paraId="33763D6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Kanninen, K., Heikkinen, R., Malm, T., Rolova, T., Kuhmonen, S., Leinonen, H., Yla-Herttuala, S., Tanila, H., Levonen, A.-L., Koistinaho, M., Koistinaho, J., 2009. Intrahippocampal injection of a lentiviral vector expressing Nrf2 improves spatial learning in a mouse model of Alzheimer’s disease. Proc. Natl. Acad. Sci. 106, 16505–16510. https://doi.org/10.1073/pnas.0908397106</w:t>
      </w:r>
    </w:p>
    <w:p w14:paraId="5A1ED5F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Kanninen, K., Malm, T.M., Jyrkkänen, H.-K., Goldsteins, G., Keksa-Goldsteine, V., Tanila, H., Yamamoto, M., Ylä-Herttuala, S., Levonen, A.-L., Koistinaho, J., 2008. Nuclear factor erythroid 2-related factor 2 protects against beta amyloid. Mol. Cell. </w:t>
      </w:r>
      <w:r w:rsidRPr="00CB1C44">
        <w:rPr>
          <w:rFonts w:ascii="Arial" w:eastAsia="Times New Roman" w:hAnsi="Arial" w:cs="Arial"/>
          <w:noProof/>
          <w:sz w:val="20"/>
        </w:rPr>
        <w:t>Neurosci. 39, 302–313. https://doi.org/10.1016/j.mcn.2008.07.010</w:t>
      </w:r>
    </w:p>
    <w:p w14:paraId="6C04138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Karunakaran, S., Ravindranath, V., 2009. </w:t>
      </w:r>
      <w:r w:rsidRPr="00CB1C44">
        <w:rPr>
          <w:rFonts w:ascii="Arial" w:eastAsia="Times New Roman" w:hAnsi="Arial" w:cs="Arial"/>
          <w:noProof/>
          <w:sz w:val="20"/>
          <w:lang w:val="en-US"/>
        </w:rPr>
        <w:t>Activation of p38 MAPK in the substantia nigra leads to nuclear translocation of NF-</w:t>
      </w:r>
      <w:r w:rsidRPr="00CB1C44">
        <w:rPr>
          <w:rFonts w:ascii="Arial" w:eastAsia="Times New Roman" w:hAnsi="Arial" w:cs="Arial"/>
          <w:noProof/>
          <w:sz w:val="20"/>
        </w:rPr>
        <w:t>κ</w:t>
      </w:r>
      <w:r w:rsidRPr="00CB1C44">
        <w:rPr>
          <w:rFonts w:ascii="Arial" w:eastAsia="Times New Roman" w:hAnsi="Arial" w:cs="Arial"/>
          <w:noProof/>
          <w:sz w:val="20"/>
          <w:lang w:val="en-US"/>
        </w:rPr>
        <w:t>B in MPTP-treated mice: implication in Parkinson’s disease. J. Neurochem. 109, 1791–1799. https://doi.org/10.1111/j.1471-4159.2009.06112.x</w:t>
      </w:r>
    </w:p>
    <w:p w14:paraId="736D892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Karunakaran, S., Saeed, U., Mishra, M., Valli, R.K., Datt Joshi, S., Meka, D.P., Seth, P., Ravindranath, V., Joshi, S.D., Meka, D.P., Seth, P., Ravindranath, V., 2008. Selective Activation of p38 Mitogen-Activated Protein Kinase in Dopaminergic Neurons of Substantia Nigra Leads to Nuclear Translocation of p53 in 1-Methyl-4-Phenyl-1,2,3,6-Tetrahydropyridine-Treated Mice. J Neurosci 28, 12500–12509. https://doi.org/10.1523/jneurosci.4511-08.2008</w:t>
      </w:r>
    </w:p>
    <w:p w14:paraId="4C3404C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Kaspar, J.W., Jaiswal, A.K., 2010. An autoregulatory loop between Nrf2 and Cul3-Rbx1 controls their cellular abundance. J. Biol. Chem. 285, 21349–21358. https://doi.org/10.1074/jbc.M110.121863</w:t>
      </w:r>
    </w:p>
    <w:p w14:paraId="02A7E4C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Katoh, Y., Itoh, K., Yoshida, E., Miyagishi, M., Fukamizu, A., Yamamoto, M., 2001. Two domains of Nrf2 cooperatively bind CBP, a CREB binding protein, and synergistically activate transcription. Genes to Cells 6, 857–868. https://doi.org/10.1046/j.1365-2443.2001.00469.x</w:t>
      </w:r>
    </w:p>
    <w:p w14:paraId="7E00F07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Kaur, D., Yantiri, F., Rajagopalan, S., Kumar, J., Mo, J.Q., Boonplueang, R., Viswanath, V., Jacobs, R., Yang, L., Beal, M.F., DiMonte, D., Volitaskis, I., Ellerby, L., Cherny, R.A., Bush, A.I., Andersen, J.K., 2003. Genetic or pharmacological iron chelation prevents MPTP-induced neurotoxicity in vivo: A novel therapy for Parkinson’s disease. Neuron 37, 899–909. https://doi.org/10.1016/S0896-6273(03)00126-0</w:t>
      </w:r>
    </w:p>
    <w:p w14:paraId="0515482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Keeney, P.M., Xie, J., Capaldi, R. a, Bennett, J.P., 2006. Parkinson’s disease brain mitochondrial complex I has oxidatively damaged subunits and is functionally impaired and misassembled. J. Neurosci. 26, 5256–5264. https://doi.org/10.1523/JNEUROSCI.0984-06.2006</w:t>
      </w:r>
    </w:p>
    <w:p w14:paraId="1C7E62A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Keum, Y.-S., Yu, S., Chang, P.P.-J., Yuan, X., Kim, J.-H., Xu, C., Han, J., Agarwal, A., Kong, A.-N.T., 2006. Mechanism of action of sulforaphane: inhibition of p38 mitogen-activated protein kinase isoforms contributing to the induction of antioxidant response element-mediated heme oxygenase-1 in human hepatoma HepG2 cells. Cancer Res. 66, 8804–13. https://doi.org/10.1158/0008-5472.CAN-05-3513</w:t>
      </w:r>
    </w:p>
    <w:p w14:paraId="379C648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Keum, Y.S., Choi, B.Y., 2014. Molecular and chemical regulation of the keap1-Nrf2 signaling pathway. Molecules. https://doi.org/10.3390/molecules190710074</w:t>
      </w:r>
    </w:p>
    <w:p w14:paraId="05C8AB0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Kim, B.-W., Koppula, S., Kumar, H., Park, J.-Y., Kim, I.-W., More, S. V., Kim, I.-S., Han, S.-D., </w:t>
      </w:r>
      <w:r w:rsidRPr="00CB1C44">
        <w:rPr>
          <w:rFonts w:ascii="Arial" w:eastAsia="Times New Roman" w:hAnsi="Arial" w:cs="Arial"/>
          <w:noProof/>
          <w:sz w:val="20"/>
          <w:lang w:val="en-US"/>
        </w:rPr>
        <w:lastRenderedPageBreak/>
        <w:t xml:space="preserve">Kim, S.-K., Yoon, S.-H., Choi, D.-K., 2015. </w:t>
      </w:r>
      <w:r w:rsidRPr="00CB1C44">
        <w:rPr>
          <w:rFonts w:ascii="Arial" w:eastAsia="Times New Roman" w:hAnsi="Arial" w:cs="Arial"/>
          <w:noProof/>
          <w:sz w:val="20"/>
        </w:rPr>
        <w:t>α</w:t>
      </w:r>
      <w:r w:rsidRPr="00CB1C44">
        <w:rPr>
          <w:rFonts w:ascii="Arial" w:eastAsia="Times New Roman" w:hAnsi="Arial" w:cs="Arial"/>
          <w:noProof/>
          <w:sz w:val="20"/>
          <w:lang w:val="en-US"/>
        </w:rPr>
        <w:t>-Asarone attenuates microglia-mediated neuroinflammation by inhibiting NF kappa B activation and mitigates MPTP-induced behavioral deficits in a mouse model of Parkinson’s disease. Neuropharmacology 97, 46–57. https://doi.org/10.1016/j.neuropharm.2015.04.037</w:t>
      </w:r>
    </w:p>
    <w:p w14:paraId="7E557F7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Kim, C., Ojo-Amaize, E., Spencer, B., Rockenstein, E., Mante, M., Desplats, P., Wrasidlo, W., Adame, A., Nchekwube, E., Oyemade, O., Okogun, J., Chan, M., Cottam, H., Masliah, E., 2015. Hypoestoxide reduces neuroinflammation and </w:t>
      </w:r>
      <w:r w:rsidRPr="00CB1C44">
        <w:rPr>
          <w:rFonts w:ascii="Arial" w:eastAsia="Times New Roman" w:hAnsi="Arial" w:cs="Arial"/>
          <w:noProof/>
          <w:sz w:val="20"/>
        </w:rPr>
        <w:t>α</w:t>
      </w:r>
      <w:r w:rsidRPr="00CB1C44">
        <w:rPr>
          <w:rFonts w:ascii="Arial" w:eastAsia="Times New Roman" w:hAnsi="Arial" w:cs="Arial"/>
          <w:noProof/>
          <w:sz w:val="20"/>
          <w:lang w:val="en-US"/>
        </w:rPr>
        <w:t>-synuclein accumulation in a mouse model of Parkinson’s disease. J. Neuroinflammation 12, 236. https://doi.org/10.1186/s12974-015-0455-9</w:t>
      </w:r>
    </w:p>
    <w:p w14:paraId="3108996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Kim, T. Il, Lee, Y.K., Park, S.G., Choi, I.S., Ban, J.O., Park, H.K., Nam, S.-Y., Yun, Y.W., Han, S.B., Oh, K.W., Hong, J.T., 2009. l-Theanine, an amino acid in green tea, attenuates </w:t>
      </w:r>
      <w:r w:rsidRPr="00CB1C44">
        <w:rPr>
          <w:rFonts w:ascii="Arial" w:eastAsia="Times New Roman" w:hAnsi="Arial" w:cs="Arial"/>
          <w:noProof/>
          <w:sz w:val="20"/>
        </w:rPr>
        <w:t>β</w:t>
      </w:r>
      <w:r w:rsidRPr="00CB1C44">
        <w:rPr>
          <w:rFonts w:ascii="Arial" w:eastAsia="Times New Roman" w:hAnsi="Arial" w:cs="Arial"/>
          <w:noProof/>
          <w:sz w:val="20"/>
          <w:lang w:val="en-US"/>
        </w:rPr>
        <w:t>-amyloid-induced cognitive dysfunction and neurotoxicity: Reduction in oxidative damage and inactivation of ERK/p38 kinase and NF-</w:t>
      </w:r>
      <w:r w:rsidRPr="00CB1C44">
        <w:rPr>
          <w:rFonts w:ascii="Arial" w:eastAsia="Times New Roman" w:hAnsi="Arial" w:cs="Arial"/>
          <w:noProof/>
          <w:sz w:val="20"/>
        </w:rPr>
        <w:t>κ</w:t>
      </w:r>
      <w:r w:rsidRPr="00CB1C44">
        <w:rPr>
          <w:rFonts w:ascii="Arial" w:eastAsia="Times New Roman" w:hAnsi="Arial" w:cs="Arial"/>
          <w:noProof/>
          <w:sz w:val="20"/>
          <w:lang w:val="en-US"/>
        </w:rPr>
        <w:t>B pathways. Free Radic. Biol. Med. 47, 1601–1610. https://doi.org/10.1016/j.freeradbiomed.2009.09.008</w:t>
      </w:r>
    </w:p>
    <w:p w14:paraId="31F0F64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Kitani, K., Osawa, T., Yokozawa, T., 2007. The effects of tetrahydrocurcumin and green tea polyphenol on the survival of male C57BL/6 mice. Biogerontology 8, 567–573. https://doi.org/10.1007/s10522-007-9100-z</w:t>
      </w:r>
    </w:p>
    <w:p w14:paraId="0424EC0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Klegeris, A., Pelech, S., Giasson, B.I., Maguire, J., Zhang, H., McGeer, E.G., McGeer, P.L., 2008. Alpha-Synuclein activates stress signaling protein kinases in THP-1 cells and microglia. Neurobiol. Aging 29, 739–752. https://doi.org/10.1016/j.neurobiolaging.2006.11.013</w:t>
      </w:r>
    </w:p>
    <w:p w14:paraId="17802B3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Klein, W.L., Krafft, G.A., Finch, C.E., 2001. Targeting small A ?? oligomers: The solution to an Alzheimer’s disease conundrum? Trends Neurosci. https://doi.org/10.1016/S0166-2236(00)01749-5</w:t>
      </w:r>
    </w:p>
    <w:p w14:paraId="2B062F2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Kobayashi, A., Kang, M.-I., Okawa, H., Ohtsuji, M., Zenke, Y., Chiba, T., Igarashi, K., Yamamoto, M., 2004. Oxidative stress sensor Keap1 functions as an adaptor for Cul3-based E3 ligase to regulate proteasomal degradation of Nrf2. Mol. Cell. Biol. 24, 7130–9. https://doi.org/10.1128/MCB.24.16.7130</w:t>
      </w:r>
    </w:p>
    <w:p w14:paraId="274AB22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Koistinaho, M., Kettunen, M.I., Goldsteins, G., Keinanen, R., Salminen, A., Ort, M., Bures, J., Liu, D., Kauppinen, R.A., Higgins, L.S., Koistinaho, J., Keinänen, R., Salminen, A., Ort, M., Bures, J., Liu, D., Kauppinen, R.A., Higgins, L.S., Koistinaho, J., 2002. Beta-amyloid precursor protein transgenic mice that harbor diffuse A beta deposits but do not form plaques show increased ischemic vulnerability: role of inflammation. Proc Natl Acad Sci U S A 99, 1610–1615. https://doi.org/10.1073/pnas.032670899</w:t>
      </w:r>
    </w:p>
    <w:p w14:paraId="77A209C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Komatsu, M., Kurokawa, H., Waguri, S., Taguchi, K., Kobayashi, A., Ichimura, Y., Sou, Y.-S., Ueno, I., Sakamoto, A., Tong, K.I., Kim, M., Nishito, Y., Iemura, S., Natsume, T., Ueno, T., Kominami, E., Motohashi, H., Tanaka, K., Yamamoto, M., 2010. The selective autophagy substrate p62 activates the stress responsive transcription factor Nrf2 through inactivation of Keap1. Nat. Cell Biol. 12, 213–223. https://doi.org/10.1038/ncb2021</w:t>
      </w:r>
    </w:p>
    <w:p w14:paraId="1E5D7E7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Kuusisto, E., Parkkinen, L., Alafuzoff, I., 2003. Morphogenesis of Lewy bodies: dissimilar incorporation of alpha-synuclein, ubiquitin, and p62. J. Neuropathol. Exp. Neurol. 62, 1241–1253.</w:t>
      </w:r>
    </w:p>
    <w:p w14:paraId="03CA7CF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Kwok, R.P., Lundblad, J.R., Chrivia, J.C., Richards, J.P., Bächinger, H.P., Brennan, R.G., Roberts, S.G., Green, M.R., Goodman, R.H., 1994. Nuclear protein CBP is a coactivator for the transcription factor CREB. Nature. https://doi.org/10.1038/370223a0</w:t>
      </w:r>
    </w:p>
    <w:p w14:paraId="0A28FDB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Kwon, S.-H., Ma, S.-X., Hwang, J.-Y., Lee, S.-Y., Jang, C.-G., 2015. Involvement of the Nrf2/HO-1 signaling pathway in sulfuretin-induced protection against amyloid beta25–35 neurotoxicity. Neuroscience 304, 14–28. https://doi.org/10.1016/j.neuroscience.2015.07.030</w:t>
      </w:r>
    </w:p>
    <w:p w14:paraId="619A94E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Lang, A.E., Lozano, A.M., 1998. Parkinson’s disease. First of two parts. N. Engl. J. Med. 339, 1044–1053. https://doi.org/10.1056/NEJM199810083391506</w:t>
      </w:r>
    </w:p>
    <w:p w14:paraId="024FFF1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Lastres-Becker, I., Ulusoy, A., Innamorato, N.G., Sahin, G., Rábano, A., Kirik, D., Cuadrado, A., 2012. </w:t>
      </w:r>
      <w:r w:rsidRPr="00CB1C44">
        <w:rPr>
          <w:rFonts w:ascii="Arial" w:eastAsia="Times New Roman" w:hAnsi="Arial" w:cs="Arial"/>
          <w:noProof/>
          <w:sz w:val="20"/>
        </w:rPr>
        <w:t>α</w:t>
      </w:r>
      <w:r w:rsidRPr="00CB1C44">
        <w:rPr>
          <w:rFonts w:ascii="Arial" w:eastAsia="Times New Roman" w:hAnsi="Arial" w:cs="Arial"/>
          <w:noProof/>
          <w:sz w:val="20"/>
          <w:lang w:val="en-US"/>
        </w:rPr>
        <w:t>-synuclein expression and Nrf2 deficiency cooperate to aggravate protein aggregation, neuronal death and inflammation in early-stage Parkinson’s disease. Hum. Mol. Genet. 21, 3173–3192. https://doi.org/10.1093/hmg/dds143</w:t>
      </w:r>
    </w:p>
    <w:p w14:paraId="51FA21F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Lee, C., Park, G.H., Lee, S.-R., Jang, J.-H., 2013. Attenuation of </w:t>
      </w:r>
      <w:r w:rsidRPr="00CB1C44">
        <w:rPr>
          <w:rFonts w:ascii="Arial" w:eastAsia="Times New Roman" w:hAnsi="Arial" w:cs="Arial"/>
          <w:noProof/>
          <w:sz w:val="20"/>
        </w:rPr>
        <w:t>β</w:t>
      </w:r>
      <w:r w:rsidRPr="00CB1C44">
        <w:rPr>
          <w:rFonts w:ascii="Arial" w:eastAsia="Times New Roman" w:hAnsi="Arial" w:cs="Arial"/>
          <w:noProof/>
          <w:sz w:val="20"/>
          <w:lang w:val="en-US"/>
        </w:rPr>
        <w:t>-amyloid-induced oxidative cell death by sulforaphane via activation of NF-E2-related factor 2. Oxid. Med. Cell. Longev. 2013, 313510. https://doi.org/10.1155/2013/313510</w:t>
      </w:r>
    </w:p>
    <w:p w14:paraId="03F70B2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Lee, H.-J., Kim, S.-H., Kim, K.-W., Um, J.-H., Lee, H.-W., Chung, B.-S., Kang, C.-D., 2001. Antiapoptotic role of NF-</w:t>
      </w:r>
      <w:r w:rsidRPr="00CB1C44">
        <w:rPr>
          <w:rFonts w:ascii="Arial" w:eastAsia="Times New Roman" w:hAnsi="Arial" w:cs="Arial"/>
          <w:noProof/>
          <w:sz w:val="20"/>
        </w:rPr>
        <w:t>κ</w:t>
      </w:r>
      <w:r w:rsidRPr="00CB1C44">
        <w:rPr>
          <w:rFonts w:ascii="Arial" w:eastAsia="Times New Roman" w:hAnsi="Arial" w:cs="Arial"/>
          <w:noProof/>
          <w:sz w:val="20"/>
          <w:lang w:val="en-US"/>
        </w:rPr>
        <w:t xml:space="preserve">B in the auto-oxidized dopamine-induced apoptosis of PC12 </w:t>
      </w:r>
      <w:r w:rsidRPr="00CB1C44">
        <w:rPr>
          <w:rFonts w:ascii="Arial" w:eastAsia="Times New Roman" w:hAnsi="Arial" w:cs="Arial"/>
          <w:noProof/>
          <w:sz w:val="20"/>
          <w:lang w:val="en-US"/>
        </w:rPr>
        <w:lastRenderedPageBreak/>
        <w:t>cells. J. Neurochem. 76, 602–609. https://doi.org/10.1046/j.1471-4159.2001.00076.x</w:t>
      </w:r>
    </w:p>
    <w:p w14:paraId="3773CE0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Lee, J.M., Shih, A.Y., Murphy, T.H., Johnson, J.A., 2003. NF-E2-related factor-2 mediates neuroprotection against mitochondrial complex I inhibitors and increased concentrations of intracellular calcium in primary cortical neurons. J. Biol. Chem. 278, 37948–37956. https://doi.org/10.1074/jbc.M305204200</w:t>
      </w:r>
    </w:p>
    <w:p w14:paraId="70B2D95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Lee Mosley, R., Benner, E.J., Kadiu, I., Thomas, M., Boska, M.D., Hasan, K., Laurie, C., Gendelman, H.E., 2006. Neuroinflammation, oxidative stress, and the pathogenesis of Parkinson’s disease. Clin. Neurosci. Res. 6, 261–281. https://doi.org/10.1016/j.cnr.2006.09.006</w:t>
      </w:r>
    </w:p>
    <w:p w14:paraId="1849152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Lee, W., Boo, J.H., Jung, M.W., Park, S.D., Kim, Y.H., Kim, S.U., Mook-Jung, I., 2004. Amyloid beta peptide directly inhibits PKC activation. Mol. Cell. Neurosci. 26, 222–231. https://doi.org/10.1016/j.mcn.2003.10.020</w:t>
      </w:r>
    </w:p>
    <w:p w14:paraId="46BC7F1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Leroy, K., Yilmaz, Z., Brion, J.P., 2007. Increased level of active GSK-3?? in Alzheimer’s disease and accumulation in argyrophilic grains and in neurones at different stages of neurofibrillary degeneration. Neuropathol. Appl. Neurobiol. 33, 43–55. https://doi.org/10.1111/j.1365-2990.2006.00795.x</w:t>
      </w:r>
    </w:p>
    <w:p w14:paraId="4865332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Lesage, S., Brice, A., 2009. Parkinson’s disease: From monogenic forms to genetic susceptibility factors. Hum. Mol. Genet. https://doi.org/10.1093/hmg/ddp012</w:t>
      </w:r>
    </w:p>
    <w:p w14:paraId="6D6770A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 C., Tang, B., Feng, Y., Tang, F., Pui-Man Hoi, M., Su, Z., Ming-Yuen Lee, S., 2018. Pinostrobin Exerts Neuroprotective Actions in Neurotoxin-Induced Parkinson’s Disease Models through Nrf2 Induction. J. Agric. Food Chem. 66, 8307–8318. https://doi.org/10.1021/acs.jafc.8b02607</w:t>
      </w:r>
    </w:p>
    <w:p w14:paraId="34596D3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 W., Jain, M.R., Chen, C., Yue, X., Hebbar, V., Zhou, R., Kong, A.N.T., 2005. Nrf2 possesses a redox-insensitive nuclear export signal overlapping with the leucine zipper motif. J. Biol. Chem. 280, 28430–28438. https://doi.org/10.1074/jbc.M410601200</w:t>
      </w:r>
    </w:p>
    <w:p w14:paraId="65BFB9C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 X., Zhang, D., Hannink, M., Beamer, L.J., 2004. Crystal structure of the Kelch domain of human Keap1. J. Biol. Chem. 279, 54750–54758. https://doi.org/10.1074/jbc.M410073200</w:t>
      </w:r>
    </w:p>
    <w:p w14:paraId="07482A7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 Y., Sun, H., Chen, Z., Xu, H., Bu, G., Zheng, H., 2016. Implications of GABAergic neurotransmission in Alzheimer’s disease. Front. Aging Neurosci. https://doi.org/10.3389/fnagi.2016.00031</w:t>
      </w:r>
    </w:p>
    <w:p w14:paraId="76910EA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Liddell, J., 2017. Are Astrocytes the Predominant Cell Type for Activation of Nrf2 in Aging and Neurodegeneration? Antioxidants. https://doi.org/10.3390/antiox6030065</w:t>
      </w:r>
    </w:p>
    <w:p w14:paraId="35EB580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Lin, W., Ding, M., Xue, J., Leng, W., 2013. The role of TLR2/JNK/NF-kappaB pathway in amyloid beta peptide-induced inflammatory response in mouse NG108-15 neural cells. Int. Immunopharmacol. 17, 880–884. https://doi.org/10.1016/j.intimp.2013.09.016</w:t>
      </w:r>
    </w:p>
    <w:p w14:paraId="209D1C6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Liu, G.-H., Qu, J., Shen, X., 2008. NF-kappaB/p65 antagonizes Nrf2-ARE pathway by depriving CBP from Nrf2 and facilitating recruitment of HDAC3 to MafK. Biochim. Biophys. Acta 1783, 713–27. https://doi.org/10.1016/j.bbamcr.2008.01.002</w:t>
      </w:r>
    </w:p>
    <w:p w14:paraId="46583C3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Loboda, A., Damulewicz, M., Pyza, E., Jozkowicz, A., Dulak, J., 2016. Role of Nrf2/HO-1 system in development, oxidative stress response and diseases: an evolutionarily conserved mechanism. Cell. Mol. Life Sci. 73, 1–27. https://doi.org/10.1007/s00018-016-2223-0</w:t>
      </w:r>
    </w:p>
    <w:p w14:paraId="4209FF4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Lovell, M.A., Ehmann, W.D., Mattson, M.P., Markesbery, W.R., 1997. Elevated 4-hydroxynonenal in ventricular fluid in Alzheimer’s disease. Neurobiol. Aging 18, 457–461. https://doi.org/10.1016/S0197-4580(97)00108-5</w:t>
      </w:r>
    </w:p>
    <w:p w14:paraId="14938B6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Lu, Z., Xu, S., 2006. ERK1/2 MAP kinases in cell survival and apoptosis. IUBMB Life 58, 621–631. https://doi.org/10.1080/15216540600957438</w:t>
      </w:r>
    </w:p>
    <w:p w14:paraId="7B57E03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Mai, A., Jung, S.K., Yonehara, S., 2004. hDKIR, a human homologue of the Drosophila kelch protein, involved in a ring-like structure. Exp. Cell Res. 300, 72–83. https://doi.org/10.1016/j.yexcr.2004.06.023</w:t>
      </w:r>
    </w:p>
    <w:p w14:paraId="7542344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Malagelada, C., Jin, Z.H., Greene, L. a, 2008. RTP801 is induced in Parkinson’s disease and mediates neuron death by inhibiting Akt phosphorylation/activation. J. Neurosci. 28, 14363–71. https://doi.org/10.1523/JNEUROSCI.3928-08.2008</w:t>
      </w:r>
    </w:p>
    <w:p w14:paraId="07DBDFD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Malhotra, D., Portales-Casamar, E., Singh, A., Srivastava, S., Arenillas, D., Happel, C., Shyr, C., Wakabayashi, N., Kensler, T.W., Wasserman, W.W., Biswal, S., 2010. Global mapping of binding sites for Nrf2 identifies novel targets in cell survival response through chip-seq profiling and network analysis. Nucleic Acids Res. 38, 5718–5734. https://doi.org/10.1093/nar/gkq212</w:t>
      </w:r>
    </w:p>
    <w:p w14:paraId="1927B59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Malm, T.M., Iivonen, H., Goldsteins, G., Keksa-Goldsteine, V., Ahtoniemi, T., Kanninen, K., Salminen, A., Auriola, S., Van Groen, T., Tanila, H., Koistinaho, J., 2007. Pyrrolidine </w:t>
      </w:r>
      <w:r w:rsidRPr="00CB1C44">
        <w:rPr>
          <w:rFonts w:ascii="Arial" w:eastAsia="Times New Roman" w:hAnsi="Arial" w:cs="Arial"/>
          <w:noProof/>
          <w:sz w:val="20"/>
          <w:lang w:val="en-US"/>
        </w:rPr>
        <w:lastRenderedPageBreak/>
        <w:t>dithiocarbamate activates Akt and improves spatial learning in APP/PS1 mice without affecting beta-amyloid burden. J. Neurosci. 27, 3712–3721. https://doi.org/10.1523/JNEUROSCI.0059-07.2007</w:t>
      </w:r>
    </w:p>
    <w:p w14:paraId="236E445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Marcus, D.L., Thomas, C., Rodriguez, C., Simberkoff, K., Tsai, J.S., Strafaci, J. a, Freedman, M.L., 1998. Increased peroxidation and reduced antioxidant enzyme activity in Alzheimer’s disease. Exp. Neurol. 150, 40–44. https://doi.org/10.1006/exnr.1997.6750</w:t>
      </w:r>
    </w:p>
    <w:p w14:paraId="583F7E7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Markesbery, W.R., Lovell, M.A., 1998. Four-hydroxynonenal, a product of lipid peroxidation, is increased in the brain in Alzheimer’s disease. Neurobiol. Aging 19, 33–36. https://doi.org/10.1016/S0197-4580(98)00009-8</w:t>
      </w:r>
    </w:p>
    <w:p w14:paraId="16E3671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Matsuda, N., Sato, S., Shiba, K., Okatsu, K., Saisho, K., Gautier, C.A., Sou, Y.S., Saiki, S., Kawajiri, S., Sato, F., Kimura, M., Komatsu, M., Hattori, N., Tanaka, K., 2010. PINK1 stabilized by mitochondrial depolarization recruits Parkin to damaged mitochondria and activates latent Parkin for mitophagy. J. Cell Biol. https://doi.org/10.1083/jcb.200910140</w:t>
      </w:r>
    </w:p>
    <w:p w14:paraId="2CF57D6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Mecocci, P., MacGarvey, U., Beal, M.F., 1994. Oxidative damage to mitochondrial DNA is increased in Alzheimer’s disease. Ann. Neurol. 36, 747–751. https://doi.org/10.1002/ana.410360510</w:t>
      </w:r>
    </w:p>
    <w:p w14:paraId="60D8687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Meng, X., Wang, M., Sun, G., Ye, J., Zhou, Y., Dong, X., Wang, T., Lu, S., Sun, X., 2014. Attenuation of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25–35-induced parallel autophagic and apoptotic cell death by gypenoside XVII through the estrogen receptor-dependent activation of Nrf2/ARE pathways. </w:t>
      </w:r>
      <w:r w:rsidRPr="00CB1C44">
        <w:rPr>
          <w:rFonts w:ascii="Arial" w:eastAsia="Times New Roman" w:hAnsi="Arial" w:cs="Arial"/>
          <w:noProof/>
          <w:sz w:val="20"/>
        </w:rPr>
        <w:t>Toxicol. Appl. Pharmacol. 279, 63–75. https://doi.org/10.1016/j.taap.2014.03.026</w:t>
      </w:r>
    </w:p>
    <w:p w14:paraId="692BFF0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rPr>
        <w:t xml:space="preserve">Mercado-Gómez, O., Hernández-Fonseca, K., Villavicencio-Queijeiro, A., Massieu, L., Chimal-Monroy, J., Arias, C., 2008. </w:t>
      </w:r>
      <w:r w:rsidRPr="00CB1C44">
        <w:rPr>
          <w:rFonts w:ascii="Arial" w:eastAsia="Times New Roman" w:hAnsi="Arial" w:cs="Arial"/>
          <w:noProof/>
          <w:sz w:val="20"/>
          <w:lang w:val="en-US"/>
        </w:rPr>
        <w:t xml:space="preserve">Inhibition of Wnt and PI3K signaling modulates GSK-3beta activity and induces morphological changes in cortical neurons: role of tau phosphorylation. </w:t>
      </w:r>
      <w:r w:rsidRPr="00CB1C44">
        <w:rPr>
          <w:rFonts w:ascii="Arial" w:eastAsia="Times New Roman" w:hAnsi="Arial" w:cs="Arial"/>
          <w:noProof/>
          <w:sz w:val="20"/>
        </w:rPr>
        <w:t>Neurochem. Res. 33, 1599–609. https://doi.org/10.1007/s11064-008-9714-9</w:t>
      </w:r>
    </w:p>
    <w:p w14:paraId="57E3CE6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Miseta, A., Csutora, P., 2000. </w:t>
      </w:r>
      <w:r w:rsidRPr="00CB1C44">
        <w:rPr>
          <w:rFonts w:ascii="Arial" w:eastAsia="Times New Roman" w:hAnsi="Arial" w:cs="Arial"/>
          <w:noProof/>
          <w:sz w:val="20"/>
          <w:lang w:val="en-US"/>
        </w:rPr>
        <w:t>Relationship between the occurrence of cysteine in proteins and the complexity of organisms. Mol. Biol. Evol. 17, 1232–9. https://doi.org/10.1093/oxfordjournals.molbev.a026406</w:t>
      </w:r>
    </w:p>
    <w:p w14:paraId="5971AF2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Mitra, S., Ghosh, N., Sinha, P., Chakrabarti, N., Bhattacharyya, A., 2016. Alteration of nuclear factor-kappaB pathway promote neuroinflammation depending on the functions of estrogen receptors in substantia nigra after 1-methyl-4-phenyl-1,2,3,6-tetrahydropyridine treatment. Neurosci. Lett. 616, 86–92. https://doi.org/10.1016/j.neulet.2016.01.046</w:t>
      </w:r>
    </w:p>
    <w:p w14:paraId="7959BA1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Mogi, M., Kondo, T., Mizuno, Y., Nagatsu, T., 2007. p53 protein, interferon-gamma, and NF-kappaB levels are elevated in the parkinsonian brain. </w:t>
      </w:r>
      <w:r w:rsidRPr="00CB1C44">
        <w:rPr>
          <w:rFonts w:ascii="Arial" w:eastAsia="Times New Roman" w:hAnsi="Arial" w:cs="Arial"/>
          <w:noProof/>
          <w:sz w:val="20"/>
        </w:rPr>
        <w:t>Neurosci. Lett. 414, 94–7. https://doi.org/10.1016/j.neulet.2006.12.003</w:t>
      </w:r>
    </w:p>
    <w:p w14:paraId="0246054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Mota, S.I., Costa, R.O., Ferreira, I.L., Santana, I., Caldeira, G.L., Padovano, C., Fonseca, A.C., Baldeiras, I., Cunha, C., Letra, L., Oliveira, C.R., Pereira, C.M.F., Rego, A.C., 2015. </w:t>
      </w:r>
      <w:r w:rsidRPr="00CB1C44">
        <w:rPr>
          <w:rFonts w:ascii="Arial" w:eastAsia="Times New Roman" w:hAnsi="Arial" w:cs="Arial"/>
          <w:noProof/>
          <w:sz w:val="20"/>
          <w:lang w:val="en-US"/>
        </w:rPr>
        <w:t>Oxidative stress involving changes in Nrf2 and ER stress in early stages of Alzheimer’s disease. Biochim. Biophys. Acta - Mol. Basis Dis. 1852, 1428–1441. https://doi.org/10.1016/j.bbadis.2015.03.015</w:t>
      </w:r>
    </w:p>
    <w:p w14:paraId="5344B8A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Motohashi, H., Katsuoka, F., Engel, J.D., Yamamoto, M., 2004. Small Maf proteins serve as transcriptional cofactors for keratinocyte differentiation in the Keap1-Nrf2 regulatory pathway. Proc. Natl. Acad. Sci. U. S. A. 101, 6379–6384. https://doi.org/10.1073/pnas.0305902101</w:t>
      </w:r>
    </w:p>
    <w:p w14:paraId="0E6BB17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Moussa, C., Hebron, M., Huang, X., Ahn, J., Rissman, R.A., Aisen, P.S., Turner, R.S., 2017. Resveratrol regulates neuro-inflammation and induces adaptive immunity in Alzheimer’s disease. J. Neuroinflammation. https://doi.org/10.1186/s12974-016-0779-0</w:t>
      </w:r>
    </w:p>
    <w:p w14:paraId="5482E1F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Munoz, L., Ralay Ranaivo, H., Roy, S.M., Hu, W., Craft, J.M., McNamara, L.K., Chico, L.W., Van Eldik, L.J., Watterson, D.M., 2007. A novel p38 alpha MAPK inhibitor suppresses brain proinflammatory cytokine up-regulation and attenuates synaptic dysfunction and behavioral deficits in an Alzheimer’s disease mouse model. J. Neuroinflammation 4, 21. https://doi.org/10.1186/1742-2094-4-21</w:t>
      </w:r>
    </w:p>
    <w:p w14:paraId="3C23972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Murata, H., Takamatsu, H., Liu, S., Kataoka, K., Huh, N.H., Sakaguchi, M., 2015. NRF2 Regulates PINK1 Expression under oxidative stress conditions. PLoS One. https://doi.org/10.1371/journal.pone.0142438</w:t>
      </w:r>
    </w:p>
    <w:p w14:paraId="3C696AA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Murphy, K., Llewellyn, K., Wakser, S., Pontasch, J., Samanich, N., Flemer, M., Hensley, K., Kim, D.-S., Park, J., 2018. Mini-GAGR, an intranasally applied polysaccharide, activates the neuronal Nrf2-mediated antioxidant defense system. J. Biol. Chem. 293, 18242–18269. https://doi.org/10.1074/jbc.RA117.001245</w:t>
      </w:r>
    </w:p>
    <w:p w14:paraId="332DAC8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lastRenderedPageBreak/>
        <w:t>Nagao, M., Hayashi, H., 2009. Glycogen synthase kinase-3beta is associated with Parkinson’s disease. Neurosci. Lett. 449, 103–107. https://doi.org/10.1016/j.neulet.2008.10.104</w:t>
      </w:r>
    </w:p>
    <w:p w14:paraId="7A40E71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Newhouse, K., Hsuan, S.L., Chang, S.H., Cai, B., Wang, Y., Xia, Z., 2004. Rotenone-induced apoptosis is mediated by p38 and JNK MAP kinases in human dopaminergic SH-SY5Y cells. Toxicol. Sci. 79, 137–146. https://doi.org/10.1093/toxsci/kfh089</w:t>
      </w:r>
    </w:p>
    <w:p w14:paraId="26EF8AE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Nioi, P., McMahon, M., Itoh, K., Yamamoto, M., Hayes, J.D., 2003. Identification of a novel Nrf2-regulated antioxidant response element (ARE) in the mouse NAD(P)H:quinone oxidoreductase 1 gene: reassessment of the ARE consensus sequence. Biochem. J. 374, 337–48. https://doi.org/10.1042/BJ20030754</w:t>
      </w:r>
    </w:p>
    <w:p w14:paraId="4EB1408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Nioi, P., Nguyen, T., Sherratt, P.J., Pickett, C.B., 2005. The carboxy-terminal Neh3 domain of Nrf2 is required for transcriptional activation. Mol. Cell. Biol. 25, 10895–10906. https://doi.org/10.1128/MCB.25.24.10895-10906.2005</w:t>
      </w:r>
    </w:p>
    <w:p w14:paraId="0106194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Numazawa, S., Ishikawa, M., Yoshida, A., Tanaka, S., Yoshida, T., 2003. Atypical protein kinase C mediates activation of NF-E2-related factor 2 in response to oxidative stress. Am. J. Physiol. Cell Physiol. 285, C334-42. https://doi.org/10.1152/ajpcell.00043.2003</w:t>
      </w:r>
    </w:p>
    <w:p w14:paraId="620440C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Obuobi, S., Karatayev, S., Chai, C.L.L., Ee, P.L.R., Mátyus, P., 2016. The role of modulation of antioxidant enzyme systems in the treatment of neurodegenerative diseases. J. Enzyme Inhib. Med. Chem. 6366, 1–11. https://doi.org/10.1080/14756366.2016.1205047</w:t>
      </w:r>
    </w:p>
    <w:p w14:paraId="58372FB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Ochalek, A., Mihalik, B., Avci, H.X., Chandrasekaran, A., Téglási, A., Bock, I., Giudice, M. Lo, Táncos, Z., Molnár, K., László, L., Nielsen, J.E., Holst, B., Freude, K., Hyttel, P., Kobolák, J., Dinnyés, A., 2017. Neurons derived from sporadic Alzheimer’s disease iPSCs reveal elevated TAU hyperphosphorylation, increased amyloid levels, and GSK3B activation. Alzheimers. Res. Ther. 9, 90. https://doi.org/10.1186/s13195-017-0317-z</w:t>
      </w:r>
    </w:p>
    <w:p w14:paraId="582FA2E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Oddo, S., Caccamo, A., Shepherd, J.D., Murphy, M.P., Golde, T.E., Kayed, R., Metherate, R., Mattson, M.P., Akbari, Y., LaFerla, F.M., 2003. Triple-Transgenic Model of Alzheimer’s Disease with Plaques and Tangles. Neuron 39, 409–421. https://doi.org/10.1016/S0896-6273(03)00434-3</w:t>
      </w:r>
    </w:p>
    <w:p w14:paraId="368A578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Omar, R. a., Chyan, Y.-J., Andorn, A.C., Poeggeler, B., Robakis, N.K., Pappolla, M. a., 1999. Increased Expression but Reduced Activity of Antioxidant Enzymes in Alzheimer’s Disease. J. Alzheimers. Dis. 1, 139–145.</w:t>
      </w:r>
    </w:p>
    <w:p w14:paraId="744DCD4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Onyango, I.G., Tuttle, J.B., Bennett  Jr., J.P., 2005. Activation of p38 and N-acetylcysteine-sensitive c-Jun NH2-terminal kinase signaling cascades is required for induction of apoptosis in Parkinson’s disease cybrids. Mol. Cell. Neurosci. 28, 452–461.</w:t>
      </w:r>
    </w:p>
    <w:p w14:paraId="67C9362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Panet, H., Barzilai,  a, Daily, D., Melamed, E., Offen, D., 2001. Activation of nuclear transcription factor kappa B (NF-kappaB) is essential for dopamine-induced apoptosis in PC12 cells. J Neurochem. 77, 391–398. https://doi.org/10.1046/j.1471-4159.2001.00213.x</w:t>
      </w:r>
    </w:p>
    <w:p w14:paraId="2D3008E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Pariyar, R., Lamichhane, R., Jung, H.J., Kim, S.Y., Seo, J., 2017. Sulfuretin attenuates MPP+-induced neurotoxicity through Akt/GSK3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and ERK signaling pathways. Int. J. Mol. Sci. https://doi.org/10.3390/ijms18122753</w:t>
      </w:r>
    </w:p>
    <w:p w14:paraId="26D36F3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Pei, J.-J., Braak, E., Braak, H., Grundke-Iqbal, I., Iqbal, K., Winblad, B., Cowburn, R.F., 1999. Distribution of active glycogen synthase kinase 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(GSK-3</w:t>
      </w:r>
      <w:r w:rsidRPr="00CB1C44">
        <w:rPr>
          <w:rFonts w:ascii="Arial" w:eastAsia="Times New Roman" w:hAnsi="Arial" w:cs="Arial"/>
          <w:noProof/>
          <w:sz w:val="20"/>
        </w:rPr>
        <w:t>β</w:t>
      </w:r>
      <w:r w:rsidRPr="00CB1C44">
        <w:rPr>
          <w:rFonts w:ascii="Arial" w:eastAsia="Times New Roman" w:hAnsi="Arial" w:cs="Arial"/>
          <w:noProof/>
          <w:sz w:val="20"/>
          <w:lang w:val="en-US"/>
        </w:rPr>
        <w:t>) in brains staged for Alzheimer disease neurofibrillary changes. J. Neuropathol. Exp. Neurol. 58, 1010–1019. https://doi.org/10.1097/00005072-199909000-00011</w:t>
      </w:r>
    </w:p>
    <w:p w14:paraId="185EB29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PEI, J.-J., TANAKA, T., TUNG, Y.-C., BRAAK, E., IQBAL, K., GRUNDKE-IQBAL, I., 1997. Distribution, Levels, and Activity of Glycogen Synthase Kinase-3 in the Alzheimer Disease Brain. </w:t>
      </w:r>
      <w:r w:rsidRPr="00CB1C44">
        <w:rPr>
          <w:rFonts w:ascii="Arial" w:eastAsia="Times New Roman" w:hAnsi="Arial" w:cs="Arial"/>
          <w:noProof/>
          <w:sz w:val="20"/>
        </w:rPr>
        <w:t>J. Neuropathol. Exp. Neurol. 56, 70–78. https://doi.org/10.1097/00005072-199701000-00007</w:t>
      </w:r>
    </w:p>
    <w:p w14:paraId="03F6901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Perfeito, R., Ribeiro, M., Rego, A.C., 2016. </w:t>
      </w:r>
      <w:r w:rsidRPr="00CB1C44">
        <w:rPr>
          <w:rFonts w:ascii="Arial" w:eastAsia="Times New Roman" w:hAnsi="Arial" w:cs="Arial"/>
          <w:noProof/>
          <w:sz w:val="20"/>
          <w:lang w:val="en-US"/>
        </w:rPr>
        <w:t>Alpha-synuclein-induced oxidative stress correlates with altered superoxide dismutase and glutathione synthesis in human neuroblastoma SH-SY5Y cells. Arch. Toxicol. 1–15. https://doi.org/10.1007/s00204-016-1788-6</w:t>
      </w:r>
    </w:p>
    <w:p w14:paraId="2501B90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Perry, T.L., Yong, V.W., 1986. Idiopathic Parkinson’s disease, progressive supranuclear palsy and glutathione metabolism in the substantia nigra of patients. Neurosci. Lett. 67, 269–274.</w:t>
      </w:r>
    </w:p>
    <w:p w14:paraId="4E2383F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Phiel, C.J., Wilson, C. a, Lee, V.M., Klein, P.S., 2003. GSK-3 a Regulates Production of Alzheimer’s Disease Amyloid-</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Peptides. Nature 17, 435–440. https://doi.org/10.1038/nature01640</w:t>
      </w:r>
    </w:p>
    <w:p w14:paraId="4389F5A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Pi, J., Bai, Y., Reece, J.M., Williams, J., Liu, D., Freeman, M.L., Fahl, W.E., Shugar, D., Liu, J., Qu, W., Collins, S., Waalkes, M.P., 2007. Molecular mechanism of human Nrf2 activation and degradation: Role of sequential phosphorylation by protein kinase CK2. Free Radic. Biol. Med. 42, 1797–1806. https://doi.org/10.1016/j.freeradbiomed.2007.03.001</w:t>
      </w:r>
    </w:p>
    <w:p w14:paraId="1EA171C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lastRenderedPageBreak/>
        <w:t>Porquet, D., Casadesús, G., Bayod, S., Vicente, A., Canudas, A.M., Vilaplana, J., Pelegrí, C., Sanfeliu, C., Camins, A., Pallàs, M., Del Valle, J., 2013. Dietary resveratrol prevents Alzheimer’s markers and increases life span in SAMP8. Age (Omaha). 35, 1851–1865. https://doi.org/10.1007/s11357-012-9489-4</w:t>
      </w:r>
    </w:p>
    <w:p w14:paraId="32972AB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Prestera, T., Holtzclaw, W.D., Zhang, Y., Talalay, P., 1993. Chemical and molecular regulation of enzymes that detoxify carcinogens. Proc. Natl. Acad. Sci. U. S. A. 90, 2965–9. https://doi.org/10.1073/pnas.90.7.2965</w:t>
      </w:r>
    </w:p>
    <w:p w14:paraId="6C4EDAF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Rada, P., Rojo, A.I., Chowdhry, S., McMahon, M., Hayes, J.D., Cuadrado, A., 2011. SCF/{beta}-TrCP promotes glycogen synthase kinase 3-dependent degradation of the Nrf2 transcription factor in a Keap1-independent manner. Mol. Cell. Biol. 31, 1121–33. https://doi.org/10.1128/MCB.01204-10</w:t>
      </w:r>
    </w:p>
    <w:p w14:paraId="283314D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Rada, P., Rojo, A.I., Evrard-Todeschi, N., Innamorato, N.G., Cotte, A., Jaworski, T., Tobón-Velasco, J.C., Devijver, H., García-Mayoral, M.F., Van Leuven, F., Hayes, J.D., Bertho, G., Cuadrado, A., Tobon-Velasco, J.C., Devijver, H., Garcia-Mayoral, M.F., Van Leuven, F., Hayes, J.D., Bertho, G., Cuadrado, A., 2012. Structural and functional characterization of Nrf2 degradation by the glycogen synthase kinase 3/</w:t>
      </w:r>
      <w:r w:rsidRPr="00CB1C44">
        <w:rPr>
          <w:rFonts w:ascii="Arial" w:eastAsia="Times New Roman" w:hAnsi="Arial" w:cs="Arial"/>
          <w:noProof/>
          <w:sz w:val="20"/>
        </w:rPr>
        <w:t>β</w:t>
      </w:r>
      <w:r w:rsidRPr="00CB1C44">
        <w:rPr>
          <w:rFonts w:ascii="Arial" w:eastAsia="Times New Roman" w:hAnsi="Arial" w:cs="Arial"/>
          <w:noProof/>
          <w:sz w:val="20"/>
          <w:lang w:val="en-US"/>
        </w:rPr>
        <w:t>-TrCP axis. Mol. Cell. Biol. 32, 3486–99. https://doi.org/10.1128/MCB.00180-12</w:t>
      </w:r>
    </w:p>
    <w:p w14:paraId="4AB25CB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Ramsey, C.P., Glass, C.A., Montgomery, M.B., Lindl, K.A., Ritson, G.P., Chia, L.A., Hamilton, R.L., Chu, C.T., Jordan-Sciutto, K.L., 2007. Expression of Nrf2 in neurodegenerative diseases. J. Neuropathol. Exp. Neurol. </w:t>
      </w:r>
      <w:r w:rsidRPr="00CB1C44">
        <w:rPr>
          <w:rFonts w:ascii="Arial" w:eastAsia="Times New Roman" w:hAnsi="Arial" w:cs="Arial"/>
          <w:noProof/>
          <w:sz w:val="20"/>
        </w:rPr>
        <w:t>66, 75–85. https://doi.org/10.1097/nen.0b013e31802d6da9</w:t>
      </w:r>
    </w:p>
    <w:p w14:paraId="379C64B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Resende, R., Moreira, P.I., Proença, T., Deshpande, A., Busciglio, J., Pereira, C., Oliveira, C.R., 2008. </w:t>
      </w:r>
      <w:r w:rsidRPr="00CB1C44">
        <w:rPr>
          <w:rFonts w:ascii="Arial" w:eastAsia="Times New Roman" w:hAnsi="Arial" w:cs="Arial"/>
          <w:noProof/>
          <w:sz w:val="20"/>
          <w:lang w:val="en-US"/>
        </w:rPr>
        <w:t>Brain oxidative stress in a triple-transgenic mouse model of Alzheimer disease. Free Radic. Biol. Med. 44, 2051–2057. https://doi.org/10.1016/j.freeradbiomed.2008.03.012</w:t>
      </w:r>
    </w:p>
    <w:p w14:paraId="05D0F18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Ringman, J.M., Frautschy, S.A., Teng, E., Begum, A.N., Bardens, J., Beigi, M., Gylys, K.H., Badmaev, V., Heath, D.D., Apostolova, L.G., Porter, V., Vanek, Z., Marshall, G.A., Hellemann, G., Sugar, C., Masterman, D.L., Montine, T.J., Cummings, J.L., Cole, G.M., 2012. Oral curcumin for Alzheimer’s disease: Tolerability and efficacy in a 24-week randomized, double blind, placebo-controlled study. </w:t>
      </w:r>
      <w:r w:rsidRPr="00CB1C44">
        <w:rPr>
          <w:rFonts w:ascii="Arial" w:eastAsia="Times New Roman" w:hAnsi="Arial" w:cs="Arial"/>
          <w:noProof/>
          <w:sz w:val="20"/>
        </w:rPr>
        <w:t>Alzheimer’s Res. Ther. https://doi.org/10.1186/alzrt146</w:t>
      </w:r>
    </w:p>
    <w:p w14:paraId="3BCEF6E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rPr>
        <w:t xml:space="preserve">Rojo, A.I., Innamorato, N.G., Martín-Moreno, A.M., De Ceballos, M.L., Yamamoto, M., Cuadrado, A., 2010. </w:t>
      </w:r>
      <w:r w:rsidRPr="00CB1C44">
        <w:rPr>
          <w:rFonts w:ascii="Arial" w:eastAsia="Times New Roman" w:hAnsi="Arial" w:cs="Arial"/>
          <w:noProof/>
          <w:sz w:val="20"/>
          <w:lang w:val="en-US"/>
        </w:rPr>
        <w:t xml:space="preserve">Nrf2 regulates microglial dynamics and neuroinflammation in experimental Parkinson’s disease. </w:t>
      </w:r>
      <w:r w:rsidRPr="00CB1C44">
        <w:rPr>
          <w:rFonts w:ascii="Arial" w:eastAsia="Times New Roman" w:hAnsi="Arial" w:cs="Arial"/>
          <w:noProof/>
          <w:sz w:val="20"/>
        </w:rPr>
        <w:t>Glia 58, 588–598. https://doi.org/10.1002/glia.20947</w:t>
      </w:r>
    </w:p>
    <w:p w14:paraId="0DE3B9F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Rojo, A.I., Medina-Campos, O.N., Rada, P., Zúñiga-Toalá, A., López-Gazcón, A., Espada, S., Pedraza-Chaverri, J., Cuadrado, A., 2012. </w:t>
      </w:r>
      <w:r w:rsidRPr="00CB1C44">
        <w:rPr>
          <w:rFonts w:ascii="Arial" w:eastAsia="Times New Roman" w:hAnsi="Arial" w:cs="Arial"/>
          <w:noProof/>
          <w:sz w:val="20"/>
          <w:lang w:val="en-US"/>
        </w:rPr>
        <w:t>Signaling pathways activated by the phytochemical nordihydroguaiaretic acid contribute to a Keap1-independent regulation of Nrf2 stability: Role of glycogen synthase kinase-3. Free Radic. Biol. Med. 52, 473–487. https://doi.org/10.1016/j.freeradbiomed.2011.11.003</w:t>
      </w:r>
    </w:p>
    <w:p w14:paraId="7462FB3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Rojo, A.I., Pajares, M., García-Yagüe, A.J., Buendia, I., Van Leuven, F., Yamamoto, M., López, M.G., Cuadrado, A., 2018. Deficiency in the transcription factor NRF2 worsens inflammatory parameters in a mouse model with combined tauopathy and amyloidopathy. </w:t>
      </w:r>
      <w:r w:rsidRPr="00CB1C44">
        <w:rPr>
          <w:rFonts w:ascii="Arial" w:eastAsia="Times New Roman" w:hAnsi="Arial" w:cs="Arial"/>
          <w:noProof/>
          <w:sz w:val="20"/>
        </w:rPr>
        <w:t>Redox Biol. 18, 173–180. https://doi.org/10.1016/j.redox.2018.07.006</w:t>
      </w:r>
    </w:p>
    <w:p w14:paraId="144C8B2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rPr>
        <w:t xml:space="preserve">Rojo, A.I., Rada, P., Egea, J., Rosa, A.O., López, M.G., Cuadrado, A., 2008a. </w:t>
      </w:r>
      <w:r w:rsidRPr="00CB1C44">
        <w:rPr>
          <w:rFonts w:ascii="Arial" w:eastAsia="Times New Roman" w:hAnsi="Arial" w:cs="Arial"/>
          <w:noProof/>
          <w:sz w:val="20"/>
          <w:lang w:val="en-US"/>
        </w:rPr>
        <w:t xml:space="preserve">Functional interference between glycogen synthase kinase-3 beta and the transcription factor Nrf2 in protection against kainate-induced hippocampal celldeath. </w:t>
      </w:r>
      <w:r w:rsidRPr="00CB1C44">
        <w:rPr>
          <w:rFonts w:ascii="Arial" w:eastAsia="Times New Roman" w:hAnsi="Arial" w:cs="Arial"/>
          <w:noProof/>
          <w:sz w:val="20"/>
        </w:rPr>
        <w:t>Mol. Cell. Neurosci. 39, 125–132. https://doi.org/10.1016/j.mcn.2008.06.007</w:t>
      </w:r>
    </w:p>
    <w:p w14:paraId="5783421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Rojo, A.I., Sagarra, M.R. De, Cuadrado, A., 2008b. </w:t>
      </w:r>
      <w:r w:rsidRPr="00CB1C44">
        <w:rPr>
          <w:rFonts w:ascii="Arial" w:eastAsia="Times New Roman" w:hAnsi="Arial" w:cs="Arial"/>
          <w:noProof/>
          <w:sz w:val="20"/>
          <w:lang w:val="en-US"/>
        </w:rPr>
        <w:t>GSK-3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down-regulates the transcription factor Nrf2 after oxidant damage: Relevance to exposure of neuronal cells to oxidative stress. J. Neurochem. 105, 192–202. https://doi.org/10.1111/j.1471-4159.2007.05124.x</w:t>
      </w:r>
    </w:p>
    <w:p w14:paraId="618B4DE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Samii, A., Nutt, J.G., Ransom, B.R., 2004. Parkinson’s disease, in: Lancet. pp. 1783–1793. https://doi.org/10.1016/S0140-6736(04)16305-8</w:t>
      </w:r>
    </w:p>
    <w:p w14:paraId="3838D08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Savage, M.J., Lin, Y.-G., Ciallella, J.R., Flood, D.G., Scott, R.W., 2002. Activation of c-Jun N-terminal kinase and p38 in an Alzheimer’s disease model is associated with amyloid deposition. </w:t>
      </w:r>
      <w:r w:rsidRPr="00CB1C44">
        <w:rPr>
          <w:rFonts w:ascii="Arial" w:eastAsia="Times New Roman" w:hAnsi="Arial" w:cs="Arial"/>
          <w:noProof/>
          <w:sz w:val="20"/>
        </w:rPr>
        <w:t>J. Neurosci. 22, 3376–85. https://doi.org/20026352</w:t>
      </w:r>
    </w:p>
    <w:p w14:paraId="76A42ED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Schieber, M., Chandel, N.S., 2014. </w:t>
      </w:r>
      <w:r w:rsidRPr="00CB1C44">
        <w:rPr>
          <w:rFonts w:ascii="Arial" w:eastAsia="Times New Roman" w:hAnsi="Arial" w:cs="Arial"/>
          <w:noProof/>
          <w:sz w:val="20"/>
          <w:lang w:val="en-US"/>
        </w:rPr>
        <w:t>ROS function in redox signaling and oxidative stress. Curr. Biol. https://doi.org/10.1016/j.cub.2014.03.034</w:t>
      </w:r>
    </w:p>
    <w:p w14:paraId="13A6EF7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Schipper, H.M., Liberman,  a, Stopa, E.G., 1998. Neural heme oxygenase-1 expression in idiopathic Parkinson’s disease. Exp. Neurol. 150, 60–68. https://doi.org/10.1006/exnr.1997.6752</w:t>
      </w:r>
    </w:p>
    <w:p w14:paraId="063D629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Selkoe, D.J., Hardy, J., 2016. The amyloid hypothesis of Alzheimer’s disease at 25 years. </w:t>
      </w:r>
      <w:r w:rsidRPr="00CB1C44">
        <w:rPr>
          <w:rFonts w:ascii="Arial" w:eastAsia="Times New Roman" w:hAnsi="Arial" w:cs="Arial"/>
          <w:noProof/>
          <w:sz w:val="20"/>
          <w:lang w:val="en-US"/>
        </w:rPr>
        <w:lastRenderedPageBreak/>
        <w:t>EMBO Mol. Med. 1–14. https://doi.org/10.15252/emmm.201606210</w:t>
      </w:r>
    </w:p>
    <w:p w14:paraId="7BFC748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Sheng, J.G., Jones, R.A., Zhou, X.Q., McGinness, J.M., Van Eldik, L.J., Mrak, R.E., Griffin, W.S.T., 2001. Interleukin-1 promotion of MAPK-p38 overexpression in experimental animals and in Alzheimer’s disease: Potential significance for tau protein phosphorylation. Neurochem. Int. 39, 341–348. https://doi.org/10.1016/S0197-0186(01)00041-9</w:t>
      </w:r>
    </w:p>
    <w:p w14:paraId="1F0F3CE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Smale, S.T., 2011. Hierarchies of NF-kappaB target-gene regulation. Nat Immunol 12, 689–694. https://doi.org/10.1038/ni.2070</w:t>
      </w:r>
    </w:p>
    <w:p w14:paraId="26A140D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Sofic, E., Lange, K.W., Jellinger, K., Riederer, P., 1992. Reduced and oxidized glutathione in the substantia nigra of patients with Parkinson’s disease. Neurosci. Lett. 142, 128–130. https://doi.org/10.1016/0304-3940(92)90355-B</w:t>
      </w:r>
    </w:p>
    <w:p w14:paraId="1342464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Song, P., Li, S., Wu, H., Gao, R., Rao, G., Wang, D., Chen, Z., Ma, B., Wang, H., Sui, N., Deng, H., Zhang, Z., Tang, T., Tan, Z., Han, Z., Lu, T., Zhu, Y., Chen, Q., 2016. Parkin promotes proteasomal degradation of p62: implication of selective vulnerability of neuronal cells in the pathogenesis of Parkinson’s disease. Protein Cell 7, 114–129. https://doi.org/10.1007/s13238-015-0230-9</w:t>
      </w:r>
    </w:p>
    <w:p w14:paraId="708F3CD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Soós, J., Engelhardt, J.I., Siklós, L., Havas, L., Majtényi, K., 2004. The expression of PARP, NF-kappa B and parvalbumin is increased in Parkinson disease. Neuroreport 15, 1715–1718. https://doi.org/10.1097/01.wnr.0000136175.51954.ce</w:t>
      </w:r>
    </w:p>
    <w:p w14:paraId="421E6B5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Srinivasan, M., Lahiri, D.K., 2015. Significance of NF-</w:t>
      </w:r>
      <w:r w:rsidRPr="00CB1C44">
        <w:rPr>
          <w:rFonts w:ascii="Arial" w:eastAsia="Times New Roman" w:hAnsi="Arial" w:cs="Arial"/>
          <w:noProof/>
          <w:sz w:val="20"/>
        </w:rPr>
        <w:t>κ</w:t>
      </w:r>
      <w:r w:rsidRPr="00CB1C44">
        <w:rPr>
          <w:rFonts w:ascii="Arial" w:eastAsia="Times New Roman" w:hAnsi="Arial" w:cs="Arial"/>
          <w:noProof/>
          <w:sz w:val="20"/>
          <w:lang w:val="en-US"/>
        </w:rPr>
        <w:t>B as a pivotal therapeutic target in the neurodegenerative pathologies of Alzheimer’s disease and multiple sclerosis. Expert Opin. Ther. Targets 19, 471–487. https://doi.org/10.1517/14728222.2014.989834</w:t>
      </w:r>
    </w:p>
    <w:p w14:paraId="24088AB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Srivastava, S., Blower, P.J., Aubdool, A.A., Hider, R.C., Mann, G.E., Siow, R.C., 2016. Cardioprotective effects of Cu (II) ATSM in human vascular smooth muscle cells and cardiomyocytes mediated by Nrf2 and DJ-1. Sci. Rep. https://doi.org/10.1038/s41598-016-0012-5</w:t>
      </w:r>
    </w:p>
    <w:p w14:paraId="76BDC14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Stack, C., Jainuddin, S., Elipenahli, C., Gerges, M., Starkova, N., Starkov, A.A., Jové, M., Portero-Otin, M., Launay, N., Pujol, A., Kaidery, N.A., Thomas, B., Tampellini, D., Flint Beal, M., Dumont, M., 2014. Methylene blue upregulates Nrf2/ARE genes and prevents tau-related neurotoxicity. Hum. Mol. Genet. https://doi.org/10.1093/hmg/ddu080</w:t>
      </w:r>
    </w:p>
    <w:p w14:paraId="68ADA3B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Sultana, R., Perluigi, M., Butterfield, D.A., 2006. Protein oxidation and lipid peroxidation in brain of subjects with Alzheimer’s disease: Insights into mechanism of neuro degeneration from redox proteomics. Antioxid. Redox Signal. 8, 2021–2037. https://doi.org/10.1089/ars.2006.8.2021</w:t>
      </w:r>
    </w:p>
    <w:p w14:paraId="686F010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Sun, A., Liu, M., Nguyen, X. V., Bing, G., 2003. p38 MAP kinase is activated at early stages in Alzheimer’s disease brain. Exp. Neurol. 183, 394–405. https://doi.org/10.1016/S0014-4886(03)00180-8</w:t>
      </w:r>
    </w:p>
    <w:p w14:paraId="0587E11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Sun, Z., Huang, Z., Zhang, D.D., 2009. Phosphorylation of Nrf2 at multiple sites by MAP kinases has a limited contribution in modulating the Nrf2-dependent antioxidant response. PLoS One. https://doi.org/10.1371/journal.pone.0006588</w:t>
      </w:r>
    </w:p>
    <w:p w14:paraId="48D3A80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Talman, V., Pascale, A., Jäntti, M., Amadio, M., Tuominen, R.K., 2016. Protein Kinase C Activation as a Potential Therapeutic Strategy in Alzheimer’s Disease: Is there a Role for Embryonic Lethal Abnormal Vision-like Proteins? Basic Clin. Pharmacol. Toxicol. 119, 149–60. https://doi.org/10.1111/bcpt.12581</w:t>
      </w:r>
    </w:p>
    <w:p w14:paraId="7AE282A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Tanji, K., Maruyama, A., Odagiri, S., Mori, F., Itoh, K., Kakita, A., Takahashi, H., Wakabayashi, K., 2013. Keap1 Is Localized in Neuronal and Glial Cytoplasmic Inclusions in Various Neurodegenerative Diseases. J. Neuropathol. Exp. Neurol. 72, 18–28. https://doi.org/10.1097/NEN.0b013e31827b5713</w:t>
      </w:r>
    </w:p>
    <w:p w14:paraId="5EBB9756"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Tanji, K., Odagiri, S., Miki, Y., Maruyama, A., Nikaido, Y., Mimura, J., Mori, F., Warabi, E., Yanagawa, T., Ueno, S., Itoh, K., Wakabayashi, K., 2015. P62 deficiency enhances </w:t>
      </w:r>
      <w:r w:rsidRPr="00CB1C44">
        <w:rPr>
          <w:rFonts w:ascii="Arial" w:eastAsia="Times New Roman" w:hAnsi="Arial" w:cs="Arial"/>
          <w:noProof/>
          <w:sz w:val="20"/>
        </w:rPr>
        <w:t>α</w:t>
      </w:r>
      <w:r w:rsidRPr="00CB1C44">
        <w:rPr>
          <w:rFonts w:ascii="Arial" w:eastAsia="Times New Roman" w:hAnsi="Arial" w:cs="Arial"/>
          <w:noProof/>
          <w:sz w:val="20"/>
          <w:lang w:val="en-US"/>
        </w:rPr>
        <w:t>-synuclein pathology in mice. Brain Pathol. 25, 552–564. https://doi.org/10.1111/bpa.12214</w:t>
      </w:r>
    </w:p>
    <w:p w14:paraId="5DA9A78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Terai, K., Matsuo, A., McGeer, P.L., 1996. Enhancement of immunoreactivity for NF-??B in the hippocampal formation and cerebral cortex of Alzheimer’s disease. Brain Res. 735, 159–168. https://doi.org/10.1016/0006-8993(96)00310-1</w:t>
      </w:r>
    </w:p>
    <w:p w14:paraId="508C54A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Thal, D.R., Walter, J., Saido, T.C., Fändrich, M., 2015. Neuropathology and biochemistry of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and its aggregates in Alzheimer’s disease. Acta Neuropathol. 129, 167–182. https://doi.org/10.1007/s00401-014-1375-y</w:t>
      </w:r>
    </w:p>
    <w:p w14:paraId="3298ABD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Theodore, M., Kawai, Y., Yang, J., Kleshchenko, Y., Reddy, S.P., Villalta, F., Arinze, I.J., 2008. Multiple nuclear localization signals function in the nuclear import of the transcription factor Nrf2. J. Biol. Chem. 283, 8984–8994. https://doi.org/10.1074/jbc.M709040200</w:t>
      </w:r>
    </w:p>
    <w:p w14:paraId="260525C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Thomas, R.R., Keeney, P.M., Bennett, J.P., 2012. Impaired complex-I mitochondrial biogenesis </w:t>
      </w:r>
      <w:r w:rsidRPr="00CB1C44">
        <w:rPr>
          <w:rFonts w:ascii="Arial" w:eastAsia="Times New Roman" w:hAnsi="Arial" w:cs="Arial"/>
          <w:noProof/>
          <w:sz w:val="20"/>
          <w:lang w:val="en-US"/>
        </w:rPr>
        <w:lastRenderedPageBreak/>
        <w:t>in parkinson disease frontal cortex. J. Parkinsons. Dis. 2, 67–76. https://doi.org/10.3233/JPD-2012-11074</w:t>
      </w:r>
    </w:p>
    <w:p w14:paraId="2E8738D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Thompson, C.M., Markesbery, W.R., Ehmann, W.D., Mao, Y.X., Vance, D.E., 1988. Regional brain trace-element studies in Alzheimer’s disease. Neurotoxicology 9, 1–7.</w:t>
      </w:r>
    </w:p>
    <w:p w14:paraId="149D032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Tian, Y., Wang, W., Xu, L., Li, H., Wei, Y., Wu, Q., Jia, J., 2018. Activation of Nrf2/ARE pathway alleviates the cognitive deficits in PS1V97L-Tg mouse model of Alzheimer’s disease through modulation of oxidative stress. J. Neurosci. Res. 1–14. https://doi.org/10.1002/jnr.24357</w:t>
      </w:r>
    </w:p>
    <w:p w14:paraId="668F921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Toki, T., Itoh, J., Kitazawa, J., Arai, K., Hatakeyama, K., Akasaka, J., Igarashi, K., Nomura, N., Yokoyama, M., Yamamoto, M., Ito, E., 1997. Human small Maf proteins form heterodimers with CNC family transcription factors and recognize the NF-E2 motif. Oncogene 14, 1901–1910. https://doi.org/10.1038/sj.onc.1201024</w:t>
      </w:r>
    </w:p>
    <w:p w14:paraId="2CE5484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Tong, K.I., Katoh, Y., Kusunoki, H., Itoh, K., Tanaka, T., Yamamoto, M., 2006. Keap1 recruits Neh2 through binding to ETGE and DLG motifs: characterization of the two-site molecular recognition model. Mol. Cell. Biol. 26, 2887–900. https://doi.org/10.1128/MCB.26.8.2887-2900.2006</w:t>
      </w:r>
    </w:p>
    <w:p w14:paraId="73130BF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Tong, K.I., Kobayashi, A., Katsuoka, F., Yamamoto, M., 2006. Two-site substrate recognition model for the Keap1-Nrf2 system: A hinge and latch mechanism, in: Biological Chemistry. pp. 1311–1320. https://doi.org/10.1515/BC.2006.164</w:t>
      </w:r>
    </w:p>
    <w:p w14:paraId="3CBF98D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Torres-Lista, V., Parrado-Fernández, C., Alvarez-Montón, I., Frontiñán-Rubio, J., Durán-Prado, M., Peinado, J.R., Johansson, B., Alcaín, F.J., Giménez-Llort, L., 2014. </w:t>
      </w:r>
      <w:r w:rsidRPr="00CB1C44">
        <w:rPr>
          <w:rFonts w:ascii="Arial" w:eastAsia="Times New Roman" w:hAnsi="Arial" w:cs="Arial"/>
          <w:noProof/>
          <w:sz w:val="20"/>
          <w:lang w:val="en-US"/>
        </w:rPr>
        <w:t>Neophobia, NQO1 and SIRT1 as premorbid and prodromal indicators of AD in 3xTg-AD mice. Behav. Brain Res. 271, 140–146. https://doi.org/10.1016/j.bbr.2014.04.055</w:t>
      </w:r>
    </w:p>
    <w:p w14:paraId="1D5839B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Turjanski, A.G., Vaqué, J.P., Gutkind, J.S., 2007. MAP kinases and the control of nuclear events. Oncogene 26, 3240–53. https://doi.org/10.1038/sj.onc.1210415</w:t>
      </w:r>
    </w:p>
    <w:p w14:paraId="5CAAFCB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Turner, R.S., Thomas, R.G., Craft, S., Van Dyck, C.H., Mintzer, J., Reynolds, B.A., Brewer, J.B., Rissman, R.A., Raman, R., Aisen, P.S., 2015. A randomized, double-blind, placebo-controlled trial of resveratrol for Alzheimer disease. Neurology. https://doi.org/10.1212/WNL.0000000000002035</w:t>
      </w:r>
    </w:p>
    <w:p w14:paraId="26AEE801"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Tyszkiewicz, J.P., Yan, Z., 2005. </w:t>
      </w:r>
      <w:r w:rsidRPr="00CB1C44">
        <w:rPr>
          <w:rFonts w:ascii="Arial" w:eastAsia="Times New Roman" w:hAnsi="Arial" w:cs="Arial"/>
          <w:noProof/>
          <w:sz w:val="20"/>
        </w:rPr>
        <w:t>β</w:t>
      </w:r>
      <w:r w:rsidRPr="00CB1C44">
        <w:rPr>
          <w:rFonts w:ascii="Arial" w:eastAsia="Times New Roman" w:hAnsi="Arial" w:cs="Arial"/>
          <w:noProof/>
          <w:sz w:val="20"/>
          <w:lang w:val="en-US"/>
        </w:rPr>
        <w:t>-Amyloid Peptides Impair PKC-Dependent Functions of Metabotropic Glutamate Receptors in Prefrontal Cortical Neurons. J. Neurophysiol. 93, 3102–3111. https://doi.org/10.1152/jn.00939.2004</w:t>
      </w:r>
    </w:p>
    <w:p w14:paraId="1F07462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Valente, E.M., Abou-Sleiman, P.M., Caputo, V., Muqit, M.M.K., Harvey, K., Gispert, S., Ali, Z., Del Turco, D., Bentivoglio, A.R., Healy, D.G., Albanese, A., Nussbaum, R., González-Maldonado, R., Deller, T., Salvi, S., Cortelli, P., Gilks, W.P., Latchman, D.S., Harvey, R.J., Dallapiccola, B., Auburger, G., Wood, N.W., 2004. Hereditary early-onset Parkinson’s disease caused by mutations in PINK1. </w:t>
      </w:r>
      <w:r w:rsidRPr="00CB1C44">
        <w:rPr>
          <w:rFonts w:ascii="Arial" w:eastAsia="Times New Roman" w:hAnsi="Arial" w:cs="Arial"/>
          <w:noProof/>
          <w:sz w:val="20"/>
        </w:rPr>
        <w:t>Science (80-. ). https://doi.org/10.1126/science.1096284</w:t>
      </w:r>
    </w:p>
    <w:p w14:paraId="751C280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Valerio, A., Boroni, F., Benarese, M., Sarnico, I., Ghisi, V., Bresciani, L.G., Ferrario, M., Borsani, G., Spano, P., Pizzi, M., 2006. </w:t>
      </w:r>
      <w:r w:rsidRPr="00CB1C44">
        <w:rPr>
          <w:rFonts w:ascii="Arial" w:eastAsia="Times New Roman" w:hAnsi="Arial" w:cs="Arial"/>
          <w:noProof/>
          <w:sz w:val="20"/>
          <w:lang w:val="en-US"/>
        </w:rPr>
        <w:t>NF-</w:t>
      </w:r>
      <w:r w:rsidRPr="00CB1C44">
        <w:rPr>
          <w:rFonts w:ascii="Arial" w:eastAsia="Times New Roman" w:hAnsi="Arial" w:cs="Arial"/>
          <w:noProof/>
          <w:sz w:val="20"/>
        </w:rPr>
        <w:t>κ</w:t>
      </w:r>
      <w:r w:rsidRPr="00CB1C44">
        <w:rPr>
          <w:rFonts w:ascii="Arial" w:eastAsia="Times New Roman" w:hAnsi="Arial" w:cs="Arial"/>
          <w:noProof/>
          <w:sz w:val="20"/>
          <w:lang w:val="en-US"/>
        </w:rPr>
        <w:t xml:space="preserve">B pathway: a target for preventing </w:t>
      </w:r>
      <w:r w:rsidRPr="00CB1C44">
        <w:rPr>
          <w:rFonts w:ascii="Arial" w:eastAsia="Times New Roman" w:hAnsi="Arial" w:cs="Arial"/>
          <w:noProof/>
          <w:sz w:val="20"/>
        </w:rPr>
        <w:t>β</w:t>
      </w:r>
      <w:r w:rsidRPr="00CB1C44">
        <w:rPr>
          <w:rFonts w:ascii="Arial" w:eastAsia="Times New Roman" w:hAnsi="Arial" w:cs="Arial"/>
          <w:noProof/>
          <w:sz w:val="20"/>
          <w:lang w:val="en-US"/>
        </w:rPr>
        <w:t>-amyloid (A</w:t>
      </w:r>
      <w:r w:rsidRPr="00CB1C44">
        <w:rPr>
          <w:rFonts w:ascii="Arial" w:eastAsia="Times New Roman" w:hAnsi="Arial" w:cs="Arial"/>
          <w:noProof/>
          <w:sz w:val="20"/>
        </w:rPr>
        <w:t>β</w:t>
      </w:r>
      <w:r w:rsidRPr="00CB1C44">
        <w:rPr>
          <w:rFonts w:ascii="Arial" w:eastAsia="Times New Roman" w:hAnsi="Arial" w:cs="Arial"/>
          <w:noProof/>
          <w:sz w:val="20"/>
          <w:lang w:val="en-US"/>
        </w:rPr>
        <w:t>)-induced neuronal damage and A</w:t>
      </w:r>
      <w:r w:rsidRPr="00CB1C44">
        <w:rPr>
          <w:rFonts w:ascii="Arial" w:eastAsia="Times New Roman" w:hAnsi="Arial" w:cs="Arial"/>
          <w:noProof/>
          <w:sz w:val="20"/>
        </w:rPr>
        <w:t>β</w:t>
      </w:r>
      <w:r w:rsidRPr="00CB1C44">
        <w:rPr>
          <w:rFonts w:ascii="Arial" w:eastAsia="Times New Roman" w:hAnsi="Arial" w:cs="Arial"/>
          <w:noProof/>
          <w:sz w:val="20"/>
          <w:lang w:val="en-US"/>
        </w:rPr>
        <w:t>42 production. Eur. J. Neurosci. 23, 1711–1720. https://doi.org/10.1111/j.1460-9568.2006.04722.x</w:t>
      </w:r>
    </w:p>
    <w:p w14:paraId="543976A7"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Van Muiswinkel, F.L., De Vos, R.A.I., Bol, J.G.J.M., Andringa, G., Jansen Steur, E.N.H., Ross, D., Siegel, D., Drukarch, B., 2004. Expression of NAD(P)H:quinone oxidoreductase in the normal and Parkinsonian substantia nigra. Neurobiol. Aging 25, 1253–1262. https://doi.org/10.1016/j.neurobiolaging.2003.12.010</w:t>
      </w:r>
    </w:p>
    <w:p w14:paraId="3B89CF4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Wang, H., Liu, K., Geng, M., Gao, P., Wu, X., Hai, Y., Li, Y., Li, Y., Luo, L., Hayes, J.D., Wang, X.J., Tang, X., 2013. RXR</w:t>
      </w:r>
      <w:r w:rsidRPr="00CB1C44">
        <w:rPr>
          <w:rFonts w:ascii="Arial" w:eastAsia="Times New Roman" w:hAnsi="Arial" w:cs="Arial"/>
          <w:noProof/>
          <w:sz w:val="20"/>
        </w:rPr>
        <w:t>α</w:t>
      </w:r>
      <w:r w:rsidRPr="00CB1C44">
        <w:rPr>
          <w:rFonts w:ascii="Arial" w:eastAsia="Times New Roman" w:hAnsi="Arial" w:cs="Arial"/>
          <w:noProof/>
          <w:sz w:val="20"/>
          <w:lang w:val="en-US"/>
        </w:rPr>
        <w:t xml:space="preserve"> inhibits the NRF2-ARE signaling pathway through a direct interaction with the Neh7 domain of NRF2. Cancer Res. 73, 3097–3108. https://doi.org/10.1158/0008-5472.CAN-12-3386</w:t>
      </w:r>
    </w:p>
    <w:p w14:paraId="30E235EE"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Wang, H.Y., Pisano, M.R., Friedman, E., 1994. Attenuated protein kinase C activity and translocation in Alzheimer’s disease brain. Neurobiol Aging 15, 293–298.</w:t>
      </w:r>
    </w:p>
    <w:p w14:paraId="713BC27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Wang, J., Xiong, S., Xie, C., Markesbery, W.R., Lovell, M.A., 2005. Increased oxidative damage in nuclear and mitochondrial DNA in Alzheimer’s disease. J. Neurochem. 93, 953–962. https://doi.org/10.1111/j.1471-4159.2005.03053.x</w:t>
      </w:r>
    </w:p>
    <w:p w14:paraId="1C9FB19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Wang, W., Yang, Y., Ying, C., Li, W., Ruan, H., Zhu, X., You, Y., Han, Y., Chen, R., Wang, Y., Li, M., 2007. Inhibition of glycogen synthase kinase-3</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protects dopaminergic neurons from MPTP toxicity. </w:t>
      </w:r>
      <w:r w:rsidRPr="00CB1C44">
        <w:rPr>
          <w:rFonts w:ascii="Arial" w:eastAsia="Times New Roman" w:hAnsi="Arial" w:cs="Arial"/>
          <w:noProof/>
          <w:sz w:val="20"/>
        </w:rPr>
        <w:t>Neuropharmacology 52, 1678–1684. https://doi.org/10.1016/j.neuropharm.2007.03.017</w:t>
      </w:r>
    </w:p>
    <w:p w14:paraId="356B977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Wang, Y., Santa-Cruz, K., DeCarli, C., Johnson, J. a, 2000. </w:t>
      </w:r>
      <w:r w:rsidRPr="00CB1C44">
        <w:rPr>
          <w:rFonts w:ascii="Arial" w:eastAsia="Times New Roman" w:hAnsi="Arial" w:cs="Arial"/>
          <w:noProof/>
          <w:sz w:val="20"/>
          <w:lang w:val="en-US"/>
        </w:rPr>
        <w:t xml:space="preserve">NAD(P)H:quinone oxidoreductase </w:t>
      </w:r>
      <w:r w:rsidRPr="00CB1C44">
        <w:rPr>
          <w:rFonts w:ascii="Arial" w:eastAsia="Times New Roman" w:hAnsi="Arial" w:cs="Arial"/>
          <w:noProof/>
          <w:sz w:val="20"/>
          <w:lang w:val="en-US"/>
        </w:rPr>
        <w:lastRenderedPageBreak/>
        <w:t>activity is increased in hippocampal pyramidal neurons of patients with Aalzheimer’s disease. Neurobiol. Aging 21, 525–531. https://doi.org/10.1016/S0197-4580(00)00114-7</w:t>
      </w:r>
    </w:p>
    <w:p w14:paraId="7B9F566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Watai, Y., Kobayashi, A., Nagase, H., Mizukami, M., Mcevoy, J., Singer, J.D., Itoh, K., Yamamoto, M., 2007. Subcellular localization and cytoplasmic complex status of endogenous Keap1. Genes to Cells 12, 1163–1178. https://doi.org/10.1111/j.1365-2443.2007.01118.x</w:t>
      </w:r>
    </w:p>
    <w:p w14:paraId="2AC2658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Weidemann, A., Eggert, S., Reinhard, F.B.M., Vogel, M., Paliga, K., Baier, G., Masters, C.L., Beyreuther, K., Evin, G., 2002. A novel epsilon-cleavage within the transmembrane domain of the Alzheimer amyloid precursor protein demonstrates homology with Notch processing. Biochemistry 41, 2825–2835. https://doi.org/bi015794o [pii]</w:t>
      </w:r>
    </w:p>
    <w:p w14:paraId="7EBE3AE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Weinreb, O., Amit, T., Bar-Am, O., Sagi, Y., Mandel, S., Youdim, M.B., 2006. Involvement of multiple survival signal transduction pathways in the neuroprotective, neurorescue and APP processing activity of rasagiline and its propargyl moiety. J Neural Transm Suppl 457–465.</w:t>
      </w:r>
    </w:p>
    <w:p w14:paraId="62E736C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Wills, J., Jones, J., Haggerty, T., Duka, V., Joyce, J.N., Sidhu, A., 2010. Elevated tauopathy and alpha-synuclein pathology in postmortem Parkinson’s disease brains with and without dementia. Exp. Neurol. 225, 210–218. https://doi.org/10.1016/j.expneurol.2010.06.017</w:t>
      </w:r>
    </w:p>
    <w:p w14:paraId="5B2CDE8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Wilms H, Rosenstiel P, Sievers J, D.G., 2003. Activation ofmicroglia by human neuromelanin is NF-</w:t>
      </w:r>
      <w:r w:rsidRPr="00CB1C44">
        <w:rPr>
          <w:rFonts w:ascii="Arial" w:eastAsia="Times New Roman" w:hAnsi="Arial" w:cs="Arial"/>
          <w:noProof/>
          <w:sz w:val="20"/>
        </w:rPr>
        <w:t>κ</w:t>
      </w:r>
      <w:r w:rsidRPr="00CB1C44">
        <w:rPr>
          <w:rFonts w:ascii="Arial" w:eastAsia="Times New Roman" w:hAnsi="Arial" w:cs="Arial"/>
          <w:noProof/>
          <w:sz w:val="20"/>
          <w:lang w:val="en-US"/>
        </w:rPr>
        <w:t>B dependent and involves p38 mitogen-activated protein kinase: implications for Parkinson’s disease. Faseb J 17, 500–502.</w:t>
      </w:r>
    </w:p>
    <w:p w14:paraId="636205B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Wu, T., Zhao, F., Gao, B., Tan, C., Yagishita, N., Nakajima, T., Wong, P.K., Chapman, E., Fang, D., Zhang, D.D., 2014. Hrd1 suppresses Nrf2-mediated cellular protection during liver cirrhosis. Genes Dev. https://doi.org/10.1101/gad.238246.114</w:t>
      </w:r>
    </w:p>
    <w:p w14:paraId="4282E09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Xie, G., Tian, W., Wei, T., Liu, F., 2015. The neuroprotective effects of </w:t>
      </w:r>
      <w:r w:rsidRPr="00CB1C44">
        <w:rPr>
          <w:rFonts w:ascii="Arial" w:eastAsia="Times New Roman" w:hAnsi="Arial" w:cs="Arial"/>
          <w:noProof/>
          <w:sz w:val="20"/>
        </w:rPr>
        <w:t>β</w:t>
      </w:r>
      <w:r w:rsidRPr="00CB1C44">
        <w:rPr>
          <w:rFonts w:ascii="Arial" w:eastAsia="Times New Roman" w:hAnsi="Arial" w:cs="Arial"/>
          <w:noProof/>
          <w:sz w:val="20"/>
          <w:lang w:val="en-US"/>
        </w:rPr>
        <w:t>-hydroxybutyrate on A</w:t>
      </w:r>
      <w:r w:rsidRPr="00CB1C44">
        <w:rPr>
          <w:rFonts w:ascii="Arial" w:eastAsia="Times New Roman" w:hAnsi="Arial" w:cs="Arial"/>
          <w:noProof/>
          <w:sz w:val="20"/>
        </w:rPr>
        <w:t>β</w:t>
      </w:r>
      <w:r w:rsidRPr="00CB1C44">
        <w:rPr>
          <w:rFonts w:ascii="Arial" w:eastAsia="Times New Roman" w:hAnsi="Arial" w:cs="Arial"/>
          <w:noProof/>
          <w:sz w:val="20"/>
          <w:lang w:val="en-US"/>
        </w:rPr>
        <w:t>-injected rat hippocampus in vivo and in A</w:t>
      </w:r>
      <w:r w:rsidRPr="00CB1C44">
        <w:rPr>
          <w:rFonts w:ascii="Arial" w:eastAsia="Times New Roman" w:hAnsi="Arial" w:cs="Arial"/>
          <w:noProof/>
          <w:sz w:val="20"/>
        </w:rPr>
        <w:t>β</w:t>
      </w:r>
      <w:r w:rsidRPr="00CB1C44">
        <w:rPr>
          <w:rFonts w:ascii="Arial" w:eastAsia="Times New Roman" w:hAnsi="Arial" w:cs="Arial"/>
          <w:noProof/>
          <w:sz w:val="20"/>
          <w:lang w:val="en-US"/>
        </w:rPr>
        <w:t>-treated PC-12 cells in vitro. Free Radic. Res. https://doi.org/10.3109/10715762.2014.987274</w:t>
      </w:r>
    </w:p>
    <w:p w14:paraId="31EE5B18"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Xu, N., Majidi, V., Markesbery, W.R., Ehmann, W.D., 1992. Brain Aluminum in Alzheimers Disease Using an Improved GFAAS Method Ssue. Neurotoxicology 13, 735–743.</w:t>
      </w:r>
    </w:p>
    <w:p w14:paraId="20296C9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Xu, W., Zheng, D., Liu, Y., Li, J., Yang, L., Shang, X., 2017. Glaucocalyxin B Alleviates Lipopolysaccharide-Induced Parkinson’s Disease by Inhibiting TLR/NF-</w:t>
      </w:r>
      <w:r w:rsidRPr="00CB1C44">
        <w:rPr>
          <w:rFonts w:ascii="Arial" w:eastAsia="Times New Roman" w:hAnsi="Arial" w:cs="Arial"/>
          <w:noProof/>
          <w:sz w:val="20"/>
        </w:rPr>
        <w:t>κ</w:t>
      </w:r>
      <w:r w:rsidRPr="00CB1C44">
        <w:rPr>
          <w:rFonts w:ascii="Arial" w:eastAsia="Times New Roman" w:hAnsi="Arial" w:cs="Arial"/>
          <w:noProof/>
          <w:sz w:val="20"/>
          <w:lang w:val="en-US"/>
        </w:rPr>
        <w:t>B and Activating Nrf2/HO-1 Pathway. Cell. Physiol. Biochem. 44, 2091–2104. https://doi.org/10.1159/000485947</w:t>
      </w:r>
    </w:p>
    <w:p w14:paraId="703740D4"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Yacoubian, T.A., Standaert, D.G., 2009. Targets for neuroprotection in Parkinson’s disease. Biochim. Biophys. Acta - Mol. Basis Dis. https://doi.org/10.1016/j.bbadis.2008.09.009</w:t>
      </w:r>
    </w:p>
    <w:p w14:paraId="12BF07C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rPr>
      </w:pPr>
      <w:r w:rsidRPr="00CB1C44">
        <w:rPr>
          <w:rFonts w:ascii="Arial" w:eastAsia="Times New Roman" w:hAnsi="Arial" w:cs="Arial"/>
          <w:noProof/>
          <w:sz w:val="20"/>
          <w:lang w:val="en-US"/>
        </w:rPr>
        <w:t xml:space="preserve">Yamasaki, S., Yagishita, N., Sasaki, T., Nakazawa, M., Kato, Y., Yamadera, T., Bae, E., Toriyama, S., Ikeda, R., Zhang, L., Fujitani, K., Yoo, E., Tsuchimochi, K., Ohta, T., Araya, N., Fujita, H., Aratani, S., Eguchi, K., Komiya, S., Maruyama, I., Higashi, N., Sato, M., Senoo, H., Ochi, T., Yokoyama, S., Amano, T., Kim, J., Gay, S., Fukamizu, A., Nishioka, K., Tanaka, K., Nakajima, T., 2007. Cytoplasmic destruction of p53 by the endoplasmic reticulum-resident ubiquitin ligase “Synoviolin.” </w:t>
      </w:r>
      <w:r w:rsidRPr="00CB1C44">
        <w:rPr>
          <w:rFonts w:ascii="Arial" w:eastAsia="Times New Roman" w:hAnsi="Arial" w:cs="Arial"/>
          <w:noProof/>
          <w:sz w:val="20"/>
        </w:rPr>
        <w:t>EMBO J. https://doi.org/10.1038/sj.emboj.7601490</w:t>
      </w:r>
    </w:p>
    <w:p w14:paraId="4599C2B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rPr>
        <w:t xml:space="preserve">Yamazaki, H., Tanji, K., Wakabayashi, K., Matsuura, S., Itoh, K., 2015. </w:t>
      </w:r>
      <w:r w:rsidRPr="00CB1C44">
        <w:rPr>
          <w:rFonts w:ascii="Arial" w:eastAsia="Times New Roman" w:hAnsi="Arial" w:cs="Arial"/>
          <w:noProof/>
          <w:sz w:val="20"/>
          <w:lang w:val="en-US"/>
        </w:rPr>
        <w:t>Role of the Keap1/Nrf2 pathway in neurodegenerative diseases. Pathol. Int. 65, 210–219. https://doi.org/10.1111/pin.12261</w:t>
      </w:r>
    </w:p>
    <w:p w14:paraId="36CEEDFF"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Yao, Y., Chen, L., Xiao, J., Wang, C., Jiang, W., Zhang, R., Hao, J., 2014. Chrysin protects against focal cerebral ischemia/reperfusion injury in mice through attenuation of oxidative stress and inflammation. Int. J. Mol. Sci. https://doi.org/10.3390/ijms151120913</w:t>
      </w:r>
    </w:p>
    <w:p w14:paraId="3B8D267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Yasuda, S., Sugiura, H., Tanaka, H., Takigami, S., Yamagata, K., 2011. p38 MAP kinase inhibitors as potential therapeutic drugs for neural diseases. Cent. Nerv. Syst. Agents Med. Chem. 11, 45–59. https://doi.org/10.2174/187152411794961040</w:t>
      </w:r>
    </w:p>
    <w:p w14:paraId="310A042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Yasuhara, T., Hara, K., Sethi, K.D., Morgan, J.C., Borlongan, C. V., 2007. Increased 8-OHdG levels in the urine, serum, and substantia nigra of hemiparkinsonian rats. Brain Res. 1133, 49–52. https://doi.org/10.1016/j.brainres.2006.11.072</w:t>
      </w:r>
    </w:p>
    <w:p w14:paraId="684EA40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Yoritaka,  a, Hattori, N., Uchida, K., Tanaka, M., Stadtman, E.R., Mizuno, Y., 1996. Immunohistochemical detection of 4-hydroxynonenal protein adducts in Parkinson disease. Proc. Natl. Acad. Sci. U. S. A. 93, 2696–2701. https://doi.org/10.1073/pnas.93.7.2696</w:t>
      </w:r>
    </w:p>
    <w:p w14:paraId="2BF7D2E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Yu, L., Wang, S., Chen, X., Yang, H., Li, X., Xu, Y., Zhu, X., 2015. Orientin alleviates cognitive deficits and oxidative stress in A</w:t>
      </w:r>
      <w:r w:rsidRPr="00CB1C44">
        <w:rPr>
          <w:rFonts w:ascii="Arial" w:eastAsia="Times New Roman" w:hAnsi="Arial" w:cs="Arial"/>
          <w:noProof/>
          <w:sz w:val="20"/>
        </w:rPr>
        <w:t>β</w:t>
      </w:r>
      <w:r w:rsidRPr="00CB1C44">
        <w:rPr>
          <w:rFonts w:ascii="Arial" w:eastAsia="Times New Roman" w:hAnsi="Arial" w:cs="Arial"/>
          <w:noProof/>
          <w:sz w:val="20"/>
          <w:lang w:val="en-US"/>
        </w:rPr>
        <w:t xml:space="preserve"> 1-42 -induced mouse model of Alzheimer’s disease. Life Sci. https://doi.org/10.1016/j.lfs.2014.11.021</w:t>
      </w:r>
    </w:p>
    <w:p w14:paraId="5D619A8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lastRenderedPageBreak/>
        <w:t>Zawada, W.M., Meintzer, M.K., Rao, P., Marotti, J., Wang, X., Esplen, J.E., Clarkson, E.D., Freed, C.R., Heidenreich, K.A., 2001. Inhibitors of p38 MAP kinase increase the survival of transplanted dopamine neurons. Brain Res. 891, 185–196. https://doi.org/10.1016/S0006-8993(00)02965-6</w:t>
      </w:r>
    </w:p>
    <w:p w14:paraId="04727EB2"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Zhang, C., Li, C., Chen, S., Li, Z., Jia, X., Wang, K., Bao, J., Liang, Y., Wang, X., Chen, M., Li, P., Su, H., Wan, J.-B., Lee, S.M.Y., Liu, K., He, C., 2017. Berberine protects against 6-OHDA-induced neurotoxicity in PC12 cells and zebrafish through hormetic mechanisms involving PI3K/AKT/Bcl-2 and Nrf2/HO-1 pathways. Redox Biol. 11, 1–11. https://doi.org/10.1016/j.redox.2016.10.019</w:t>
      </w:r>
    </w:p>
    <w:p w14:paraId="37732EF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Zhang, D.D., Lo, S.C., Sun, Z., Habib, G.M., Lieberman, M.W., Hannink, M., 2005. Ubiquitination of Keap1, a BTB-Kelch substrate adaptor protein for Cul3, targets Keap1 for degradation by a proteasome-independent pathway. J. Biol. Chem. 280, 30091–30099. https://doi.org/10.1074/jbc.M501279200</w:t>
      </w:r>
    </w:p>
    <w:p w14:paraId="58DE357D"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Zhang, N., Shu, H.Y., Huang, T., Zhang, Q.L., Li, D., Zhang, G.Q., Peng, X.Y., Liu, C.F., Luo, W.F., Hu, L.F., 2014. Nrf2 signaling contributes to the neuroprotective effects of urate against 6-OHDA toxicity. PLoS One. https://doi.org/10.1371/journal.pone.0100286</w:t>
      </w:r>
    </w:p>
    <w:p w14:paraId="5FB6E23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Zhang, X.-L., Yuan, Y.-H., Shao, Q.-H., Wang, Z.-Z., Zhu, C.-G., Shi, J.-G., Ma, K.-L., Yan, X., Chen, N.-H., 2017. DJ-1 regulating PI3K-Nrf2 signaling plays a significant role in bibenzyl compound 20C-mediated neuroprotection against rotenone-induced oxidative insult. Toxicol. Lett. 271, 74–83. https://doi.org/10.1016/j.toxlet.2017.02.022</w:t>
      </w:r>
    </w:p>
    <w:p w14:paraId="0612123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Zhang, Z., Li, G., Szeto, S.S.W., Chong, C.M., Quan, Q., Huang, C., Cui, W., Guo, B., Wang, Y., Han, Y., Michael Siu, K.W., Yuen Lee, S.M., Chu, I.K., 2015. Examining the neuroprotective effects of protocatechuic acid and chrysin on in vitro and in vivo models of Parkinson disease. Free Radic. Biol. Med. 84, 331–343. https://doi.org/10.1016/j.freeradbiomed.2015.02.030</w:t>
      </w:r>
    </w:p>
    <w:p w14:paraId="7E5233A0"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Zhao, F., Zhang, J., Chang, N., 2018. Epigenetic modification of Nrf2 by sulforaphane increases the antioxidative and anti-inflammatory capacity in a cellular model of Alzheimer’s disease. Eur. J. Pharmacol. 824, 1–10. https://doi.org/10.1016/j.ejphar.2018.01.046</w:t>
      </w:r>
    </w:p>
    <w:p w14:paraId="32938B4B"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Zhao, Y., Zhang, Q., Xi, J., Li, Y., Ma, C., Xiao, B., 2015. Multitarget intervention of Fasudil in the neuroprotection of dopaminergic neurons in MPTP-mouse model of Parkinson’s disease. J. Neurol. Sci. 353, 28–37. https://doi.org/10.1016/j.jns.2015.03.022</w:t>
      </w:r>
    </w:p>
    <w:p w14:paraId="615393FC"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Zheng, X., Wang, W., Liu, R., Huang, H., Zhang, R., Sun, L., 2012. Effect of p62 on tau hyperphosphorylation in a rat model of Alzheimer’s disease. Neural Regen. Res. 7, 1304–11. https://doi.org/10.3969/j.issn.1673-5374.2012.17.004</w:t>
      </w:r>
    </w:p>
    <w:p w14:paraId="5E611F49"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Zhou, Y., Xie, N., Li, L., Zou, Y., Zhang, X., Dong, M., 2014. Puerarin alleviates cognitive impairment and oxidative stress in APP/PS1 transgenic mice. Int. J. Neuropsychopharmacol. 17, 635–644. https://doi.org/10.1017/S146114571300148X</w:t>
      </w:r>
    </w:p>
    <w:p w14:paraId="4EFA0D35"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Zhu, M., Fahl, W.E., 2001. Functional characterization of transcription regulators that interact with the electrophile response element. Biochem. Biophys. Res. Commun. 289, 212–9. https://doi.org/10.1006/bbrc.2001.5944</w:t>
      </w:r>
    </w:p>
    <w:p w14:paraId="69D9945A"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Zipper, L.M., Timothy Mulcahy, R., 2002. The Keap1 BTB/POZ dimerization function is required to sequester Nrf2 in cytoplasm. J. Biol. Chem. 277, 36544–36552. https://doi.org/10.1074/jbc.M206530200</w:t>
      </w:r>
    </w:p>
    <w:p w14:paraId="5B1D2253" w14:textId="77777777" w:rsidR="00F81BD2" w:rsidRPr="00CB1C44" w:rsidRDefault="00F81BD2" w:rsidP="00F81BD2">
      <w:pPr>
        <w:widowControl w:val="0"/>
        <w:autoSpaceDE w:val="0"/>
        <w:autoSpaceDN w:val="0"/>
        <w:adjustRightInd w:val="0"/>
        <w:spacing w:after="0" w:line="240" w:lineRule="auto"/>
        <w:ind w:left="480" w:hanging="480"/>
        <w:rPr>
          <w:rFonts w:ascii="Arial" w:eastAsia="Times New Roman" w:hAnsi="Arial" w:cs="Arial"/>
          <w:noProof/>
          <w:sz w:val="20"/>
          <w:lang w:val="en-US"/>
        </w:rPr>
      </w:pPr>
      <w:r w:rsidRPr="00CB1C44">
        <w:rPr>
          <w:rFonts w:ascii="Arial" w:eastAsia="Times New Roman" w:hAnsi="Arial" w:cs="Arial"/>
          <w:noProof/>
          <w:sz w:val="20"/>
          <w:lang w:val="en-US"/>
        </w:rPr>
        <w:t xml:space="preserve">Zou, Y., Wang, R., Guo, H., Dong, M., 2015. Phytoestrogen </w:t>
      </w:r>
      <w:r w:rsidRPr="00CB1C44">
        <w:rPr>
          <w:rFonts w:ascii="Arial" w:eastAsia="Times New Roman" w:hAnsi="Arial" w:cs="Arial"/>
          <w:noProof/>
          <w:sz w:val="20"/>
        </w:rPr>
        <w:t>β</w:t>
      </w:r>
      <w:r w:rsidRPr="00CB1C44">
        <w:rPr>
          <w:rFonts w:ascii="Arial" w:eastAsia="Times New Roman" w:hAnsi="Arial" w:cs="Arial"/>
          <w:noProof/>
          <w:sz w:val="20"/>
          <w:lang w:val="en-US"/>
        </w:rPr>
        <w:t>-Ecdysterone Protects PC12 Cells Against MPP + -Induced Neurotoxicity In Vitro : Involvement of PI3K-Nrf2-Regulated Pathway. Toxicol. Sci. 147, 28–38. https://doi.org/10.1093/toxsci/kfv111</w:t>
      </w:r>
    </w:p>
    <w:p w14:paraId="07BABDFF" w14:textId="77777777" w:rsidR="00F81BD2" w:rsidRPr="00CB1C44" w:rsidRDefault="00F81BD2" w:rsidP="00F81BD2">
      <w:pPr>
        <w:widowControl w:val="0"/>
        <w:autoSpaceDE w:val="0"/>
        <w:autoSpaceDN w:val="0"/>
        <w:adjustRightInd w:val="0"/>
        <w:spacing w:after="0" w:line="240" w:lineRule="auto"/>
        <w:ind w:left="480" w:hanging="480"/>
        <w:rPr>
          <w:rFonts w:ascii="Arial" w:hAnsi="Arial" w:cs="Arial"/>
          <w:noProof/>
          <w:sz w:val="20"/>
        </w:rPr>
      </w:pPr>
      <w:r w:rsidRPr="00CB1C44">
        <w:rPr>
          <w:rFonts w:ascii="Arial" w:eastAsia="Times New Roman" w:hAnsi="Arial" w:cs="Arial"/>
          <w:noProof/>
          <w:sz w:val="20"/>
          <w:lang w:val="en-US"/>
        </w:rPr>
        <w:t xml:space="preserve">Zuo, L., Motherwell, M.S., 2013. The impact of reactive oxygen species and genetic mitochondrial mutations in Parkinson’s disease. </w:t>
      </w:r>
      <w:r w:rsidRPr="00CB1C44">
        <w:rPr>
          <w:rFonts w:ascii="Arial" w:eastAsia="Times New Roman" w:hAnsi="Arial" w:cs="Arial"/>
          <w:noProof/>
          <w:sz w:val="20"/>
        </w:rPr>
        <w:t>Gene. https://doi.org/10.1016/j.gene.2013.07.085</w:t>
      </w:r>
    </w:p>
    <w:p w14:paraId="23FA0377" w14:textId="27DCF449" w:rsidR="0050288F" w:rsidRPr="00CB1C44" w:rsidRDefault="00475094" w:rsidP="00F81BD2">
      <w:pPr>
        <w:widowControl w:val="0"/>
        <w:autoSpaceDE w:val="0"/>
        <w:autoSpaceDN w:val="0"/>
        <w:adjustRightInd w:val="0"/>
        <w:spacing w:after="0" w:line="240" w:lineRule="auto"/>
        <w:ind w:left="480" w:hanging="480"/>
        <w:rPr>
          <w:rFonts w:ascii="Arial" w:hAnsi="Arial" w:cs="Arial"/>
          <w:sz w:val="20"/>
          <w:szCs w:val="20"/>
          <w:lang w:val="en-US"/>
        </w:rPr>
      </w:pPr>
      <w:r w:rsidRPr="00CB1C44">
        <w:rPr>
          <w:rFonts w:ascii="Arial" w:hAnsi="Arial" w:cs="Arial"/>
          <w:sz w:val="20"/>
          <w:szCs w:val="20"/>
          <w:lang w:val="en-US"/>
        </w:rPr>
        <w:fldChar w:fldCharType="end"/>
      </w:r>
    </w:p>
    <w:sectPr w:rsidR="0050288F" w:rsidRPr="00CB1C44" w:rsidSect="004B756A">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5CA63" w14:textId="77777777" w:rsidR="00741168" w:rsidRDefault="00741168" w:rsidP="00AA5955">
      <w:pPr>
        <w:spacing w:after="0" w:line="240" w:lineRule="auto"/>
      </w:pPr>
      <w:r>
        <w:separator/>
      </w:r>
    </w:p>
  </w:endnote>
  <w:endnote w:type="continuationSeparator" w:id="0">
    <w:p w14:paraId="6C8DA374" w14:textId="77777777" w:rsidR="00741168" w:rsidRDefault="00741168" w:rsidP="00AA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E35C4" w14:textId="77777777" w:rsidR="00741168" w:rsidRDefault="00741168" w:rsidP="00AA5955">
      <w:pPr>
        <w:spacing w:after="0" w:line="240" w:lineRule="auto"/>
      </w:pPr>
      <w:r>
        <w:separator/>
      </w:r>
    </w:p>
  </w:footnote>
  <w:footnote w:type="continuationSeparator" w:id="0">
    <w:p w14:paraId="21DC1243" w14:textId="77777777" w:rsidR="00741168" w:rsidRDefault="00741168" w:rsidP="00AA5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139D" w14:textId="77777777" w:rsidR="00FC4D96" w:rsidRDefault="00FC4D96" w:rsidP="00771B32">
    <w:pPr>
      <w:pStyle w:val="Cabealho"/>
      <w:jc w:val="center"/>
    </w:pPr>
    <w:r>
      <w:t xml:space="preserve">L. Fão </w:t>
    </w:r>
    <w:r>
      <w:sym w:font="Symbol" w:char="F026"/>
    </w:r>
    <w:r>
      <w:t xml:space="preserve"> S.I. Mota </w:t>
    </w:r>
    <w:proofErr w:type="spellStart"/>
    <w:r>
      <w:t>et</w:t>
    </w:r>
    <w:proofErr w:type="spellEnd"/>
    <w:r>
      <w:t xml:space="preserve"> al.</w:t>
    </w:r>
  </w:p>
  <w:p w14:paraId="562024E7" w14:textId="77777777" w:rsidR="00FC4D96" w:rsidRDefault="00FC4D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DA5BDF"/>
    <w:multiLevelType w:val="hybridMultilevel"/>
    <w:tmpl w:val="2BD02764"/>
    <w:lvl w:ilvl="0" w:tplc="7A00CACA">
      <w:start w:val="4"/>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576D31F7"/>
    <w:multiLevelType w:val="hybridMultilevel"/>
    <w:tmpl w:val="3B160A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C8A"/>
    <w:rsid w:val="00000887"/>
    <w:rsid w:val="00000B41"/>
    <w:rsid w:val="00000F4E"/>
    <w:rsid w:val="000015CD"/>
    <w:rsid w:val="00002285"/>
    <w:rsid w:val="000028C2"/>
    <w:rsid w:val="0000290A"/>
    <w:rsid w:val="00002E70"/>
    <w:rsid w:val="00004485"/>
    <w:rsid w:val="00004D1C"/>
    <w:rsid w:val="0000605D"/>
    <w:rsid w:val="0000654E"/>
    <w:rsid w:val="00006F50"/>
    <w:rsid w:val="00007630"/>
    <w:rsid w:val="0001081B"/>
    <w:rsid w:val="00013A90"/>
    <w:rsid w:val="000141A6"/>
    <w:rsid w:val="00014936"/>
    <w:rsid w:val="00014BD8"/>
    <w:rsid w:val="00016213"/>
    <w:rsid w:val="00016906"/>
    <w:rsid w:val="00016E02"/>
    <w:rsid w:val="00017328"/>
    <w:rsid w:val="00017394"/>
    <w:rsid w:val="000175FC"/>
    <w:rsid w:val="00017A19"/>
    <w:rsid w:val="00017FC1"/>
    <w:rsid w:val="00020677"/>
    <w:rsid w:val="00021279"/>
    <w:rsid w:val="00021AAC"/>
    <w:rsid w:val="00022B9F"/>
    <w:rsid w:val="000231B2"/>
    <w:rsid w:val="000236C9"/>
    <w:rsid w:val="000247A2"/>
    <w:rsid w:val="00024BC3"/>
    <w:rsid w:val="0002631A"/>
    <w:rsid w:val="0002660D"/>
    <w:rsid w:val="0002735D"/>
    <w:rsid w:val="0002758E"/>
    <w:rsid w:val="0003009D"/>
    <w:rsid w:val="0003127C"/>
    <w:rsid w:val="00031F84"/>
    <w:rsid w:val="0003269B"/>
    <w:rsid w:val="00032A77"/>
    <w:rsid w:val="000337F1"/>
    <w:rsid w:val="00034D69"/>
    <w:rsid w:val="000355F0"/>
    <w:rsid w:val="00035C36"/>
    <w:rsid w:val="00036EEB"/>
    <w:rsid w:val="0003726D"/>
    <w:rsid w:val="00040303"/>
    <w:rsid w:val="00040F5C"/>
    <w:rsid w:val="00041AC1"/>
    <w:rsid w:val="000427C7"/>
    <w:rsid w:val="000437EB"/>
    <w:rsid w:val="0004387E"/>
    <w:rsid w:val="00044653"/>
    <w:rsid w:val="00045A08"/>
    <w:rsid w:val="00045F7F"/>
    <w:rsid w:val="00046140"/>
    <w:rsid w:val="00047064"/>
    <w:rsid w:val="0005290D"/>
    <w:rsid w:val="00054365"/>
    <w:rsid w:val="00054A4E"/>
    <w:rsid w:val="00055570"/>
    <w:rsid w:val="0005557C"/>
    <w:rsid w:val="00055903"/>
    <w:rsid w:val="00057432"/>
    <w:rsid w:val="0006005F"/>
    <w:rsid w:val="00060DDA"/>
    <w:rsid w:val="000616AB"/>
    <w:rsid w:val="00062424"/>
    <w:rsid w:val="00063F2B"/>
    <w:rsid w:val="00064314"/>
    <w:rsid w:val="000648AB"/>
    <w:rsid w:val="000652EC"/>
    <w:rsid w:val="0006572A"/>
    <w:rsid w:val="000657E2"/>
    <w:rsid w:val="00065ABC"/>
    <w:rsid w:val="00070A59"/>
    <w:rsid w:val="00071622"/>
    <w:rsid w:val="00071A52"/>
    <w:rsid w:val="00071CF0"/>
    <w:rsid w:val="00071E97"/>
    <w:rsid w:val="0007247C"/>
    <w:rsid w:val="00072E90"/>
    <w:rsid w:val="00073318"/>
    <w:rsid w:val="00075060"/>
    <w:rsid w:val="0007527E"/>
    <w:rsid w:val="00075EBE"/>
    <w:rsid w:val="000770A7"/>
    <w:rsid w:val="000776DE"/>
    <w:rsid w:val="00077749"/>
    <w:rsid w:val="00077754"/>
    <w:rsid w:val="00077ADF"/>
    <w:rsid w:val="00077EC9"/>
    <w:rsid w:val="000805B1"/>
    <w:rsid w:val="0008240E"/>
    <w:rsid w:val="00082F1A"/>
    <w:rsid w:val="000831BE"/>
    <w:rsid w:val="000836D9"/>
    <w:rsid w:val="000842F3"/>
    <w:rsid w:val="00085101"/>
    <w:rsid w:val="0008603E"/>
    <w:rsid w:val="00087041"/>
    <w:rsid w:val="000901F4"/>
    <w:rsid w:val="0009021A"/>
    <w:rsid w:val="00090C96"/>
    <w:rsid w:val="00090D1D"/>
    <w:rsid w:val="00094304"/>
    <w:rsid w:val="000952CE"/>
    <w:rsid w:val="0009674D"/>
    <w:rsid w:val="00097197"/>
    <w:rsid w:val="00097554"/>
    <w:rsid w:val="00097960"/>
    <w:rsid w:val="000A109D"/>
    <w:rsid w:val="000A1595"/>
    <w:rsid w:val="000A2E7F"/>
    <w:rsid w:val="000A31F1"/>
    <w:rsid w:val="000A3C95"/>
    <w:rsid w:val="000A4C2A"/>
    <w:rsid w:val="000A55C0"/>
    <w:rsid w:val="000A569A"/>
    <w:rsid w:val="000A6467"/>
    <w:rsid w:val="000A6591"/>
    <w:rsid w:val="000A6D58"/>
    <w:rsid w:val="000A6EAD"/>
    <w:rsid w:val="000B048B"/>
    <w:rsid w:val="000B0C87"/>
    <w:rsid w:val="000B147D"/>
    <w:rsid w:val="000B18F7"/>
    <w:rsid w:val="000B1A00"/>
    <w:rsid w:val="000B1E6D"/>
    <w:rsid w:val="000B1F7E"/>
    <w:rsid w:val="000B2CF7"/>
    <w:rsid w:val="000B2E99"/>
    <w:rsid w:val="000B3441"/>
    <w:rsid w:val="000B36C2"/>
    <w:rsid w:val="000B37F7"/>
    <w:rsid w:val="000B4658"/>
    <w:rsid w:val="000B500B"/>
    <w:rsid w:val="000B577A"/>
    <w:rsid w:val="000B5A37"/>
    <w:rsid w:val="000B780B"/>
    <w:rsid w:val="000B7A74"/>
    <w:rsid w:val="000B7BC8"/>
    <w:rsid w:val="000C0D2C"/>
    <w:rsid w:val="000C1554"/>
    <w:rsid w:val="000C1BBE"/>
    <w:rsid w:val="000C1F13"/>
    <w:rsid w:val="000C202E"/>
    <w:rsid w:val="000C2A55"/>
    <w:rsid w:val="000C38FD"/>
    <w:rsid w:val="000C3B49"/>
    <w:rsid w:val="000C3F96"/>
    <w:rsid w:val="000C414F"/>
    <w:rsid w:val="000C56F7"/>
    <w:rsid w:val="000C5E90"/>
    <w:rsid w:val="000C5EA0"/>
    <w:rsid w:val="000C60DB"/>
    <w:rsid w:val="000C7520"/>
    <w:rsid w:val="000C7A53"/>
    <w:rsid w:val="000D0013"/>
    <w:rsid w:val="000D0338"/>
    <w:rsid w:val="000D0574"/>
    <w:rsid w:val="000D1B3C"/>
    <w:rsid w:val="000D24BC"/>
    <w:rsid w:val="000D35B8"/>
    <w:rsid w:val="000D4CBA"/>
    <w:rsid w:val="000D5B6A"/>
    <w:rsid w:val="000D5E12"/>
    <w:rsid w:val="000D6216"/>
    <w:rsid w:val="000D79E9"/>
    <w:rsid w:val="000E1472"/>
    <w:rsid w:val="000E22EA"/>
    <w:rsid w:val="000E244E"/>
    <w:rsid w:val="000E26AA"/>
    <w:rsid w:val="000E2B07"/>
    <w:rsid w:val="000E3114"/>
    <w:rsid w:val="000E447A"/>
    <w:rsid w:val="000E4499"/>
    <w:rsid w:val="000E50DE"/>
    <w:rsid w:val="000E582F"/>
    <w:rsid w:val="000E5BDC"/>
    <w:rsid w:val="000E68DE"/>
    <w:rsid w:val="000E7B9C"/>
    <w:rsid w:val="000E7C33"/>
    <w:rsid w:val="000F1201"/>
    <w:rsid w:val="000F1F84"/>
    <w:rsid w:val="000F3038"/>
    <w:rsid w:val="000F3901"/>
    <w:rsid w:val="000F393E"/>
    <w:rsid w:val="000F3AF5"/>
    <w:rsid w:val="000F3DAC"/>
    <w:rsid w:val="000F3FE3"/>
    <w:rsid w:val="000F441D"/>
    <w:rsid w:val="000F4643"/>
    <w:rsid w:val="000F5122"/>
    <w:rsid w:val="000F52EF"/>
    <w:rsid w:val="000F60D4"/>
    <w:rsid w:val="000F745A"/>
    <w:rsid w:val="000F7590"/>
    <w:rsid w:val="000F7817"/>
    <w:rsid w:val="00101BF6"/>
    <w:rsid w:val="00101F63"/>
    <w:rsid w:val="0010203E"/>
    <w:rsid w:val="00102EAE"/>
    <w:rsid w:val="0010380B"/>
    <w:rsid w:val="00103A22"/>
    <w:rsid w:val="00104054"/>
    <w:rsid w:val="00104303"/>
    <w:rsid w:val="00105F0B"/>
    <w:rsid w:val="0010619B"/>
    <w:rsid w:val="001073ED"/>
    <w:rsid w:val="00107DE3"/>
    <w:rsid w:val="001108EE"/>
    <w:rsid w:val="0011101C"/>
    <w:rsid w:val="00114032"/>
    <w:rsid w:val="001152FF"/>
    <w:rsid w:val="001162F2"/>
    <w:rsid w:val="0011669E"/>
    <w:rsid w:val="001173C7"/>
    <w:rsid w:val="0012215E"/>
    <w:rsid w:val="0012218E"/>
    <w:rsid w:val="00123826"/>
    <w:rsid w:val="001238E9"/>
    <w:rsid w:val="00123BEA"/>
    <w:rsid w:val="00123EA9"/>
    <w:rsid w:val="00123F3F"/>
    <w:rsid w:val="0012443D"/>
    <w:rsid w:val="001257ED"/>
    <w:rsid w:val="001259D8"/>
    <w:rsid w:val="00125AE2"/>
    <w:rsid w:val="00125ECE"/>
    <w:rsid w:val="0012641B"/>
    <w:rsid w:val="0012730D"/>
    <w:rsid w:val="00127D97"/>
    <w:rsid w:val="00131543"/>
    <w:rsid w:val="001315D4"/>
    <w:rsid w:val="00131B39"/>
    <w:rsid w:val="00134293"/>
    <w:rsid w:val="00134D55"/>
    <w:rsid w:val="00135D07"/>
    <w:rsid w:val="001360C1"/>
    <w:rsid w:val="001361C1"/>
    <w:rsid w:val="001365AC"/>
    <w:rsid w:val="00137129"/>
    <w:rsid w:val="0014051E"/>
    <w:rsid w:val="0014120F"/>
    <w:rsid w:val="00141653"/>
    <w:rsid w:val="0014304A"/>
    <w:rsid w:val="001436EE"/>
    <w:rsid w:val="00144537"/>
    <w:rsid w:val="00145163"/>
    <w:rsid w:val="001458A4"/>
    <w:rsid w:val="00145EDD"/>
    <w:rsid w:val="00146B5B"/>
    <w:rsid w:val="001478FC"/>
    <w:rsid w:val="00150BD8"/>
    <w:rsid w:val="001511B3"/>
    <w:rsid w:val="0015120C"/>
    <w:rsid w:val="00151336"/>
    <w:rsid w:val="00152334"/>
    <w:rsid w:val="0015298F"/>
    <w:rsid w:val="00152C61"/>
    <w:rsid w:val="0015406A"/>
    <w:rsid w:val="00154AE1"/>
    <w:rsid w:val="00154BA5"/>
    <w:rsid w:val="00156503"/>
    <w:rsid w:val="00156B18"/>
    <w:rsid w:val="001572FC"/>
    <w:rsid w:val="00157B22"/>
    <w:rsid w:val="00160E73"/>
    <w:rsid w:val="0016119D"/>
    <w:rsid w:val="00161811"/>
    <w:rsid w:val="00161C89"/>
    <w:rsid w:val="00161CD2"/>
    <w:rsid w:val="0016379D"/>
    <w:rsid w:val="00163C3F"/>
    <w:rsid w:val="00164476"/>
    <w:rsid w:val="00164A81"/>
    <w:rsid w:val="00164C18"/>
    <w:rsid w:val="001653F8"/>
    <w:rsid w:val="001655CF"/>
    <w:rsid w:val="00165FF2"/>
    <w:rsid w:val="00166CA2"/>
    <w:rsid w:val="00166F33"/>
    <w:rsid w:val="0017001B"/>
    <w:rsid w:val="00170364"/>
    <w:rsid w:val="001718EE"/>
    <w:rsid w:val="00172201"/>
    <w:rsid w:val="001723AB"/>
    <w:rsid w:val="00172BE4"/>
    <w:rsid w:val="00172FC2"/>
    <w:rsid w:val="0017353E"/>
    <w:rsid w:val="001745F9"/>
    <w:rsid w:val="001747F2"/>
    <w:rsid w:val="00175EBF"/>
    <w:rsid w:val="00176A99"/>
    <w:rsid w:val="00176BE3"/>
    <w:rsid w:val="00176F32"/>
    <w:rsid w:val="00177120"/>
    <w:rsid w:val="00177E56"/>
    <w:rsid w:val="00180823"/>
    <w:rsid w:val="001808A5"/>
    <w:rsid w:val="001809E1"/>
    <w:rsid w:val="00182214"/>
    <w:rsid w:val="00182483"/>
    <w:rsid w:val="001853CD"/>
    <w:rsid w:val="00185D04"/>
    <w:rsid w:val="001866BE"/>
    <w:rsid w:val="00186B5A"/>
    <w:rsid w:val="00187CC7"/>
    <w:rsid w:val="00190147"/>
    <w:rsid w:val="001903B5"/>
    <w:rsid w:val="00191438"/>
    <w:rsid w:val="00192644"/>
    <w:rsid w:val="00193B24"/>
    <w:rsid w:val="0019582B"/>
    <w:rsid w:val="00195967"/>
    <w:rsid w:val="00196772"/>
    <w:rsid w:val="00196D61"/>
    <w:rsid w:val="00197ABE"/>
    <w:rsid w:val="001A0C0A"/>
    <w:rsid w:val="001A1F7A"/>
    <w:rsid w:val="001A2A8E"/>
    <w:rsid w:val="001A36D8"/>
    <w:rsid w:val="001A64E3"/>
    <w:rsid w:val="001A6732"/>
    <w:rsid w:val="001A6AAA"/>
    <w:rsid w:val="001A74D0"/>
    <w:rsid w:val="001B0A43"/>
    <w:rsid w:val="001B0BCB"/>
    <w:rsid w:val="001B0DC7"/>
    <w:rsid w:val="001B1312"/>
    <w:rsid w:val="001B175A"/>
    <w:rsid w:val="001B314E"/>
    <w:rsid w:val="001B454C"/>
    <w:rsid w:val="001B4C94"/>
    <w:rsid w:val="001B6505"/>
    <w:rsid w:val="001B6614"/>
    <w:rsid w:val="001B6B30"/>
    <w:rsid w:val="001B6ED2"/>
    <w:rsid w:val="001B71C3"/>
    <w:rsid w:val="001C0586"/>
    <w:rsid w:val="001C1E8A"/>
    <w:rsid w:val="001C2846"/>
    <w:rsid w:val="001C28E1"/>
    <w:rsid w:val="001C2A58"/>
    <w:rsid w:val="001C2AB1"/>
    <w:rsid w:val="001C40BF"/>
    <w:rsid w:val="001C57A2"/>
    <w:rsid w:val="001C5935"/>
    <w:rsid w:val="001C60E4"/>
    <w:rsid w:val="001C6AD4"/>
    <w:rsid w:val="001C6E30"/>
    <w:rsid w:val="001C7015"/>
    <w:rsid w:val="001C70C0"/>
    <w:rsid w:val="001C7154"/>
    <w:rsid w:val="001D007E"/>
    <w:rsid w:val="001D140A"/>
    <w:rsid w:val="001D2083"/>
    <w:rsid w:val="001D2591"/>
    <w:rsid w:val="001D4042"/>
    <w:rsid w:val="001D4DA4"/>
    <w:rsid w:val="001D58D1"/>
    <w:rsid w:val="001D5E6C"/>
    <w:rsid w:val="001D7882"/>
    <w:rsid w:val="001D7B0A"/>
    <w:rsid w:val="001D7E45"/>
    <w:rsid w:val="001E02F6"/>
    <w:rsid w:val="001E05D5"/>
    <w:rsid w:val="001E0D37"/>
    <w:rsid w:val="001E0E9B"/>
    <w:rsid w:val="001E161A"/>
    <w:rsid w:val="001E1B6D"/>
    <w:rsid w:val="001E21BE"/>
    <w:rsid w:val="001E2F55"/>
    <w:rsid w:val="001E3589"/>
    <w:rsid w:val="001E3DAD"/>
    <w:rsid w:val="001E4D21"/>
    <w:rsid w:val="001E5B97"/>
    <w:rsid w:val="001E5C03"/>
    <w:rsid w:val="001E6F5B"/>
    <w:rsid w:val="001E77F2"/>
    <w:rsid w:val="001F0C25"/>
    <w:rsid w:val="001F0C8A"/>
    <w:rsid w:val="001F0CA2"/>
    <w:rsid w:val="001F2527"/>
    <w:rsid w:val="001F341B"/>
    <w:rsid w:val="001F43EE"/>
    <w:rsid w:val="001F470D"/>
    <w:rsid w:val="001F48F9"/>
    <w:rsid w:val="001F5052"/>
    <w:rsid w:val="001F5072"/>
    <w:rsid w:val="001F5AEE"/>
    <w:rsid w:val="001F6155"/>
    <w:rsid w:val="001F6EBF"/>
    <w:rsid w:val="001F73D9"/>
    <w:rsid w:val="00200686"/>
    <w:rsid w:val="0020277D"/>
    <w:rsid w:val="00203405"/>
    <w:rsid w:val="00203563"/>
    <w:rsid w:val="00205859"/>
    <w:rsid w:val="0020597F"/>
    <w:rsid w:val="00206119"/>
    <w:rsid w:val="002068F0"/>
    <w:rsid w:val="002069B7"/>
    <w:rsid w:val="00206F8C"/>
    <w:rsid w:val="0020765C"/>
    <w:rsid w:val="00210C87"/>
    <w:rsid w:val="00211BC6"/>
    <w:rsid w:val="00211ECC"/>
    <w:rsid w:val="00212999"/>
    <w:rsid w:val="002145CB"/>
    <w:rsid w:val="00214908"/>
    <w:rsid w:val="002155D4"/>
    <w:rsid w:val="00215644"/>
    <w:rsid w:val="00215E5C"/>
    <w:rsid w:val="002163D4"/>
    <w:rsid w:val="002168A5"/>
    <w:rsid w:val="00217DC3"/>
    <w:rsid w:val="00217EF0"/>
    <w:rsid w:val="002200BA"/>
    <w:rsid w:val="00221A25"/>
    <w:rsid w:val="00221B49"/>
    <w:rsid w:val="002227CA"/>
    <w:rsid w:val="00222FF7"/>
    <w:rsid w:val="00223573"/>
    <w:rsid w:val="002253E8"/>
    <w:rsid w:val="00227DDD"/>
    <w:rsid w:val="00230A50"/>
    <w:rsid w:val="00230C28"/>
    <w:rsid w:val="00231AD9"/>
    <w:rsid w:val="00231BFF"/>
    <w:rsid w:val="002320E7"/>
    <w:rsid w:val="00232B5D"/>
    <w:rsid w:val="002339EA"/>
    <w:rsid w:val="00233B00"/>
    <w:rsid w:val="002345A2"/>
    <w:rsid w:val="002347FB"/>
    <w:rsid w:val="002358F0"/>
    <w:rsid w:val="00235C1C"/>
    <w:rsid w:val="00236151"/>
    <w:rsid w:val="00236C83"/>
    <w:rsid w:val="002378A0"/>
    <w:rsid w:val="0024004E"/>
    <w:rsid w:val="00240C6D"/>
    <w:rsid w:val="002412BC"/>
    <w:rsid w:val="00241372"/>
    <w:rsid w:val="00242838"/>
    <w:rsid w:val="00243CDD"/>
    <w:rsid w:val="00244774"/>
    <w:rsid w:val="00245DFB"/>
    <w:rsid w:val="0024630B"/>
    <w:rsid w:val="0024646D"/>
    <w:rsid w:val="00247117"/>
    <w:rsid w:val="00247403"/>
    <w:rsid w:val="00247D6B"/>
    <w:rsid w:val="00251381"/>
    <w:rsid w:val="002526C5"/>
    <w:rsid w:val="00252CE5"/>
    <w:rsid w:val="00252F79"/>
    <w:rsid w:val="00254796"/>
    <w:rsid w:val="00254B0B"/>
    <w:rsid w:val="00254D24"/>
    <w:rsid w:val="002573ED"/>
    <w:rsid w:val="00260D26"/>
    <w:rsid w:val="002616FC"/>
    <w:rsid w:val="0026352A"/>
    <w:rsid w:val="00264EF4"/>
    <w:rsid w:val="0026569F"/>
    <w:rsid w:val="00266845"/>
    <w:rsid w:val="0026705E"/>
    <w:rsid w:val="00267115"/>
    <w:rsid w:val="0026721C"/>
    <w:rsid w:val="00270486"/>
    <w:rsid w:val="00270977"/>
    <w:rsid w:val="00272014"/>
    <w:rsid w:val="0027226A"/>
    <w:rsid w:val="002736E2"/>
    <w:rsid w:val="00273900"/>
    <w:rsid w:val="00274AC1"/>
    <w:rsid w:val="00275831"/>
    <w:rsid w:val="00275BA9"/>
    <w:rsid w:val="00276601"/>
    <w:rsid w:val="00276690"/>
    <w:rsid w:val="00276DA6"/>
    <w:rsid w:val="00280120"/>
    <w:rsid w:val="002801D2"/>
    <w:rsid w:val="0028075E"/>
    <w:rsid w:val="00280831"/>
    <w:rsid w:val="00281E50"/>
    <w:rsid w:val="002836BE"/>
    <w:rsid w:val="002837AE"/>
    <w:rsid w:val="00284268"/>
    <w:rsid w:val="00284A6A"/>
    <w:rsid w:val="0028583F"/>
    <w:rsid w:val="00286953"/>
    <w:rsid w:val="00286D2D"/>
    <w:rsid w:val="00291090"/>
    <w:rsid w:val="00293A99"/>
    <w:rsid w:val="002947A2"/>
    <w:rsid w:val="00295E3D"/>
    <w:rsid w:val="002962D1"/>
    <w:rsid w:val="00296832"/>
    <w:rsid w:val="0029789F"/>
    <w:rsid w:val="00297926"/>
    <w:rsid w:val="002979EC"/>
    <w:rsid w:val="002A09D6"/>
    <w:rsid w:val="002A0CD8"/>
    <w:rsid w:val="002A140B"/>
    <w:rsid w:val="002A1A8F"/>
    <w:rsid w:val="002A20F2"/>
    <w:rsid w:val="002A2202"/>
    <w:rsid w:val="002A2B92"/>
    <w:rsid w:val="002A30F8"/>
    <w:rsid w:val="002A3310"/>
    <w:rsid w:val="002A48E3"/>
    <w:rsid w:val="002A5537"/>
    <w:rsid w:val="002A55D7"/>
    <w:rsid w:val="002A5C41"/>
    <w:rsid w:val="002A5D62"/>
    <w:rsid w:val="002A5E73"/>
    <w:rsid w:val="002A5E88"/>
    <w:rsid w:val="002A5FDF"/>
    <w:rsid w:val="002A7543"/>
    <w:rsid w:val="002A769A"/>
    <w:rsid w:val="002A7F2C"/>
    <w:rsid w:val="002A7FBD"/>
    <w:rsid w:val="002B22B8"/>
    <w:rsid w:val="002B29C4"/>
    <w:rsid w:val="002B2C71"/>
    <w:rsid w:val="002B3947"/>
    <w:rsid w:val="002B3BBE"/>
    <w:rsid w:val="002C0678"/>
    <w:rsid w:val="002C1490"/>
    <w:rsid w:val="002C29E5"/>
    <w:rsid w:val="002C349F"/>
    <w:rsid w:val="002C5D33"/>
    <w:rsid w:val="002C5D5B"/>
    <w:rsid w:val="002C5DFE"/>
    <w:rsid w:val="002C65DF"/>
    <w:rsid w:val="002D0762"/>
    <w:rsid w:val="002D07A8"/>
    <w:rsid w:val="002D1284"/>
    <w:rsid w:val="002D171F"/>
    <w:rsid w:val="002D239D"/>
    <w:rsid w:val="002D2DE5"/>
    <w:rsid w:val="002D44BC"/>
    <w:rsid w:val="002D527A"/>
    <w:rsid w:val="002D68C0"/>
    <w:rsid w:val="002D6B13"/>
    <w:rsid w:val="002D72AC"/>
    <w:rsid w:val="002E0146"/>
    <w:rsid w:val="002E02B8"/>
    <w:rsid w:val="002E07DC"/>
    <w:rsid w:val="002E169D"/>
    <w:rsid w:val="002E1A27"/>
    <w:rsid w:val="002E1E2B"/>
    <w:rsid w:val="002E2470"/>
    <w:rsid w:val="002E34D4"/>
    <w:rsid w:val="002E3895"/>
    <w:rsid w:val="002E57A1"/>
    <w:rsid w:val="002E5FD4"/>
    <w:rsid w:val="002E65BD"/>
    <w:rsid w:val="002E77EB"/>
    <w:rsid w:val="002E7B65"/>
    <w:rsid w:val="002E7C0C"/>
    <w:rsid w:val="002F02AA"/>
    <w:rsid w:val="002F02CC"/>
    <w:rsid w:val="002F05AF"/>
    <w:rsid w:val="002F064E"/>
    <w:rsid w:val="002F0750"/>
    <w:rsid w:val="002F296F"/>
    <w:rsid w:val="002F3921"/>
    <w:rsid w:val="002F4B38"/>
    <w:rsid w:val="002F684A"/>
    <w:rsid w:val="002F7FB6"/>
    <w:rsid w:val="00300C75"/>
    <w:rsid w:val="003013F3"/>
    <w:rsid w:val="00301B63"/>
    <w:rsid w:val="00301F5E"/>
    <w:rsid w:val="00301FAD"/>
    <w:rsid w:val="00302150"/>
    <w:rsid w:val="00303307"/>
    <w:rsid w:val="00303F44"/>
    <w:rsid w:val="00304478"/>
    <w:rsid w:val="0030512B"/>
    <w:rsid w:val="003051EB"/>
    <w:rsid w:val="0030611D"/>
    <w:rsid w:val="00306ED4"/>
    <w:rsid w:val="00310689"/>
    <w:rsid w:val="00310E9A"/>
    <w:rsid w:val="00311A6B"/>
    <w:rsid w:val="00312898"/>
    <w:rsid w:val="00314214"/>
    <w:rsid w:val="003142B1"/>
    <w:rsid w:val="00314AF5"/>
    <w:rsid w:val="0031551D"/>
    <w:rsid w:val="00315C62"/>
    <w:rsid w:val="00316B3A"/>
    <w:rsid w:val="00317DAC"/>
    <w:rsid w:val="003204AD"/>
    <w:rsid w:val="0032060E"/>
    <w:rsid w:val="00320B23"/>
    <w:rsid w:val="00321559"/>
    <w:rsid w:val="0032335D"/>
    <w:rsid w:val="00324CA0"/>
    <w:rsid w:val="00324FB5"/>
    <w:rsid w:val="00326CCF"/>
    <w:rsid w:val="003271C8"/>
    <w:rsid w:val="00327705"/>
    <w:rsid w:val="0033012D"/>
    <w:rsid w:val="003311D5"/>
    <w:rsid w:val="0033180D"/>
    <w:rsid w:val="003326F2"/>
    <w:rsid w:val="00332D8E"/>
    <w:rsid w:val="00333B0D"/>
    <w:rsid w:val="003340E2"/>
    <w:rsid w:val="003341F8"/>
    <w:rsid w:val="003346B5"/>
    <w:rsid w:val="00334EFA"/>
    <w:rsid w:val="0033529F"/>
    <w:rsid w:val="0033598B"/>
    <w:rsid w:val="00336542"/>
    <w:rsid w:val="00336B57"/>
    <w:rsid w:val="00336DBF"/>
    <w:rsid w:val="00337771"/>
    <w:rsid w:val="00337AC1"/>
    <w:rsid w:val="00340858"/>
    <w:rsid w:val="0034099D"/>
    <w:rsid w:val="00340F67"/>
    <w:rsid w:val="0034133F"/>
    <w:rsid w:val="00341C28"/>
    <w:rsid w:val="00342342"/>
    <w:rsid w:val="00342D15"/>
    <w:rsid w:val="00343142"/>
    <w:rsid w:val="00343957"/>
    <w:rsid w:val="003440FE"/>
    <w:rsid w:val="00344480"/>
    <w:rsid w:val="003447C5"/>
    <w:rsid w:val="00345F4E"/>
    <w:rsid w:val="0034736D"/>
    <w:rsid w:val="0034762E"/>
    <w:rsid w:val="00347FF9"/>
    <w:rsid w:val="00350305"/>
    <w:rsid w:val="00350CDF"/>
    <w:rsid w:val="00351302"/>
    <w:rsid w:val="00351A2A"/>
    <w:rsid w:val="00351FFE"/>
    <w:rsid w:val="00352A26"/>
    <w:rsid w:val="00354E84"/>
    <w:rsid w:val="003559FF"/>
    <w:rsid w:val="00356110"/>
    <w:rsid w:val="00356A81"/>
    <w:rsid w:val="00357283"/>
    <w:rsid w:val="00357568"/>
    <w:rsid w:val="00357975"/>
    <w:rsid w:val="00357C8A"/>
    <w:rsid w:val="00357E24"/>
    <w:rsid w:val="003603A8"/>
    <w:rsid w:val="00360840"/>
    <w:rsid w:val="00361139"/>
    <w:rsid w:val="00361217"/>
    <w:rsid w:val="003615B4"/>
    <w:rsid w:val="0036282D"/>
    <w:rsid w:val="0036376A"/>
    <w:rsid w:val="003645D4"/>
    <w:rsid w:val="0036473F"/>
    <w:rsid w:val="00364D7C"/>
    <w:rsid w:val="00365416"/>
    <w:rsid w:val="0036629F"/>
    <w:rsid w:val="00370993"/>
    <w:rsid w:val="00371270"/>
    <w:rsid w:val="00373487"/>
    <w:rsid w:val="00373758"/>
    <w:rsid w:val="00373E20"/>
    <w:rsid w:val="00375009"/>
    <w:rsid w:val="003751BC"/>
    <w:rsid w:val="00375666"/>
    <w:rsid w:val="00375B07"/>
    <w:rsid w:val="00376EA2"/>
    <w:rsid w:val="00377859"/>
    <w:rsid w:val="00381FCD"/>
    <w:rsid w:val="0038216F"/>
    <w:rsid w:val="00382CA9"/>
    <w:rsid w:val="00383D17"/>
    <w:rsid w:val="00385458"/>
    <w:rsid w:val="00385922"/>
    <w:rsid w:val="00385DB7"/>
    <w:rsid w:val="0038602D"/>
    <w:rsid w:val="003866AC"/>
    <w:rsid w:val="00387EAA"/>
    <w:rsid w:val="00387F8D"/>
    <w:rsid w:val="00390A32"/>
    <w:rsid w:val="0039184F"/>
    <w:rsid w:val="00391C22"/>
    <w:rsid w:val="003923F8"/>
    <w:rsid w:val="00392AD7"/>
    <w:rsid w:val="00392FA3"/>
    <w:rsid w:val="003940B8"/>
    <w:rsid w:val="003948FF"/>
    <w:rsid w:val="00396950"/>
    <w:rsid w:val="003969FD"/>
    <w:rsid w:val="00396F1F"/>
    <w:rsid w:val="00397075"/>
    <w:rsid w:val="003A0028"/>
    <w:rsid w:val="003A08F4"/>
    <w:rsid w:val="003A163C"/>
    <w:rsid w:val="003A2293"/>
    <w:rsid w:val="003A3C4D"/>
    <w:rsid w:val="003A3EC7"/>
    <w:rsid w:val="003A44EF"/>
    <w:rsid w:val="003A57CA"/>
    <w:rsid w:val="003A6763"/>
    <w:rsid w:val="003A7548"/>
    <w:rsid w:val="003A7849"/>
    <w:rsid w:val="003A7B39"/>
    <w:rsid w:val="003A7FFC"/>
    <w:rsid w:val="003B2E5F"/>
    <w:rsid w:val="003B4217"/>
    <w:rsid w:val="003B52F9"/>
    <w:rsid w:val="003B602C"/>
    <w:rsid w:val="003B6C80"/>
    <w:rsid w:val="003B6E83"/>
    <w:rsid w:val="003C0CC9"/>
    <w:rsid w:val="003C0DDE"/>
    <w:rsid w:val="003C10FD"/>
    <w:rsid w:val="003C1E6A"/>
    <w:rsid w:val="003C2313"/>
    <w:rsid w:val="003C25FD"/>
    <w:rsid w:val="003C391C"/>
    <w:rsid w:val="003C3ABA"/>
    <w:rsid w:val="003C485E"/>
    <w:rsid w:val="003C4932"/>
    <w:rsid w:val="003C66F4"/>
    <w:rsid w:val="003D0A63"/>
    <w:rsid w:val="003D304C"/>
    <w:rsid w:val="003D33EF"/>
    <w:rsid w:val="003D3D7C"/>
    <w:rsid w:val="003D3E49"/>
    <w:rsid w:val="003D530B"/>
    <w:rsid w:val="003D5952"/>
    <w:rsid w:val="003D6AC3"/>
    <w:rsid w:val="003E09A3"/>
    <w:rsid w:val="003E203B"/>
    <w:rsid w:val="003E2165"/>
    <w:rsid w:val="003E242D"/>
    <w:rsid w:val="003E35F4"/>
    <w:rsid w:val="003E3E6D"/>
    <w:rsid w:val="003E41D7"/>
    <w:rsid w:val="003E42DC"/>
    <w:rsid w:val="003E4A4E"/>
    <w:rsid w:val="003E521A"/>
    <w:rsid w:val="003E6132"/>
    <w:rsid w:val="003E64F5"/>
    <w:rsid w:val="003E7D3F"/>
    <w:rsid w:val="003F0580"/>
    <w:rsid w:val="003F5F90"/>
    <w:rsid w:val="003F5FFD"/>
    <w:rsid w:val="003F6616"/>
    <w:rsid w:val="003F6E3E"/>
    <w:rsid w:val="003F7A96"/>
    <w:rsid w:val="003F7C4A"/>
    <w:rsid w:val="003F7FB5"/>
    <w:rsid w:val="00400E98"/>
    <w:rsid w:val="0040112B"/>
    <w:rsid w:val="0040142D"/>
    <w:rsid w:val="00401B0B"/>
    <w:rsid w:val="00401BFA"/>
    <w:rsid w:val="00402500"/>
    <w:rsid w:val="00402AAD"/>
    <w:rsid w:val="00402DFF"/>
    <w:rsid w:val="004038B5"/>
    <w:rsid w:val="004038BB"/>
    <w:rsid w:val="00403A51"/>
    <w:rsid w:val="0040451A"/>
    <w:rsid w:val="004049F8"/>
    <w:rsid w:val="00404B1A"/>
    <w:rsid w:val="00405A9F"/>
    <w:rsid w:val="0040671C"/>
    <w:rsid w:val="00406C81"/>
    <w:rsid w:val="00407862"/>
    <w:rsid w:val="00407B16"/>
    <w:rsid w:val="00410889"/>
    <w:rsid w:val="004116B0"/>
    <w:rsid w:val="004117FE"/>
    <w:rsid w:val="0041190C"/>
    <w:rsid w:val="004128D0"/>
    <w:rsid w:val="0041335D"/>
    <w:rsid w:val="00413483"/>
    <w:rsid w:val="004137B8"/>
    <w:rsid w:val="0041395E"/>
    <w:rsid w:val="0041445A"/>
    <w:rsid w:val="00414ED1"/>
    <w:rsid w:val="00416557"/>
    <w:rsid w:val="00416978"/>
    <w:rsid w:val="00417538"/>
    <w:rsid w:val="00417C6A"/>
    <w:rsid w:val="00417CE0"/>
    <w:rsid w:val="0042015F"/>
    <w:rsid w:val="00420CA5"/>
    <w:rsid w:val="00420F75"/>
    <w:rsid w:val="00423C9E"/>
    <w:rsid w:val="0042420F"/>
    <w:rsid w:val="00424E90"/>
    <w:rsid w:val="00426137"/>
    <w:rsid w:val="00426E1D"/>
    <w:rsid w:val="004336B5"/>
    <w:rsid w:val="00433E55"/>
    <w:rsid w:val="004346FD"/>
    <w:rsid w:val="00435B95"/>
    <w:rsid w:val="00435E14"/>
    <w:rsid w:val="00436025"/>
    <w:rsid w:val="004367C5"/>
    <w:rsid w:val="00437135"/>
    <w:rsid w:val="00437497"/>
    <w:rsid w:val="004378AE"/>
    <w:rsid w:val="004402C9"/>
    <w:rsid w:val="0044130C"/>
    <w:rsid w:val="00442422"/>
    <w:rsid w:val="0044242D"/>
    <w:rsid w:val="00442575"/>
    <w:rsid w:val="00442A4D"/>
    <w:rsid w:val="004448F9"/>
    <w:rsid w:val="00444B7A"/>
    <w:rsid w:val="00446EF0"/>
    <w:rsid w:val="00447707"/>
    <w:rsid w:val="00447A46"/>
    <w:rsid w:val="00451824"/>
    <w:rsid w:val="00451831"/>
    <w:rsid w:val="0045199D"/>
    <w:rsid w:val="0045346E"/>
    <w:rsid w:val="00453A2E"/>
    <w:rsid w:val="00453FD0"/>
    <w:rsid w:val="00454F5C"/>
    <w:rsid w:val="004568AA"/>
    <w:rsid w:val="00456C37"/>
    <w:rsid w:val="00456C4A"/>
    <w:rsid w:val="00456FA4"/>
    <w:rsid w:val="00457D2A"/>
    <w:rsid w:val="00457EDE"/>
    <w:rsid w:val="00460254"/>
    <w:rsid w:val="00460A9D"/>
    <w:rsid w:val="00460D32"/>
    <w:rsid w:val="00462552"/>
    <w:rsid w:val="0046414A"/>
    <w:rsid w:val="00464650"/>
    <w:rsid w:val="00464F9C"/>
    <w:rsid w:val="00465165"/>
    <w:rsid w:val="00465C15"/>
    <w:rsid w:val="004667F5"/>
    <w:rsid w:val="00467CF8"/>
    <w:rsid w:val="00470CDF"/>
    <w:rsid w:val="0047230E"/>
    <w:rsid w:val="004726ED"/>
    <w:rsid w:val="00472EEE"/>
    <w:rsid w:val="00474412"/>
    <w:rsid w:val="0047455B"/>
    <w:rsid w:val="00474C9A"/>
    <w:rsid w:val="00475094"/>
    <w:rsid w:val="004752C1"/>
    <w:rsid w:val="00476198"/>
    <w:rsid w:val="004777AC"/>
    <w:rsid w:val="00477E6A"/>
    <w:rsid w:val="004800CA"/>
    <w:rsid w:val="00481594"/>
    <w:rsid w:val="004822A1"/>
    <w:rsid w:val="00482710"/>
    <w:rsid w:val="00482A7C"/>
    <w:rsid w:val="00482F6C"/>
    <w:rsid w:val="00484CC0"/>
    <w:rsid w:val="004875A8"/>
    <w:rsid w:val="00490C64"/>
    <w:rsid w:val="0049176D"/>
    <w:rsid w:val="00492365"/>
    <w:rsid w:val="00492837"/>
    <w:rsid w:val="004938FD"/>
    <w:rsid w:val="004939D8"/>
    <w:rsid w:val="00493D89"/>
    <w:rsid w:val="00493DFF"/>
    <w:rsid w:val="00495F6D"/>
    <w:rsid w:val="004961BC"/>
    <w:rsid w:val="00496FC6"/>
    <w:rsid w:val="0049704F"/>
    <w:rsid w:val="0049742C"/>
    <w:rsid w:val="004A0F60"/>
    <w:rsid w:val="004A23F1"/>
    <w:rsid w:val="004A261C"/>
    <w:rsid w:val="004A3471"/>
    <w:rsid w:val="004A3CE1"/>
    <w:rsid w:val="004A3D19"/>
    <w:rsid w:val="004A3E10"/>
    <w:rsid w:val="004A4639"/>
    <w:rsid w:val="004A4D84"/>
    <w:rsid w:val="004A5223"/>
    <w:rsid w:val="004A67EC"/>
    <w:rsid w:val="004A7333"/>
    <w:rsid w:val="004A7591"/>
    <w:rsid w:val="004B00BF"/>
    <w:rsid w:val="004B1841"/>
    <w:rsid w:val="004B1A00"/>
    <w:rsid w:val="004B3D34"/>
    <w:rsid w:val="004B4089"/>
    <w:rsid w:val="004B4112"/>
    <w:rsid w:val="004B4FE0"/>
    <w:rsid w:val="004B5252"/>
    <w:rsid w:val="004B5EFA"/>
    <w:rsid w:val="004B756A"/>
    <w:rsid w:val="004B7B41"/>
    <w:rsid w:val="004B7BE0"/>
    <w:rsid w:val="004B7C27"/>
    <w:rsid w:val="004C27FE"/>
    <w:rsid w:val="004C3301"/>
    <w:rsid w:val="004C398E"/>
    <w:rsid w:val="004C4D22"/>
    <w:rsid w:val="004C59FB"/>
    <w:rsid w:val="004C5A3D"/>
    <w:rsid w:val="004C6B8C"/>
    <w:rsid w:val="004C6DD6"/>
    <w:rsid w:val="004D041A"/>
    <w:rsid w:val="004D0D37"/>
    <w:rsid w:val="004D1BAA"/>
    <w:rsid w:val="004D1E46"/>
    <w:rsid w:val="004D1FBB"/>
    <w:rsid w:val="004D2D35"/>
    <w:rsid w:val="004D374B"/>
    <w:rsid w:val="004D3B53"/>
    <w:rsid w:val="004D3D87"/>
    <w:rsid w:val="004D4507"/>
    <w:rsid w:val="004D4817"/>
    <w:rsid w:val="004D585C"/>
    <w:rsid w:val="004D58C4"/>
    <w:rsid w:val="004D58D7"/>
    <w:rsid w:val="004D6240"/>
    <w:rsid w:val="004D6B65"/>
    <w:rsid w:val="004D6EB1"/>
    <w:rsid w:val="004D7292"/>
    <w:rsid w:val="004D7425"/>
    <w:rsid w:val="004D750B"/>
    <w:rsid w:val="004D75EE"/>
    <w:rsid w:val="004E0767"/>
    <w:rsid w:val="004E0CA5"/>
    <w:rsid w:val="004E0F6D"/>
    <w:rsid w:val="004E1023"/>
    <w:rsid w:val="004E1939"/>
    <w:rsid w:val="004E1D28"/>
    <w:rsid w:val="004E21C8"/>
    <w:rsid w:val="004E2E37"/>
    <w:rsid w:val="004E2F46"/>
    <w:rsid w:val="004E3694"/>
    <w:rsid w:val="004E4CF1"/>
    <w:rsid w:val="004E4F86"/>
    <w:rsid w:val="004E4F9A"/>
    <w:rsid w:val="004E536C"/>
    <w:rsid w:val="004E5FA2"/>
    <w:rsid w:val="004E68F6"/>
    <w:rsid w:val="004E6CAD"/>
    <w:rsid w:val="004E76D7"/>
    <w:rsid w:val="004E7D4E"/>
    <w:rsid w:val="004F0435"/>
    <w:rsid w:val="004F0C8A"/>
    <w:rsid w:val="004F0D65"/>
    <w:rsid w:val="004F3930"/>
    <w:rsid w:val="004F446B"/>
    <w:rsid w:val="004F4E86"/>
    <w:rsid w:val="004F5837"/>
    <w:rsid w:val="004F5A8B"/>
    <w:rsid w:val="004F5B3B"/>
    <w:rsid w:val="004F6F6F"/>
    <w:rsid w:val="004F7069"/>
    <w:rsid w:val="0050288F"/>
    <w:rsid w:val="00503D5F"/>
    <w:rsid w:val="00503F11"/>
    <w:rsid w:val="00504788"/>
    <w:rsid w:val="0050548A"/>
    <w:rsid w:val="00505D75"/>
    <w:rsid w:val="005060CC"/>
    <w:rsid w:val="005064B5"/>
    <w:rsid w:val="00507281"/>
    <w:rsid w:val="005076EC"/>
    <w:rsid w:val="005106D6"/>
    <w:rsid w:val="00513881"/>
    <w:rsid w:val="00514661"/>
    <w:rsid w:val="00514DB3"/>
    <w:rsid w:val="005167C2"/>
    <w:rsid w:val="00517500"/>
    <w:rsid w:val="00520CE0"/>
    <w:rsid w:val="00521CB8"/>
    <w:rsid w:val="005222A6"/>
    <w:rsid w:val="0052251A"/>
    <w:rsid w:val="00522D79"/>
    <w:rsid w:val="005231BF"/>
    <w:rsid w:val="00524368"/>
    <w:rsid w:val="00524705"/>
    <w:rsid w:val="00525576"/>
    <w:rsid w:val="005256BB"/>
    <w:rsid w:val="00525830"/>
    <w:rsid w:val="00525F59"/>
    <w:rsid w:val="005273DA"/>
    <w:rsid w:val="0052745D"/>
    <w:rsid w:val="00530298"/>
    <w:rsid w:val="00530D4F"/>
    <w:rsid w:val="00532B9F"/>
    <w:rsid w:val="00533558"/>
    <w:rsid w:val="00533E70"/>
    <w:rsid w:val="005353A8"/>
    <w:rsid w:val="00536507"/>
    <w:rsid w:val="005405F3"/>
    <w:rsid w:val="00541A8F"/>
    <w:rsid w:val="00542B34"/>
    <w:rsid w:val="005431B1"/>
    <w:rsid w:val="0054581D"/>
    <w:rsid w:val="00546EF0"/>
    <w:rsid w:val="005475EE"/>
    <w:rsid w:val="0054764C"/>
    <w:rsid w:val="00550055"/>
    <w:rsid w:val="00551615"/>
    <w:rsid w:val="0055280F"/>
    <w:rsid w:val="005528C4"/>
    <w:rsid w:val="00553A23"/>
    <w:rsid w:val="00553E2D"/>
    <w:rsid w:val="005557AC"/>
    <w:rsid w:val="00555856"/>
    <w:rsid w:val="0055620E"/>
    <w:rsid w:val="005566E5"/>
    <w:rsid w:val="005568B4"/>
    <w:rsid w:val="00556EEA"/>
    <w:rsid w:val="00557B0C"/>
    <w:rsid w:val="00557C17"/>
    <w:rsid w:val="00557E2C"/>
    <w:rsid w:val="005610C3"/>
    <w:rsid w:val="0056152F"/>
    <w:rsid w:val="0056187F"/>
    <w:rsid w:val="00561D0C"/>
    <w:rsid w:val="00561FFD"/>
    <w:rsid w:val="00562B00"/>
    <w:rsid w:val="00563767"/>
    <w:rsid w:val="00564CD5"/>
    <w:rsid w:val="005656E7"/>
    <w:rsid w:val="00565E2F"/>
    <w:rsid w:val="00565F35"/>
    <w:rsid w:val="005668B3"/>
    <w:rsid w:val="00566F52"/>
    <w:rsid w:val="0056722B"/>
    <w:rsid w:val="005679E9"/>
    <w:rsid w:val="005703BC"/>
    <w:rsid w:val="0057048D"/>
    <w:rsid w:val="00572261"/>
    <w:rsid w:val="00572316"/>
    <w:rsid w:val="00573725"/>
    <w:rsid w:val="0057710B"/>
    <w:rsid w:val="00577530"/>
    <w:rsid w:val="005776BF"/>
    <w:rsid w:val="00577C57"/>
    <w:rsid w:val="005805F2"/>
    <w:rsid w:val="00581EE1"/>
    <w:rsid w:val="00582003"/>
    <w:rsid w:val="005829E7"/>
    <w:rsid w:val="00582CED"/>
    <w:rsid w:val="00583416"/>
    <w:rsid w:val="005846E5"/>
    <w:rsid w:val="00584E95"/>
    <w:rsid w:val="005865D7"/>
    <w:rsid w:val="00586A98"/>
    <w:rsid w:val="00587B44"/>
    <w:rsid w:val="0059097C"/>
    <w:rsid w:val="00590AC8"/>
    <w:rsid w:val="00591946"/>
    <w:rsid w:val="00591BAF"/>
    <w:rsid w:val="005920A6"/>
    <w:rsid w:val="00592C9B"/>
    <w:rsid w:val="00593AAE"/>
    <w:rsid w:val="00594860"/>
    <w:rsid w:val="005955A5"/>
    <w:rsid w:val="00595FC7"/>
    <w:rsid w:val="00597A0E"/>
    <w:rsid w:val="005A2855"/>
    <w:rsid w:val="005A2ACC"/>
    <w:rsid w:val="005A3816"/>
    <w:rsid w:val="005A3C0D"/>
    <w:rsid w:val="005A67B5"/>
    <w:rsid w:val="005A6A20"/>
    <w:rsid w:val="005A77C8"/>
    <w:rsid w:val="005A7891"/>
    <w:rsid w:val="005A7E16"/>
    <w:rsid w:val="005B39E5"/>
    <w:rsid w:val="005B3F9A"/>
    <w:rsid w:val="005B490F"/>
    <w:rsid w:val="005B6292"/>
    <w:rsid w:val="005B679B"/>
    <w:rsid w:val="005B7440"/>
    <w:rsid w:val="005B7C66"/>
    <w:rsid w:val="005C0343"/>
    <w:rsid w:val="005C0B7B"/>
    <w:rsid w:val="005C2715"/>
    <w:rsid w:val="005C3C0E"/>
    <w:rsid w:val="005C3F7F"/>
    <w:rsid w:val="005C4DFF"/>
    <w:rsid w:val="005C5AF2"/>
    <w:rsid w:val="005C6270"/>
    <w:rsid w:val="005C6565"/>
    <w:rsid w:val="005C7B02"/>
    <w:rsid w:val="005D07B4"/>
    <w:rsid w:val="005D1E2F"/>
    <w:rsid w:val="005D2B31"/>
    <w:rsid w:val="005D33FA"/>
    <w:rsid w:val="005D413E"/>
    <w:rsid w:val="005D56FB"/>
    <w:rsid w:val="005D5DC4"/>
    <w:rsid w:val="005D6270"/>
    <w:rsid w:val="005D757D"/>
    <w:rsid w:val="005E095A"/>
    <w:rsid w:val="005E0AAC"/>
    <w:rsid w:val="005E0BFA"/>
    <w:rsid w:val="005E1E94"/>
    <w:rsid w:val="005E23C3"/>
    <w:rsid w:val="005E2802"/>
    <w:rsid w:val="005E3524"/>
    <w:rsid w:val="005E46C6"/>
    <w:rsid w:val="005E7334"/>
    <w:rsid w:val="005E7F7A"/>
    <w:rsid w:val="005F193B"/>
    <w:rsid w:val="005F38CC"/>
    <w:rsid w:val="005F5116"/>
    <w:rsid w:val="005F55CD"/>
    <w:rsid w:val="005F578F"/>
    <w:rsid w:val="005F5F7B"/>
    <w:rsid w:val="005F5FFE"/>
    <w:rsid w:val="005F6069"/>
    <w:rsid w:val="005F706C"/>
    <w:rsid w:val="00600748"/>
    <w:rsid w:val="00601134"/>
    <w:rsid w:val="00603EAD"/>
    <w:rsid w:val="00604334"/>
    <w:rsid w:val="006047EE"/>
    <w:rsid w:val="00605078"/>
    <w:rsid w:val="00605AD1"/>
    <w:rsid w:val="00606671"/>
    <w:rsid w:val="00606BB0"/>
    <w:rsid w:val="00607793"/>
    <w:rsid w:val="006077B0"/>
    <w:rsid w:val="00607D01"/>
    <w:rsid w:val="006125F6"/>
    <w:rsid w:val="00613DB5"/>
    <w:rsid w:val="00614149"/>
    <w:rsid w:val="00614540"/>
    <w:rsid w:val="00614CA8"/>
    <w:rsid w:val="00616352"/>
    <w:rsid w:val="0061687A"/>
    <w:rsid w:val="00617D8E"/>
    <w:rsid w:val="00620544"/>
    <w:rsid w:val="00620819"/>
    <w:rsid w:val="00621015"/>
    <w:rsid w:val="00621A2C"/>
    <w:rsid w:val="00621CAD"/>
    <w:rsid w:val="00623456"/>
    <w:rsid w:val="00623B3D"/>
    <w:rsid w:val="00625ACE"/>
    <w:rsid w:val="00627209"/>
    <w:rsid w:val="0062797A"/>
    <w:rsid w:val="006304FD"/>
    <w:rsid w:val="00630CF3"/>
    <w:rsid w:val="0063126A"/>
    <w:rsid w:val="0063374A"/>
    <w:rsid w:val="00634D81"/>
    <w:rsid w:val="0063514D"/>
    <w:rsid w:val="00635212"/>
    <w:rsid w:val="00636556"/>
    <w:rsid w:val="006366BF"/>
    <w:rsid w:val="00637636"/>
    <w:rsid w:val="006404AB"/>
    <w:rsid w:val="006404F3"/>
    <w:rsid w:val="00640652"/>
    <w:rsid w:val="0064164E"/>
    <w:rsid w:val="00641E2B"/>
    <w:rsid w:val="00643A18"/>
    <w:rsid w:val="00643AAB"/>
    <w:rsid w:val="0064590E"/>
    <w:rsid w:val="00645C47"/>
    <w:rsid w:val="00646CE9"/>
    <w:rsid w:val="00652197"/>
    <w:rsid w:val="00654BF6"/>
    <w:rsid w:val="0065577B"/>
    <w:rsid w:val="0065704F"/>
    <w:rsid w:val="00660AC7"/>
    <w:rsid w:val="006612DE"/>
    <w:rsid w:val="0066322A"/>
    <w:rsid w:val="0066388C"/>
    <w:rsid w:val="006650E6"/>
    <w:rsid w:val="00665BD0"/>
    <w:rsid w:val="00666DCC"/>
    <w:rsid w:val="00670557"/>
    <w:rsid w:val="0067095F"/>
    <w:rsid w:val="006716FC"/>
    <w:rsid w:val="00673609"/>
    <w:rsid w:val="00673779"/>
    <w:rsid w:val="00674792"/>
    <w:rsid w:val="006757CB"/>
    <w:rsid w:val="00676206"/>
    <w:rsid w:val="00676458"/>
    <w:rsid w:val="006776E1"/>
    <w:rsid w:val="00677776"/>
    <w:rsid w:val="006812F3"/>
    <w:rsid w:val="006817C4"/>
    <w:rsid w:val="00681CB1"/>
    <w:rsid w:val="00681CD0"/>
    <w:rsid w:val="00682CE3"/>
    <w:rsid w:val="00683453"/>
    <w:rsid w:val="00683C49"/>
    <w:rsid w:val="0068537C"/>
    <w:rsid w:val="00685BE5"/>
    <w:rsid w:val="00686158"/>
    <w:rsid w:val="00686D37"/>
    <w:rsid w:val="00687F08"/>
    <w:rsid w:val="00687FB6"/>
    <w:rsid w:val="006905A2"/>
    <w:rsid w:val="00691B0E"/>
    <w:rsid w:val="00691E7F"/>
    <w:rsid w:val="00692278"/>
    <w:rsid w:val="00692A45"/>
    <w:rsid w:val="00692D13"/>
    <w:rsid w:val="00692FFC"/>
    <w:rsid w:val="00694B70"/>
    <w:rsid w:val="0069552A"/>
    <w:rsid w:val="006958D1"/>
    <w:rsid w:val="00695955"/>
    <w:rsid w:val="00696256"/>
    <w:rsid w:val="006972E6"/>
    <w:rsid w:val="006A19F9"/>
    <w:rsid w:val="006A2E3B"/>
    <w:rsid w:val="006A31B2"/>
    <w:rsid w:val="006A31B4"/>
    <w:rsid w:val="006A4084"/>
    <w:rsid w:val="006A4267"/>
    <w:rsid w:val="006A4B68"/>
    <w:rsid w:val="006A6A22"/>
    <w:rsid w:val="006B006C"/>
    <w:rsid w:val="006B02CA"/>
    <w:rsid w:val="006B1557"/>
    <w:rsid w:val="006B2B36"/>
    <w:rsid w:val="006B38FC"/>
    <w:rsid w:val="006B491B"/>
    <w:rsid w:val="006B4DED"/>
    <w:rsid w:val="006B4E52"/>
    <w:rsid w:val="006B7EE9"/>
    <w:rsid w:val="006C01EB"/>
    <w:rsid w:val="006C2588"/>
    <w:rsid w:val="006C2D8F"/>
    <w:rsid w:val="006C32FD"/>
    <w:rsid w:val="006C4B64"/>
    <w:rsid w:val="006C6551"/>
    <w:rsid w:val="006C6BD6"/>
    <w:rsid w:val="006C6C1B"/>
    <w:rsid w:val="006D0942"/>
    <w:rsid w:val="006D0B8C"/>
    <w:rsid w:val="006D221A"/>
    <w:rsid w:val="006D23A6"/>
    <w:rsid w:val="006D3717"/>
    <w:rsid w:val="006D413C"/>
    <w:rsid w:val="006D4247"/>
    <w:rsid w:val="006D4880"/>
    <w:rsid w:val="006D5072"/>
    <w:rsid w:val="006D5E4D"/>
    <w:rsid w:val="006D615E"/>
    <w:rsid w:val="006D62A2"/>
    <w:rsid w:val="006D65D3"/>
    <w:rsid w:val="006D756A"/>
    <w:rsid w:val="006E017E"/>
    <w:rsid w:val="006E0E89"/>
    <w:rsid w:val="006E0EE9"/>
    <w:rsid w:val="006E197B"/>
    <w:rsid w:val="006E1DD6"/>
    <w:rsid w:val="006E27F1"/>
    <w:rsid w:val="006E292F"/>
    <w:rsid w:val="006E2A52"/>
    <w:rsid w:val="006E2BF0"/>
    <w:rsid w:val="006E3D0A"/>
    <w:rsid w:val="006E4DF9"/>
    <w:rsid w:val="006E4F96"/>
    <w:rsid w:val="006E6039"/>
    <w:rsid w:val="006E61A0"/>
    <w:rsid w:val="006E761F"/>
    <w:rsid w:val="006E7779"/>
    <w:rsid w:val="006E7AD2"/>
    <w:rsid w:val="006F0D1A"/>
    <w:rsid w:val="006F1531"/>
    <w:rsid w:val="006F1CE4"/>
    <w:rsid w:val="006F331E"/>
    <w:rsid w:val="006F41AA"/>
    <w:rsid w:val="006F5B7B"/>
    <w:rsid w:val="006F5F77"/>
    <w:rsid w:val="006F6D5F"/>
    <w:rsid w:val="006F76CD"/>
    <w:rsid w:val="006F78D7"/>
    <w:rsid w:val="00700255"/>
    <w:rsid w:val="00701069"/>
    <w:rsid w:val="0070121A"/>
    <w:rsid w:val="007016A6"/>
    <w:rsid w:val="0070239C"/>
    <w:rsid w:val="00702526"/>
    <w:rsid w:val="0070298B"/>
    <w:rsid w:val="007036EB"/>
    <w:rsid w:val="007039C2"/>
    <w:rsid w:val="007043CE"/>
    <w:rsid w:val="007051E6"/>
    <w:rsid w:val="00705E9D"/>
    <w:rsid w:val="00705EF3"/>
    <w:rsid w:val="007067EF"/>
    <w:rsid w:val="007072BE"/>
    <w:rsid w:val="00707421"/>
    <w:rsid w:val="007113DE"/>
    <w:rsid w:val="00711A57"/>
    <w:rsid w:val="00711D75"/>
    <w:rsid w:val="00711EEF"/>
    <w:rsid w:val="007127E2"/>
    <w:rsid w:val="0071401A"/>
    <w:rsid w:val="0071421F"/>
    <w:rsid w:val="00714739"/>
    <w:rsid w:val="0071501D"/>
    <w:rsid w:val="00715BA9"/>
    <w:rsid w:val="007174EA"/>
    <w:rsid w:val="00717EF9"/>
    <w:rsid w:val="00720130"/>
    <w:rsid w:val="00720BE8"/>
    <w:rsid w:val="00721AF3"/>
    <w:rsid w:val="00721E4D"/>
    <w:rsid w:val="007226B3"/>
    <w:rsid w:val="0072318F"/>
    <w:rsid w:val="00723480"/>
    <w:rsid w:val="00723867"/>
    <w:rsid w:val="00724485"/>
    <w:rsid w:val="00724A06"/>
    <w:rsid w:val="0072520F"/>
    <w:rsid w:val="00725998"/>
    <w:rsid w:val="00725EA6"/>
    <w:rsid w:val="007268D9"/>
    <w:rsid w:val="00726B40"/>
    <w:rsid w:val="0072770C"/>
    <w:rsid w:val="00727723"/>
    <w:rsid w:val="00727D93"/>
    <w:rsid w:val="007303FC"/>
    <w:rsid w:val="00730B40"/>
    <w:rsid w:val="00730CA1"/>
    <w:rsid w:val="00730DFF"/>
    <w:rsid w:val="00730E0E"/>
    <w:rsid w:val="00731582"/>
    <w:rsid w:val="0073271B"/>
    <w:rsid w:val="0073277C"/>
    <w:rsid w:val="0073362E"/>
    <w:rsid w:val="00733D4B"/>
    <w:rsid w:val="00733D84"/>
    <w:rsid w:val="00734136"/>
    <w:rsid w:val="007342D1"/>
    <w:rsid w:val="00734335"/>
    <w:rsid w:val="0073434F"/>
    <w:rsid w:val="0073443C"/>
    <w:rsid w:val="00734C72"/>
    <w:rsid w:val="00736393"/>
    <w:rsid w:val="007364E0"/>
    <w:rsid w:val="00736663"/>
    <w:rsid w:val="00736748"/>
    <w:rsid w:val="00736D32"/>
    <w:rsid w:val="00737A31"/>
    <w:rsid w:val="00737B9F"/>
    <w:rsid w:val="00737CD8"/>
    <w:rsid w:val="00740AB1"/>
    <w:rsid w:val="00740CC9"/>
    <w:rsid w:val="00740D73"/>
    <w:rsid w:val="00741168"/>
    <w:rsid w:val="007419EE"/>
    <w:rsid w:val="00742E2E"/>
    <w:rsid w:val="0074341A"/>
    <w:rsid w:val="00743D2B"/>
    <w:rsid w:val="007442E9"/>
    <w:rsid w:val="0074437E"/>
    <w:rsid w:val="00746C03"/>
    <w:rsid w:val="00747614"/>
    <w:rsid w:val="00747668"/>
    <w:rsid w:val="0074773F"/>
    <w:rsid w:val="0075495A"/>
    <w:rsid w:val="00754BAE"/>
    <w:rsid w:val="00755AA9"/>
    <w:rsid w:val="007562CB"/>
    <w:rsid w:val="007571E4"/>
    <w:rsid w:val="00757AB0"/>
    <w:rsid w:val="00757DE1"/>
    <w:rsid w:val="0076007E"/>
    <w:rsid w:val="0076292A"/>
    <w:rsid w:val="007638AF"/>
    <w:rsid w:val="00763A9F"/>
    <w:rsid w:val="00764E65"/>
    <w:rsid w:val="007656FF"/>
    <w:rsid w:val="00765F0D"/>
    <w:rsid w:val="00766702"/>
    <w:rsid w:val="0076675F"/>
    <w:rsid w:val="007676F9"/>
    <w:rsid w:val="007700A5"/>
    <w:rsid w:val="00771481"/>
    <w:rsid w:val="0077149A"/>
    <w:rsid w:val="00771B32"/>
    <w:rsid w:val="00771CE0"/>
    <w:rsid w:val="0077260D"/>
    <w:rsid w:val="007733F0"/>
    <w:rsid w:val="00773D5A"/>
    <w:rsid w:val="00775687"/>
    <w:rsid w:val="00775A53"/>
    <w:rsid w:val="00775C2C"/>
    <w:rsid w:val="00775D45"/>
    <w:rsid w:val="0077607C"/>
    <w:rsid w:val="0077751F"/>
    <w:rsid w:val="00780EAC"/>
    <w:rsid w:val="0078129D"/>
    <w:rsid w:val="007828D7"/>
    <w:rsid w:val="00782AFB"/>
    <w:rsid w:val="00783240"/>
    <w:rsid w:val="0078367E"/>
    <w:rsid w:val="00783D8C"/>
    <w:rsid w:val="007840C1"/>
    <w:rsid w:val="00784501"/>
    <w:rsid w:val="0078598B"/>
    <w:rsid w:val="0078639C"/>
    <w:rsid w:val="00790E1B"/>
    <w:rsid w:val="00791533"/>
    <w:rsid w:val="00791642"/>
    <w:rsid w:val="007918E3"/>
    <w:rsid w:val="007929D4"/>
    <w:rsid w:val="00793405"/>
    <w:rsid w:val="0079523A"/>
    <w:rsid w:val="007958B8"/>
    <w:rsid w:val="00796F70"/>
    <w:rsid w:val="007970DC"/>
    <w:rsid w:val="00797C01"/>
    <w:rsid w:val="007A0979"/>
    <w:rsid w:val="007A1BCB"/>
    <w:rsid w:val="007A1DC0"/>
    <w:rsid w:val="007A321E"/>
    <w:rsid w:val="007A3617"/>
    <w:rsid w:val="007A3AE5"/>
    <w:rsid w:val="007A47BE"/>
    <w:rsid w:val="007A5122"/>
    <w:rsid w:val="007A7581"/>
    <w:rsid w:val="007A7D5B"/>
    <w:rsid w:val="007A7E69"/>
    <w:rsid w:val="007B0232"/>
    <w:rsid w:val="007B0D15"/>
    <w:rsid w:val="007B0D32"/>
    <w:rsid w:val="007B0D82"/>
    <w:rsid w:val="007B119E"/>
    <w:rsid w:val="007B1539"/>
    <w:rsid w:val="007B1698"/>
    <w:rsid w:val="007B2450"/>
    <w:rsid w:val="007B26C8"/>
    <w:rsid w:val="007B2A67"/>
    <w:rsid w:val="007B2B4A"/>
    <w:rsid w:val="007B379F"/>
    <w:rsid w:val="007B3A99"/>
    <w:rsid w:val="007B3B24"/>
    <w:rsid w:val="007B447E"/>
    <w:rsid w:val="007B52D0"/>
    <w:rsid w:val="007B558C"/>
    <w:rsid w:val="007B5F00"/>
    <w:rsid w:val="007B6171"/>
    <w:rsid w:val="007B67E7"/>
    <w:rsid w:val="007B6968"/>
    <w:rsid w:val="007B69EE"/>
    <w:rsid w:val="007B7534"/>
    <w:rsid w:val="007C04C3"/>
    <w:rsid w:val="007C1762"/>
    <w:rsid w:val="007C1F6A"/>
    <w:rsid w:val="007C258F"/>
    <w:rsid w:val="007C2718"/>
    <w:rsid w:val="007C2833"/>
    <w:rsid w:val="007C2E32"/>
    <w:rsid w:val="007C36C0"/>
    <w:rsid w:val="007C392E"/>
    <w:rsid w:val="007C444E"/>
    <w:rsid w:val="007C448E"/>
    <w:rsid w:val="007C4755"/>
    <w:rsid w:val="007C4756"/>
    <w:rsid w:val="007C5858"/>
    <w:rsid w:val="007C61A4"/>
    <w:rsid w:val="007C7723"/>
    <w:rsid w:val="007C7877"/>
    <w:rsid w:val="007D04AC"/>
    <w:rsid w:val="007D1C82"/>
    <w:rsid w:val="007D232E"/>
    <w:rsid w:val="007D2648"/>
    <w:rsid w:val="007D4946"/>
    <w:rsid w:val="007D4FD9"/>
    <w:rsid w:val="007D60A0"/>
    <w:rsid w:val="007D680E"/>
    <w:rsid w:val="007D74C8"/>
    <w:rsid w:val="007E079A"/>
    <w:rsid w:val="007E1803"/>
    <w:rsid w:val="007E1E25"/>
    <w:rsid w:val="007E20CD"/>
    <w:rsid w:val="007E2376"/>
    <w:rsid w:val="007E24E9"/>
    <w:rsid w:val="007E3F4E"/>
    <w:rsid w:val="007E4133"/>
    <w:rsid w:val="007E413B"/>
    <w:rsid w:val="007E4763"/>
    <w:rsid w:val="007E4853"/>
    <w:rsid w:val="007E4DC2"/>
    <w:rsid w:val="007E5821"/>
    <w:rsid w:val="007E6A97"/>
    <w:rsid w:val="007E6BA2"/>
    <w:rsid w:val="007F0323"/>
    <w:rsid w:val="007F05D7"/>
    <w:rsid w:val="007F0973"/>
    <w:rsid w:val="007F1E16"/>
    <w:rsid w:val="007F24F3"/>
    <w:rsid w:val="007F28F3"/>
    <w:rsid w:val="007F2AAA"/>
    <w:rsid w:val="007F318A"/>
    <w:rsid w:val="007F3C3E"/>
    <w:rsid w:val="007F45B0"/>
    <w:rsid w:val="007F4F25"/>
    <w:rsid w:val="007F60AD"/>
    <w:rsid w:val="007F7DA6"/>
    <w:rsid w:val="00800B51"/>
    <w:rsid w:val="00801F92"/>
    <w:rsid w:val="008040F0"/>
    <w:rsid w:val="00804318"/>
    <w:rsid w:val="008044C5"/>
    <w:rsid w:val="00804743"/>
    <w:rsid w:val="0080488C"/>
    <w:rsid w:val="00804D91"/>
    <w:rsid w:val="00806DA3"/>
    <w:rsid w:val="00807420"/>
    <w:rsid w:val="008079D5"/>
    <w:rsid w:val="00810EF9"/>
    <w:rsid w:val="008129E5"/>
    <w:rsid w:val="00812B3B"/>
    <w:rsid w:val="00813437"/>
    <w:rsid w:val="00813B04"/>
    <w:rsid w:val="0081641F"/>
    <w:rsid w:val="008167D1"/>
    <w:rsid w:val="00816E22"/>
    <w:rsid w:val="00816FA5"/>
    <w:rsid w:val="00817634"/>
    <w:rsid w:val="00817AFD"/>
    <w:rsid w:val="00820567"/>
    <w:rsid w:val="008217CB"/>
    <w:rsid w:val="00821976"/>
    <w:rsid w:val="00821A20"/>
    <w:rsid w:val="00822897"/>
    <w:rsid w:val="00822FC3"/>
    <w:rsid w:val="0082367C"/>
    <w:rsid w:val="00823FB2"/>
    <w:rsid w:val="0082413F"/>
    <w:rsid w:val="008271F5"/>
    <w:rsid w:val="00827789"/>
    <w:rsid w:val="00830D0C"/>
    <w:rsid w:val="00831D23"/>
    <w:rsid w:val="00832AB2"/>
    <w:rsid w:val="00832DA7"/>
    <w:rsid w:val="00833A4D"/>
    <w:rsid w:val="00833ED5"/>
    <w:rsid w:val="008345F4"/>
    <w:rsid w:val="00834DC6"/>
    <w:rsid w:val="00836818"/>
    <w:rsid w:val="00836DB4"/>
    <w:rsid w:val="008379A7"/>
    <w:rsid w:val="00837A91"/>
    <w:rsid w:val="0084177F"/>
    <w:rsid w:val="00842204"/>
    <w:rsid w:val="00842C7D"/>
    <w:rsid w:val="00844011"/>
    <w:rsid w:val="008449AB"/>
    <w:rsid w:val="00844B7C"/>
    <w:rsid w:val="00845B09"/>
    <w:rsid w:val="00847212"/>
    <w:rsid w:val="00847776"/>
    <w:rsid w:val="00851875"/>
    <w:rsid w:val="008523C9"/>
    <w:rsid w:val="0085472A"/>
    <w:rsid w:val="00856B32"/>
    <w:rsid w:val="008612F9"/>
    <w:rsid w:val="0086233A"/>
    <w:rsid w:val="0086275A"/>
    <w:rsid w:val="00862D44"/>
    <w:rsid w:val="0086375A"/>
    <w:rsid w:val="008643E6"/>
    <w:rsid w:val="00864C4B"/>
    <w:rsid w:val="00864CF3"/>
    <w:rsid w:val="008662F5"/>
    <w:rsid w:val="008665EF"/>
    <w:rsid w:val="00870439"/>
    <w:rsid w:val="0087254A"/>
    <w:rsid w:val="00872596"/>
    <w:rsid w:val="00874A0E"/>
    <w:rsid w:val="00874CC1"/>
    <w:rsid w:val="008752BA"/>
    <w:rsid w:val="008762C2"/>
    <w:rsid w:val="00876808"/>
    <w:rsid w:val="00876875"/>
    <w:rsid w:val="0087750C"/>
    <w:rsid w:val="0087778F"/>
    <w:rsid w:val="008808EE"/>
    <w:rsid w:val="00881760"/>
    <w:rsid w:val="0088192B"/>
    <w:rsid w:val="00881C85"/>
    <w:rsid w:val="008820FB"/>
    <w:rsid w:val="0088219C"/>
    <w:rsid w:val="00883226"/>
    <w:rsid w:val="008846E1"/>
    <w:rsid w:val="00885733"/>
    <w:rsid w:val="00890670"/>
    <w:rsid w:val="00890829"/>
    <w:rsid w:val="00892A3A"/>
    <w:rsid w:val="0089355B"/>
    <w:rsid w:val="00893E72"/>
    <w:rsid w:val="008945F3"/>
    <w:rsid w:val="00894CA1"/>
    <w:rsid w:val="00895203"/>
    <w:rsid w:val="008954DC"/>
    <w:rsid w:val="00896533"/>
    <w:rsid w:val="00896735"/>
    <w:rsid w:val="008973EF"/>
    <w:rsid w:val="008979FC"/>
    <w:rsid w:val="00897FB5"/>
    <w:rsid w:val="008A004A"/>
    <w:rsid w:val="008A0116"/>
    <w:rsid w:val="008A0825"/>
    <w:rsid w:val="008A0BE3"/>
    <w:rsid w:val="008A1D38"/>
    <w:rsid w:val="008A3D57"/>
    <w:rsid w:val="008A4576"/>
    <w:rsid w:val="008A4CD7"/>
    <w:rsid w:val="008A5840"/>
    <w:rsid w:val="008A661B"/>
    <w:rsid w:val="008A6678"/>
    <w:rsid w:val="008A6A1B"/>
    <w:rsid w:val="008A6D19"/>
    <w:rsid w:val="008A715B"/>
    <w:rsid w:val="008A7354"/>
    <w:rsid w:val="008A7AB1"/>
    <w:rsid w:val="008B0AF4"/>
    <w:rsid w:val="008B1449"/>
    <w:rsid w:val="008B14B6"/>
    <w:rsid w:val="008B1AF9"/>
    <w:rsid w:val="008B2112"/>
    <w:rsid w:val="008B2249"/>
    <w:rsid w:val="008B247E"/>
    <w:rsid w:val="008B261B"/>
    <w:rsid w:val="008B333E"/>
    <w:rsid w:val="008B3E71"/>
    <w:rsid w:val="008B3EB5"/>
    <w:rsid w:val="008B40D5"/>
    <w:rsid w:val="008B539C"/>
    <w:rsid w:val="008B5AA2"/>
    <w:rsid w:val="008B5FAB"/>
    <w:rsid w:val="008B668C"/>
    <w:rsid w:val="008B6817"/>
    <w:rsid w:val="008C0AB0"/>
    <w:rsid w:val="008C364B"/>
    <w:rsid w:val="008C386D"/>
    <w:rsid w:val="008C4AEE"/>
    <w:rsid w:val="008C4C62"/>
    <w:rsid w:val="008C4CCC"/>
    <w:rsid w:val="008C69D6"/>
    <w:rsid w:val="008C69DA"/>
    <w:rsid w:val="008C6D7D"/>
    <w:rsid w:val="008C73A9"/>
    <w:rsid w:val="008C7D54"/>
    <w:rsid w:val="008D0474"/>
    <w:rsid w:val="008D05FC"/>
    <w:rsid w:val="008D084B"/>
    <w:rsid w:val="008D0E7D"/>
    <w:rsid w:val="008D13C1"/>
    <w:rsid w:val="008D19AC"/>
    <w:rsid w:val="008D232C"/>
    <w:rsid w:val="008D34B6"/>
    <w:rsid w:val="008D4829"/>
    <w:rsid w:val="008D4CC6"/>
    <w:rsid w:val="008D5BA3"/>
    <w:rsid w:val="008D6BB1"/>
    <w:rsid w:val="008D715A"/>
    <w:rsid w:val="008D7732"/>
    <w:rsid w:val="008D7BDC"/>
    <w:rsid w:val="008E101F"/>
    <w:rsid w:val="008E1114"/>
    <w:rsid w:val="008E1422"/>
    <w:rsid w:val="008E1ADE"/>
    <w:rsid w:val="008E2347"/>
    <w:rsid w:val="008E2F6E"/>
    <w:rsid w:val="008E387F"/>
    <w:rsid w:val="008E4884"/>
    <w:rsid w:val="008E4F34"/>
    <w:rsid w:val="008E58E4"/>
    <w:rsid w:val="008E590E"/>
    <w:rsid w:val="008E6031"/>
    <w:rsid w:val="008E6B2A"/>
    <w:rsid w:val="008E7BE2"/>
    <w:rsid w:val="008F015C"/>
    <w:rsid w:val="008F0C95"/>
    <w:rsid w:val="008F131F"/>
    <w:rsid w:val="008F200A"/>
    <w:rsid w:val="008F2E8B"/>
    <w:rsid w:val="008F3BA7"/>
    <w:rsid w:val="008F5329"/>
    <w:rsid w:val="008F56F5"/>
    <w:rsid w:val="008F5FE0"/>
    <w:rsid w:val="008F6620"/>
    <w:rsid w:val="008F68B3"/>
    <w:rsid w:val="008F71BC"/>
    <w:rsid w:val="008F730A"/>
    <w:rsid w:val="00900E0A"/>
    <w:rsid w:val="00901320"/>
    <w:rsid w:val="0090249D"/>
    <w:rsid w:val="009024E5"/>
    <w:rsid w:val="00902FB0"/>
    <w:rsid w:val="00903222"/>
    <w:rsid w:val="00903E52"/>
    <w:rsid w:val="00904347"/>
    <w:rsid w:val="0090473F"/>
    <w:rsid w:val="0090544E"/>
    <w:rsid w:val="00906CDF"/>
    <w:rsid w:val="00906E80"/>
    <w:rsid w:val="009070FA"/>
    <w:rsid w:val="009104CC"/>
    <w:rsid w:val="00911024"/>
    <w:rsid w:val="00912132"/>
    <w:rsid w:val="009124CC"/>
    <w:rsid w:val="00912552"/>
    <w:rsid w:val="009143FC"/>
    <w:rsid w:val="009148EC"/>
    <w:rsid w:val="00914EAC"/>
    <w:rsid w:val="009151AE"/>
    <w:rsid w:val="009154C4"/>
    <w:rsid w:val="00915681"/>
    <w:rsid w:val="0091626B"/>
    <w:rsid w:val="00916A25"/>
    <w:rsid w:val="00916EDD"/>
    <w:rsid w:val="009178DF"/>
    <w:rsid w:val="00917CAE"/>
    <w:rsid w:val="00921390"/>
    <w:rsid w:val="00922B0D"/>
    <w:rsid w:val="00924473"/>
    <w:rsid w:val="009246D1"/>
    <w:rsid w:val="00927055"/>
    <w:rsid w:val="00930D82"/>
    <w:rsid w:val="009310A8"/>
    <w:rsid w:val="009319AD"/>
    <w:rsid w:val="0093208C"/>
    <w:rsid w:val="00933245"/>
    <w:rsid w:val="009333C5"/>
    <w:rsid w:val="009339C7"/>
    <w:rsid w:val="00935EA7"/>
    <w:rsid w:val="00936E13"/>
    <w:rsid w:val="00937216"/>
    <w:rsid w:val="009379E3"/>
    <w:rsid w:val="00937B7B"/>
    <w:rsid w:val="009411B2"/>
    <w:rsid w:val="00941973"/>
    <w:rsid w:val="00942ACB"/>
    <w:rsid w:val="00943838"/>
    <w:rsid w:val="00950FAC"/>
    <w:rsid w:val="00951ABC"/>
    <w:rsid w:val="00951DCB"/>
    <w:rsid w:val="00952B44"/>
    <w:rsid w:val="00952F76"/>
    <w:rsid w:val="0095372B"/>
    <w:rsid w:val="00953993"/>
    <w:rsid w:val="00954093"/>
    <w:rsid w:val="009543C3"/>
    <w:rsid w:val="00955CC6"/>
    <w:rsid w:val="00956723"/>
    <w:rsid w:val="0095679D"/>
    <w:rsid w:val="00956A1C"/>
    <w:rsid w:val="00956E28"/>
    <w:rsid w:val="0095731D"/>
    <w:rsid w:val="00957BE6"/>
    <w:rsid w:val="00960552"/>
    <w:rsid w:val="00960A75"/>
    <w:rsid w:val="009610DD"/>
    <w:rsid w:val="009617C0"/>
    <w:rsid w:val="00963236"/>
    <w:rsid w:val="009632E6"/>
    <w:rsid w:val="009659E0"/>
    <w:rsid w:val="00965B50"/>
    <w:rsid w:val="00965CF0"/>
    <w:rsid w:val="00966673"/>
    <w:rsid w:val="00966BD9"/>
    <w:rsid w:val="00970257"/>
    <w:rsid w:val="00970E45"/>
    <w:rsid w:val="0097297F"/>
    <w:rsid w:val="00972EA8"/>
    <w:rsid w:val="00973325"/>
    <w:rsid w:val="00973CE4"/>
    <w:rsid w:val="00975B0E"/>
    <w:rsid w:val="00975E0C"/>
    <w:rsid w:val="00975F51"/>
    <w:rsid w:val="009767F4"/>
    <w:rsid w:val="00976944"/>
    <w:rsid w:val="00976C25"/>
    <w:rsid w:val="00977016"/>
    <w:rsid w:val="0097711F"/>
    <w:rsid w:val="00977D2C"/>
    <w:rsid w:val="0098025A"/>
    <w:rsid w:val="0098097D"/>
    <w:rsid w:val="009812A4"/>
    <w:rsid w:val="009812D9"/>
    <w:rsid w:val="00981AF6"/>
    <w:rsid w:val="009823DB"/>
    <w:rsid w:val="009849EF"/>
    <w:rsid w:val="0098688A"/>
    <w:rsid w:val="009868EE"/>
    <w:rsid w:val="00986C40"/>
    <w:rsid w:val="00987BE4"/>
    <w:rsid w:val="00990E34"/>
    <w:rsid w:val="00991C86"/>
    <w:rsid w:val="0099291F"/>
    <w:rsid w:val="0099386D"/>
    <w:rsid w:val="009938D9"/>
    <w:rsid w:val="00994406"/>
    <w:rsid w:val="0099493F"/>
    <w:rsid w:val="009959FE"/>
    <w:rsid w:val="00997ABC"/>
    <w:rsid w:val="009A0028"/>
    <w:rsid w:val="009A0D70"/>
    <w:rsid w:val="009A1365"/>
    <w:rsid w:val="009A2275"/>
    <w:rsid w:val="009A35D7"/>
    <w:rsid w:val="009A4A14"/>
    <w:rsid w:val="009A4B1E"/>
    <w:rsid w:val="009A4D6C"/>
    <w:rsid w:val="009A4EA6"/>
    <w:rsid w:val="009A703A"/>
    <w:rsid w:val="009A7B9D"/>
    <w:rsid w:val="009B0279"/>
    <w:rsid w:val="009B1AD2"/>
    <w:rsid w:val="009B2168"/>
    <w:rsid w:val="009B338E"/>
    <w:rsid w:val="009B34E4"/>
    <w:rsid w:val="009B3559"/>
    <w:rsid w:val="009B3B81"/>
    <w:rsid w:val="009B41C5"/>
    <w:rsid w:val="009B48A1"/>
    <w:rsid w:val="009B4A6A"/>
    <w:rsid w:val="009B5263"/>
    <w:rsid w:val="009B567F"/>
    <w:rsid w:val="009B5879"/>
    <w:rsid w:val="009B661C"/>
    <w:rsid w:val="009B68AF"/>
    <w:rsid w:val="009B69F5"/>
    <w:rsid w:val="009C000E"/>
    <w:rsid w:val="009C083C"/>
    <w:rsid w:val="009C094E"/>
    <w:rsid w:val="009C0CBF"/>
    <w:rsid w:val="009C22AD"/>
    <w:rsid w:val="009C2542"/>
    <w:rsid w:val="009C2925"/>
    <w:rsid w:val="009C3BED"/>
    <w:rsid w:val="009C5B06"/>
    <w:rsid w:val="009C5C07"/>
    <w:rsid w:val="009C6701"/>
    <w:rsid w:val="009C6D96"/>
    <w:rsid w:val="009C70E7"/>
    <w:rsid w:val="009C7420"/>
    <w:rsid w:val="009C74A5"/>
    <w:rsid w:val="009C7605"/>
    <w:rsid w:val="009D1614"/>
    <w:rsid w:val="009D1CDE"/>
    <w:rsid w:val="009D42AC"/>
    <w:rsid w:val="009D4C6F"/>
    <w:rsid w:val="009D4D85"/>
    <w:rsid w:val="009D5DDD"/>
    <w:rsid w:val="009D65FD"/>
    <w:rsid w:val="009D6C9C"/>
    <w:rsid w:val="009D7491"/>
    <w:rsid w:val="009E0427"/>
    <w:rsid w:val="009E0F47"/>
    <w:rsid w:val="009E137F"/>
    <w:rsid w:val="009E21BA"/>
    <w:rsid w:val="009E5361"/>
    <w:rsid w:val="009E56F1"/>
    <w:rsid w:val="009E67C1"/>
    <w:rsid w:val="009E7044"/>
    <w:rsid w:val="009E7450"/>
    <w:rsid w:val="009F14B8"/>
    <w:rsid w:val="009F459A"/>
    <w:rsid w:val="009F46A9"/>
    <w:rsid w:val="009F46E9"/>
    <w:rsid w:val="009F50B3"/>
    <w:rsid w:val="009F5163"/>
    <w:rsid w:val="009F52D5"/>
    <w:rsid w:val="009F5C0A"/>
    <w:rsid w:val="009F5FB2"/>
    <w:rsid w:val="009F6907"/>
    <w:rsid w:val="009F6E57"/>
    <w:rsid w:val="009F71F3"/>
    <w:rsid w:val="00A003BF"/>
    <w:rsid w:val="00A00CE9"/>
    <w:rsid w:val="00A01988"/>
    <w:rsid w:val="00A01C00"/>
    <w:rsid w:val="00A01C06"/>
    <w:rsid w:val="00A01F38"/>
    <w:rsid w:val="00A02C30"/>
    <w:rsid w:val="00A02D6D"/>
    <w:rsid w:val="00A0337A"/>
    <w:rsid w:val="00A034AE"/>
    <w:rsid w:val="00A03AB6"/>
    <w:rsid w:val="00A05042"/>
    <w:rsid w:val="00A06E01"/>
    <w:rsid w:val="00A06E0A"/>
    <w:rsid w:val="00A102BC"/>
    <w:rsid w:val="00A10533"/>
    <w:rsid w:val="00A10BBA"/>
    <w:rsid w:val="00A11043"/>
    <w:rsid w:val="00A12164"/>
    <w:rsid w:val="00A121AB"/>
    <w:rsid w:val="00A122C9"/>
    <w:rsid w:val="00A126DB"/>
    <w:rsid w:val="00A12738"/>
    <w:rsid w:val="00A129C3"/>
    <w:rsid w:val="00A12D8D"/>
    <w:rsid w:val="00A13C60"/>
    <w:rsid w:val="00A15178"/>
    <w:rsid w:val="00A153B8"/>
    <w:rsid w:val="00A16094"/>
    <w:rsid w:val="00A161BA"/>
    <w:rsid w:val="00A17058"/>
    <w:rsid w:val="00A17687"/>
    <w:rsid w:val="00A17720"/>
    <w:rsid w:val="00A213ED"/>
    <w:rsid w:val="00A22946"/>
    <w:rsid w:val="00A23669"/>
    <w:rsid w:val="00A23C22"/>
    <w:rsid w:val="00A25570"/>
    <w:rsid w:val="00A25653"/>
    <w:rsid w:val="00A25667"/>
    <w:rsid w:val="00A258B4"/>
    <w:rsid w:val="00A25B6C"/>
    <w:rsid w:val="00A25D8A"/>
    <w:rsid w:val="00A2641E"/>
    <w:rsid w:val="00A2646E"/>
    <w:rsid w:val="00A26D71"/>
    <w:rsid w:val="00A2783F"/>
    <w:rsid w:val="00A3085C"/>
    <w:rsid w:val="00A3126D"/>
    <w:rsid w:val="00A31C46"/>
    <w:rsid w:val="00A31CC5"/>
    <w:rsid w:val="00A31FB1"/>
    <w:rsid w:val="00A32A65"/>
    <w:rsid w:val="00A32FBA"/>
    <w:rsid w:val="00A32FDA"/>
    <w:rsid w:val="00A345C7"/>
    <w:rsid w:val="00A353D3"/>
    <w:rsid w:val="00A35724"/>
    <w:rsid w:val="00A3643C"/>
    <w:rsid w:val="00A36675"/>
    <w:rsid w:val="00A37117"/>
    <w:rsid w:val="00A3719E"/>
    <w:rsid w:val="00A371A4"/>
    <w:rsid w:val="00A41814"/>
    <w:rsid w:val="00A4194A"/>
    <w:rsid w:val="00A435DB"/>
    <w:rsid w:val="00A44BC8"/>
    <w:rsid w:val="00A510C8"/>
    <w:rsid w:val="00A511E5"/>
    <w:rsid w:val="00A51B99"/>
    <w:rsid w:val="00A5414D"/>
    <w:rsid w:val="00A55122"/>
    <w:rsid w:val="00A5544A"/>
    <w:rsid w:val="00A56D02"/>
    <w:rsid w:val="00A56F80"/>
    <w:rsid w:val="00A579CC"/>
    <w:rsid w:val="00A60035"/>
    <w:rsid w:val="00A61889"/>
    <w:rsid w:val="00A6254C"/>
    <w:rsid w:val="00A62E32"/>
    <w:rsid w:val="00A6384B"/>
    <w:rsid w:val="00A63E87"/>
    <w:rsid w:val="00A6496D"/>
    <w:rsid w:val="00A64F0B"/>
    <w:rsid w:val="00A65601"/>
    <w:rsid w:val="00A65F08"/>
    <w:rsid w:val="00A66D42"/>
    <w:rsid w:val="00A67419"/>
    <w:rsid w:val="00A67EF4"/>
    <w:rsid w:val="00A705A7"/>
    <w:rsid w:val="00A70A84"/>
    <w:rsid w:val="00A70BA3"/>
    <w:rsid w:val="00A71D4E"/>
    <w:rsid w:val="00A72315"/>
    <w:rsid w:val="00A72B66"/>
    <w:rsid w:val="00A72E32"/>
    <w:rsid w:val="00A73152"/>
    <w:rsid w:val="00A733E9"/>
    <w:rsid w:val="00A73657"/>
    <w:rsid w:val="00A73C4C"/>
    <w:rsid w:val="00A74651"/>
    <w:rsid w:val="00A74F69"/>
    <w:rsid w:val="00A76B0A"/>
    <w:rsid w:val="00A771A7"/>
    <w:rsid w:val="00A774E7"/>
    <w:rsid w:val="00A8033D"/>
    <w:rsid w:val="00A81FD9"/>
    <w:rsid w:val="00A82871"/>
    <w:rsid w:val="00A833DC"/>
    <w:rsid w:val="00A869C6"/>
    <w:rsid w:val="00A86B2F"/>
    <w:rsid w:val="00A872B1"/>
    <w:rsid w:val="00A87491"/>
    <w:rsid w:val="00A87D68"/>
    <w:rsid w:val="00A90394"/>
    <w:rsid w:val="00A90783"/>
    <w:rsid w:val="00A90A5B"/>
    <w:rsid w:val="00A91D63"/>
    <w:rsid w:val="00A91E51"/>
    <w:rsid w:val="00A91E8D"/>
    <w:rsid w:val="00A921F9"/>
    <w:rsid w:val="00A92933"/>
    <w:rsid w:val="00A92A76"/>
    <w:rsid w:val="00A93DE2"/>
    <w:rsid w:val="00A93E9C"/>
    <w:rsid w:val="00A94535"/>
    <w:rsid w:val="00A945F6"/>
    <w:rsid w:val="00A96AC0"/>
    <w:rsid w:val="00A96F1B"/>
    <w:rsid w:val="00AA0C75"/>
    <w:rsid w:val="00AA1787"/>
    <w:rsid w:val="00AA292C"/>
    <w:rsid w:val="00AA2D7A"/>
    <w:rsid w:val="00AA3D94"/>
    <w:rsid w:val="00AA3E13"/>
    <w:rsid w:val="00AA46EF"/>
    <w:rsid w:val="00AA4991"/>
    <w:rsid w:val="00AA532C"/>
    <w:rsid w:val="00AA5955"/>
    <w:rsid w:val="00AA5CF9"/>
    <w:rsid w:val="00AA63B3"/>
    <w:rsid w:val="00AA7FDF"/>
    <w:rsid w:val="00AB067B"/>
    <w:rsid w:val="00AB0DF6"/>
    <w:rsid w:val="00AB1749"/>
    <w:rsid w:val="00AB17BC"/>
    <w:rsid w:val="00AB1E7E"/>
    <w:rsid w:val="00AB2525"/>
    <w:rsid w:val="00AB2887"/>
    <w:rsid w:val="00AB2CE5"/>
    <w:rsid w:val="00AB38E6"/>
    <w:rsid w:val="00AB4143"/>
    <w:rsid w:val="00AB4805"/>
    <w:rsid w:val="00AB552F"/>
    <w:rsid w:val="00AB5FF6"/>
    <w:rsid w:val="00AB66EA"/>
    <w:rsid w:val="00AB67C6"/>
    <w:rsid w:val="00AB76FB"/>
    <w:rsid w:val="00AB7A39"/>
    <w:rsid w:val="00AC029A"/>
    <w:rsid w:val="00AC0B45"/>
    <w:rsid w:val="00AC2723"/>
    <w:rsid w:val="00AC3359"/>
    <w:rsid w:val="00AC346D"/>
    <w:rsid w:val="00AC374F"/>
    <w:rsid w:val="00AC3E72"/>
    <w:rsid w:val="00AC4F0E"/>
    <w:rsid w:val="00AC4FEE"/>
    <w:rsid w:val="00AC62EB"/>
    <w:rsid w:val="00AC7301"/>
    <w:rsid w:val="00AD006B"/>
    <w:rsid w:val="00AD0211"/>
    <w:rsid w:val="00AD0B08"/>
    <w:rsid w:val="00AD12AE"/>
    <w:rsid w:val="00AD1CD1"/>
    <w:rsid w:val="00AD21B8"/>
    <w:rsid w:val="00AD2411"/>
    <w:rsid w:val="00AD2754"/>
    <w:rsid w:val="00AD3585"/>
    <w:rsid w:val="00AD35FF"/>
    <w:rsid w:val="00AD42DA"/>
    <w:rsid w:val="00AD451B"/>
    <w:rsid w:val="00AD600D"/>
    <w:rsid w:val="00AD62A9"/>
    <w:rsid w:val="00AD6808"/>
    <w:rsid w:val="00AD7926"/>
    <w:rsid w:val="00AD7E0C"/>
    <w:rsid w:val="00AE02F6"/>
    <w:rsid w:val="00AE0CDB"/>
    <w:rsid w:val="00AE20FD"/>
    <w:rsid w:val="00AE258C"/>
    <w:rsid w:val="00AE28C4"/>
    <w:rsid w:val="00AE2BF3"/>
    <w:rsid w:val="00AE2EBF"/>
    <w:rsid w:val="00AE3006"/>
    <w:rsid w:val="00AE3434"/>
    <w:rsid w:val="00AE3B3F"/>
    <w:rsid w:val="00AE4623"/>
    <w:rsid w:val="00AE48D4"/>
    <w:rsid w:val="00AE4C9E"/>
    <w:rsid w:val="00AE5ED7"/>
    <w:rsid w:val="00AE62FC"/>
    <w:rsid w:val="00AE6605"/>
    <w:rsid w:val="00AE7F26"/>
    <w:rsid w:val="00AF0313"/>
    <w:rsid w:val="00AF12A0"/>
    <w:rsid w:val="00AF20F4"/>
    <w:rsid w:val="00AF2AD4"/>
    <w:rsid w:val="00AF2D26"/>
    <w:rsid w:val="00AF2D3B"/>
    <w:rsid w:val="00AF2E32"/>
    <w:rsid w:val="00AF2F6B"/>
    <w:rsid w:val="00AF418E"/>
    <w:rsid w:val="00AF42FD"/>
    <w:rsid w:val="00AF4434"/>
    <w:rsid w:val="00AF4A0F"/>
    <w:rsid w:val="00AF4CB9"/>
    <w:rsid w:val="00AF4F4F"/>
    <w:rsid w:val="00AF5020"/>
    <w:rsid w:val="00AF58C4"/>
    <w:rsid w:val="00AF6054"/>
    <w:rsid w:val="00AF6B6F"/>
    <w:rsid w:val="00AF6D08"/>
    <w:rsid w:val="00AF6DCB"/>
    <w:rsid w:val="00AF7694"/>
    <w:rsid w:val="00AF7843"/>
    <w:rsid w:val="00B00547"/>
    <w:rsid w:val="00B032FC"/>
    <w:rsid w:val="00B0359C"/>
    <w:rsid w:val="00B03C7E"/>
    <w:rsid w:val="00B057F0"/>
    <w:rsid w:val="00B06C33"/>
    <w:rsid w:val="00B07086"/>
    <w:rsid w:val="00B07A82"/>
    <w:rsid w:val="00B12F0C"/>
    <w:rsid w:val="00B133B5"/>
    <w:rsid w:val="00B1364C"/>
    <w:rsid w:val="00B13824"/>
    <w:rsid w:val="00B138F6"/>
    <w:rsid w:val="00B141B4"/>
    <w:rsid w:val="00B14521"/>
    <w:rsid w:val="00B14969"/>
    <w:rsid w:val="00B14AA7"/>
    <w:rsid w:val="00B16BC4"/>
    <w:rsid w:val="00B16E9F"/>
    <w:rsid w:val="00B170DC"/>
    <w:rsid w:val="00B17183"/>
    <w:rsid w:val="00B176FB"/>
    <w:rsid w:val="00B17F9A"/>
    <w:rsid w:val="00B205CB"/>
    <w:rsid w:val="00B20878"/>
    <w:rsid w:val="00B214C5"/>
    <w:rsid w:val="00B216C1"/>
    <w:rsid w:val="00B219E1"/>
    <w:rsid w:val="00B21C1A"/>
    <w:rsid w:val="00B21E3C"/>
    <w:rsid w:val="00B21EB5"/>
    <w:rsid w:val="00B226C5"/>
    <w:rsid w:val="00B22770"/>
    <w:rsid w:val="00B227AF"/>
    <w:rsid w:val="00B22841"/>
    <w:rsid w:val="00B23685"/>
    <w:rsid w:val="00B25303"/>
    <w:rsid w:val="00B256B1"/>
    <w:rsid w:val="00B25DB6"/>
    <w:rsid w:val="00B25E82"/>
    <w:rsid w:val="00B2693A"/>
    <w:rsid w:val="00B26C52"/>
    <w:rsid w:val="00B27910"/>
    <w:rsid w:val="00B30048"/>
    <w:rsid w:val="00B30051"/>
    <w:rsid w:val="00B30F05"/>
    <w:rsid w:val="00B31E86"/>
    <w:rsid w:val="00B3272B"/>
    <w:rsid w:val="00B329FF"/>
    <w:rsid w:val="00B33584"/>
    <w:rsid w:val="00B33601"/>
    <w:rsid w:val="00B33CA2"/>
    <w:rsid w:val="00B34A9E"/>
    <w:rsid w:val="00B34E3F"/>
    <w:rsid w:val="00B34E4D"/>
    <w:rsid w:val="00B34F9C"/>
    <w:rsid w:val="00B3510B"/>
    <w:rsid w:val="00B35D4A"/>
    <w:rsid w:val="00B3602A"/>
    <w:rsid w:val="00B36614"/>
    <w:rsid w:val="00B3768D"/>
    <w:rsid w:val="00B403C1"/>
    <w:rsid w:val="00B406E1"/>
    <w:rsid w:val="00B406FD"/>
    <w:rsid w:val="00B40E56"/>
    <w:rsid w:val="00B4105C"/>
    <w:rsid w:val="00B4128E"/>
    <w:rsid w:val="00B41E6D"/>
    <w:rsid w:val="00B41FC9"/>
    <w:rsid w:val="00B42BCF"/>
    <w:rsid w:val="00B43339"/>
    <w:rsid w:val="00B43A3E"/>
    <w:rsid w:val="00B44F80"/>
    <w:rsid w:val="00B45AB3"/>
    <w:rsid w:val="00B466E8"/>
    <w:rsid w:val="00B47898"/>
    <w:rsid w:val="00B47A94"/>
    <w:rsid w:val="00B50BCB"/>
    <w:rsid w:val="00B5120D"/>
    <w:rsid w:val="00B51F82"/>
    <w:rsid w:val="00B524E9"/>
    <w:rsid w:val="00B534C8"/>
    <w:rsid w:val="00B53763"/>
    <w:rsid w:val="00B53F4F"/>
    <w:rsid w:val="00B53F8B"/>
    <w:rsid w:val="00B556C5"/>
    <w:rsid w:val="00B55E5F"/>
    <w:rsid w:val="00B560C4"/>
    <w:rsid w:val="00B56ABB"/>
    <w:rsid w:val="00B60A80"/>
    <w:rsid w:val="00B6165F"/>
    <w:rsid w:val="00B6295C"/>
    <w:rsid w:val="00B63555"/>
    <w:rsid w:val="00B63C9B"/>
    <w:rsid w:val="00B64A14"/>
    <w:rsid w:val="00B65BB2"/>
    <w:rsid w:val="00B65DA1"/>
    <w:rsid w:val="00B66984"/>
    <w:rsid w:val="00B67BE5"/>
    <w:rsid w:val="00B67C6D"/>
    <w:rsid w:val="00B70270"/>
    <w:rsid w:val="00B70E81"/>
    <w:rsid w:val="00B70EA5"/>
    <w:rsid w:val="00B71698"/>
    <w:rsid w:val="00B72CA7"/>
    <w:rsid w:val="00B7302C"/>
    <w:rsid w:val="00B74DB8"/>
    <w:rsid w:val="00B750BB"/>
    <w:rsid w:val="00B7534F"/>
    <w:rsid w:val="00B762F0"/>
    <w:rsid w:val="00B810AF"/>
    <w:rsid w:val="00B8198B"/>
    <w:rsid w:val="00B82F96"/>
    <w:rsid w:val="00B83955"/>
    <w:rsid w:val="00B847A2"/>
    <w:rsid w:val="00B84B02"/>
    <w:rsid w:val="00B84C44"/>
    <w:rsid w:val="00B85448"/>
    <w:rsid w:val="00B8701C"/>
    <w:rsid w:val="00B90B0F"/>
    <w:rsid w:val="00B90F5F"/>
    <w:rsid w:val="00B912C2"/>
    <w:rsid w:val="00B91A6E"/>
    <w:rsid w:val="00B91D6D"/>
    <w:rsid w:val="00B91F83"/>
    <w:rsid w:val="00B927F2"/>
    <w:rsid w:val="00B936D6"/>
    <w:rsid w:val="00B93D97"/>
    <w:rsid w:val="00B942C2"/>
    <w:rsid w:val="00B944B3"/>
    <w:rsid w:val="00B94A8D"/>
    <w:rsid w:val="00B975CB"/>
    <w:rsid w:val="00B97DD0"/>
    <w:rsid w:val="00BA0D83"/>
    <w:rsid w:val="00BA1DFB"/>
    <w:rsid w:val="00BA2BBE"/>
    <w:rsid w:val="00BA2E2B"/>
    <w:rsid w:val="00BA3217"/>
    <w:rsid w:val="00BA4BCA"/>
    <w:rsid w:val="00BA61B8"/>
    <w:rsid w:val="00BA6DD8"/>
    <w:rsid w:val="00BA730E"/>
    <w:rsid w:val="00BA7D0D"/>
    <w:rsid w:val="00BA7D3E"/>
    <w:rsid w:val="00BA7F33"/>
    <w:rsid w:val="00BB0082"/>
    <w:rsid w:val="00BB1B39"/>
    <w:rsid w:val="00BB2A2D"/>
    <w:rsid w:val="00BB2DB5"/>
    <w:rsid w:val="00BB41E9"/>
    <w:rsid w:val="00BB44D4"/>
    <w:rsid w:val="00BB4A42"/>
    <w:rsid w:val="00BB52DF"/>
    <w:rsid w:val="00BB6155"/>
    <w:rsid w:val="00BB71B8"/>
    <w:rsid w:val="00BB744B"/>
    <w:rsid w:val="00BB75E5"/>
    <w:rsid w:val="00BB79B5"/>
    <w:rsid w:val="00BC0FBE"/>
    <w:rsid w:val="00BC1F76"/>
    <w:rsid w:val="00BC20C2"/>
    <w:rsid w:val="00BC2552"/>
    <w:rsid w:val="00BC2641"/>
    <w:rsid w:val="00BC3747"/>
    <w:rsid w:val="00BC3B0E"/>
    <w:rsid w:val="00BC4D7F"/>
    <w:rsid w:val="00BC5453"/>
    <w:rsid w:val="00BC691E"/>
    <w:rsid w:val="00BC74D0"/>
    <w:rsid w:val="00BC7DDF"/>
    <w:rsid w:val="00BD1D2A"/>
    <w:rsid w:val="00BD1F42"/>
    <w:rsid w:val="00BD20D7"/>
    <w:rsid w:val="00BD2E9C"/>
    <w:rsid w:val="00BD3402"/>
    <w:rsid w:val="00BD3D9C"/>
    <w:rsid w:val="00BD449C"/>
    <w:rsid w:val="00BD4559"/>
    <w:rsid w:val="00BD4CF5"/>
    <w:rsid w:val="00BD52C1"/>
    <w:rsid w:val="00BD5AA6"/>
    <w:rsid w:val="00BD5C5F"/>
    <w:rsid w:val="00BD6BD4"/>
    <w:rsid w:val="00BD73B3"/>
    <w:rsid w:val="00BD7C81"/>
    <w:rsid w:val="00BE080C"/>
    <w:rsid w:val="00BE0E78"/>
    <w:rsid w:val="00BE2EBB"/>
    <w:rsid w:val="00BE6543"/>
    <w:rsid w:val="00BE757D"/>
    <w:rsid w:val="00BE7675"/>
    <w:rsid w:val="00BF0027"/>
    <w:rsid w:val="00BF2094"/>
    <w:rsid w:val="00BF2660"/>
    <w:rsid w:val="00BF34F9"/>
    <w:rsid w:val="00BF45EA"/>
    <w:rsid w:val="00BF4B0D"/>
    <w:rsid w:val="00BF4E24"/>
    <w:rsid w:val="00BF5224"/>
    <w:rsid w:val="00BF53DD"/>
    <w:rsid w:val="00BF67C2"/>
    <w:rsid w:val="00C00465"/>
    <w:rsid w:val="00C01D13"/>
    <w:rsid w:val="00C022C5"/>
    <w:rsid w:val="00C029D9"/>
    <w:rsid w:val="00C0538F"/>
    <w:rsid w:val="00C05455"/>
    <w:rsid w:val="00C06222"/>
    <w:rsid w:val="00C107C9"/>
    <w:rsid w:val="00C1233F"/>
    <w:rsid w:val="00C12C43"/>
    <w:rsid w:val="00C138ED"/>
    <w:rsid w:val="00C13DFE"/>
    <w:rsid w:val="00C14131"/>
    <w:rsid w:val="00C14FD1"/>
    <w:rsid w:val="00C161EA"/>
    <w:rsid w:val="00C16A82"/>
    <w:rsid w:val="00C16C4A"/>
    <w:rsid w:val="00C16C93"/>
    <w:rsid w:val="00C20050"/>
    <w:rsid w:val="00C20407"/>
    <w:rsid w:val="00C21436"/>
    <w:rsid w:val="00C21630"/>
    <w:rsid w:val="00C2197B"/>
    <w:rsid w:val="00C21E00"/>
    <w:rsid w:val="00C25CAB"/>
    <w:rsid w:val="00C27117"/>
    <w:rsid w:val="00C30AE7"/>
    <w:rsid w:val="00C30B57"/>
    <w:rsid w:val="00C316CC"/>
    <w:rsid w:val="00C31E9D"/>
    <w:rsid w:val="00C31F99"/>
    <w:rsid w:val="00C32212"/>
    <w:rsid w:val="00C3244E"/>
    <w:rsid w:val="00C3261F"/>
    <w:rsid w:val="00C33731"/>
    <w:rsid w:val="00C34217"/>
    <w:rsid w:val="00C35402"/>
    <w:rsid w:val="00C36BA8"/>
    <w:rsid w:val="00C36D3C"/>
    <w:rsid w:val="00C37196"/>
    <w:rsid w:val="00C37E45"/>
    <w:rsid w:val="00C40BFE"/>
    <w:rsid w:val="00C40CCF"/>
    <w:rsid w:val="00C40F1F"/>
    <w:rsid w:val="00C4276F"/>
    <w:rsid w:val="00C434D4"/>
    <w:rsid w:val="00C43A21"/>
    <w:rsid w:val="00C43C91"/>
    <w:rsid w:val="00C4412A"/>
    <w:rsid w:val="00C442E6"/>
    <w:rsid w:val="00C44C69"/>
    <w:rsid w:val="00C45E9B"/>
    <w:rsid w:val="00C462AC"/>
    <w:rsid w:val="00C462B4"/>
    <w:rsid w:val="00C474DB"/>
    <w:rsid w:val="00C52881"/>
    <w:rsid w:val="00C53244"/>
    <w:rsid w:val="00C53CD0"/>
    <w:rsid w:val="00C5455E"/>
    <w:rsid w:val="00C54589"/>
    <w:rsid w:val="00C54F09"/>
    <w:rsid w:val="00C5529F"/>
    <w:rsid w:val="00C55305"/>
    <w:rsid w:val="00C55333"/>
    <w:rsid w:val="00C55A9F"/>
    <w:rsid w:val="00C56409"/>
    <w:rsid w:val="00C56829"/>
    <w:rsid w:val="00C5723B"/>
    <w:rsid w:val="00C57BFA"/>
    <w:rsid w:val="00C57E4F"/>
    <w:rsid w:val="00C600C6"/>
    <w:rsid w:val="00C603EE"/>
    <w:rsid w:val="00C60470"/>
    <w:rsid w:val="00C6053C"/>
    <w:rsid w:val="00C605F2"/>
    <w:rsid w:val="00C61534"/>
    <w:rsid w:val="00C618B4"/>
    <w:rsid w:val="00C61D69"/>
    <w:rsid w:val="00C61F84"/>
    <w:rsid w:val="00C632CA"/>
    <w:rsid w:val="00C632FC"/>
    <w:rsid w:val="00C642E7"/>
    <w:rsid w:val="00C64723"/>
    <w:rsid w:val="00C65DD0"/>
    <w:rsid w:val="00C670E7"/>
    <w:rsid w:val="00C672AF"/>
    <w:rsid w:val="00C70227"/>
    <w:rsid w:val="00C70B5E"/>
    <w:rsid w:val="00C71051"/>
    <w:rsid w:val="00C721A8"/>
    <w:rsid w:val="00C7381B"/>
    <w:rsid w:val="00C73F31"/>
    <w:rsid w:val="00C7595B"/>
    <w:rsid w:val="00C771FD"/>
    <w:rsid w:val="00C77444"/>
    <w:rsid w:val="00C77DE8"/>
    <w:rsid w:val="00C81C1C"/>
    <w:rsid w:val="00C81CC3"/>
    <w:rsid w:val="00C82035"/>
    <w:rsid w:val="00C835E1"/>
    <w:rsid w:val="00C8386A"/>
    <w:rsid w:val="00C838B7"/>
    <w:rsid w:val="00C84006"/>
    <w:rsid w:val="00C860B9"/>
    <w:rsid w:val="00C87B69"/>
    <w:rsid w:val="00C90DFE"/>
    <w:rsid w:val="00C9156F"/>
    <w:rsid w:val="00C9292E"/>
    <w:rsid w:val="00C92EDE"/>
    <w:rsid w:val="00C93461"/>
    <w:rsid w:val="00C93CBC"/>
    <w:rsid w:val="00C93FA8"/>
    <w:rsid w:val="00C94358"/>
    <w:rsid w:val="00C95BC9"/>
    <w:rsid w:val="00C96003"/>
    <w:rsid w:val="00C96277"/>
    <w:rsid w:val="00C966A1"/>
    <w:rsid w:val="00C96D07"/>
    <w:rsid w:val="00CA2E0F"/>
    <w:rsid w:val="00CA3455"/>
    <w:rsid w:val="00CA3C81"/>
    <w:rsid w:val="00CA3D47"/>
    <w:rsid w:val="00CA3FCC"/>
    <w:rsid w:val="00CA50AD"/>
    <w:rsid w:val="00CA581C"/>
    <w:rsid w:val="00CA7068"/>
    <w:rsid w:val="00CA74AC"/>
    <w:rsid w:val="00CA7F82"/>
    <w:rsid w:val="00CB06D8"/>
    <w:rsid w:val="00CB0D13"/>
    <w:rsid w:val="00CB164F"/>
    <w:rsid w:val="00CB175D"/>
    <w:rsid w:val="00CB1C44"/>
    <w:rsid w:val="00CB2135"/>
    <w:rsid w:val="00CB2238"/>
    <w:rsid w:val="00CB22CF"/>
    <w:rsid w:val="00CB2848"/>
    <w:rsid w:val="00CB385C"/>
    <w:rsid w:val="00CB4649"/>
    <w:rsid w:val="00CB525C"/>
    <w:rsid w:val="00CB6A78"/>
    <w:rsid w:val="00CB6DC7"/>
    <w:rsid w:val="00CB7B69"/>
    <w:rsid w:val="00CB7DFC"/>
    <w:rsid w:val="00CC00B5"/>
    <w:rsid w:val="00CC16C0"/>
    <w:rsid w:val="00CC1BE0"/>
    <w:rsid w:val="00CC205F"/>
    <w:rsid w:val="00CC26FF"/>
    <w:rsid w:val="00CC328F"/>
    <w:rsid w:val="00CC352C"/>
    <w:rsid w:val="00CC3990"/>
    <w:rsid w:val="00CC3A5B"/>
    <w:rsid w:val="00CC4521"/>
    <w:rsid w:val="00CC45BA"/>
    <w:rsid w:val="00CC468D"/>
    <w:rsid w:val="00CC4B42"/>
    <w:rsid w:val="00CC4B5D"/>
    <w:rsid w:val="00CC4FF0"/>
    <w:rsid w:val="00CC54EF"/>
    <w:rsid w:val="00CC5EED"/>
    <w:rsid w:val="00CC60AA"/>
    <w:rsid w:val="00CC6DB8"/>
    <w:rsid w:val="00CD0D6B"/>
    <w:rsid w:val="00CD17A9"/>
    <w:rsid w:val="00CD1B23"/>
    <w:rsid w:val="00CD30BC"/>
    <w:rsid w:val="00CD3927"/>
    <w:rsid w:val="00CD41DC"/>
    <w:rsid w:val="00CD4282"/>
    <w:rsid w:val="00CD4A13"/>
    <w:rsid w:val="00CD4C59"/>
    <w:rsid w:val="00CD4CFE"/>
    <w:rsid w:val="00CD6ACF"/>
    <w:rsid w:val="00CD7E7A"/>
    <w:rsid w:val="00CD7F4A"/>
    <w:rsid w:val="00CE083F"/>
    <w:rsid w:val="00CE09A3"/>
    <w:rsid w:val="00CE16D2"/>
    <w:rsid w:val="00CE19D2"/>
    <w:rsid w:val="00CE2F1D"/>
    <w:rsid w:val="00CE3C13"/>
    <w:rsid w:val="00CE4841"/>
    <w:rsid w:val="00CE5430"/>
    <w:rsid w:val="00CE56C9"/>
    <w:rsid w:val="00CE787E"/>
    <w:rsid w:val="00CF0BC8"/>
    <w:rsid w:val="00CF131B"/>
    <w:rsid w:val="00CF16F8"/>
    <w:rsid w:val="00CF1B81"/>
    <w:rsid w:val="00CF38FC"/>
    <w:rsid w:val="00CF4282"/>
    <w:rsid w:val="00CF54AD"/>
    <w:rsid w:val="00CF6818"/>
    <w:rsid w:val="00CF75C2"/>
    <w:rsid w:val="00CF768E"/>
    <w:rsid w:val="00CF77B6"/>
    <w:rsid w:val="00CF7A21"/>
    <w:rsid w:val="00CF7BA6"/>
    <w:rsid w:val="00CF7C21"/>
    <w:rsid w:val="00D00974"/>
    <w:rsid w:val="00D0129E"/>
    <w:rsid w:val="00D0188F"/>
    <w:rsid w:val="00D02570"/>
    <w:rsid w:val="00D034F8"/>
    <w:rsid w:val="00D03716"/>
    <w:rsid w:val="00D037FA"/>
    <w:rsid w:val="00D04339"/>
    <w:rsid w:val="00D04F59"/>
    <w:rsid w:val="00D05C22"/>
    <w:rsid w:val="00D072E9"/>
    <w:rsid w:val="00D1048C"/>
    <w:rsid w:val="00D122B1"/>
    <w:rsid w:val="00D138E4"/>
    <w:rsid w:val="00D13985"/>
    <w:rsid w:val="00D13CC9"/>
    <w:rsid w:val="00D14FAC"/>
    <w:rsid w:val="00D16A0A"/>
    <w:rsid w:val="00D20C40"/>
    <w:rsid w:val="00D21320"/>
    <w:rsid w:val="00D21665"/>
    <w:rsid w:val="00D237C2"/>
    <w:rsid w:val="00D23AD4"/>
    <w:rsid w:val="00D23BC2"/>
    <w:rsid w:val="00D24808"/>
    <w:rsid w:val="00D24BBF"/>
    <w:rsid w:val="00D25621"/>
    <w:rsid w:val="00D263D9"/>
    <w:rsid w:val="00D26616"/>
    <w:rsid w:val="00D270C9"/>
    <w:rsid w:val="00D273A1"/>
    <w:rsid w:val="00D3028B"/>
    <w:rsid w:val="00D30548"/>
    <w:rsid w:val="00D3076D"/>
    <w:rsid w:val="00D307C0"/>
    <w:rsid w:val="00D30981"/>
    <w:rsid w:val="00D31909"/>
    <w:rsid w:val="00D31FA7"/>
    <w:rsid w:val="00D32107"/>
    <w:rsid w:val="00D32393"/>
    <w:rsid w:val="00D3361F"/>
    <w:rsid w:val="00D33AE3"/>
    <w:rsid w:val="00D33F15"/>
    <w:rsid w:val="00D3485F"/>
    <w:rsid w:val="00D35294"/>
    <w:rsid w:val="00D36D89"/>
    <w:rsid w:val="00D36E33"/>
    <w:rsid w:val="00D37952"/>
    <w:rsid w:val="00D41508"/>
    <w:rsid w:val="00D42085"/>
    <w:rsid w:val="00D42210"/>
    <w:rsid w:val="00D432DB"/>
    <w:rsid w:val="00D43722"/>
    <w:rsid w:val="00D439D6"/>
    <w:rsid w:val="00D459B4"/>
    <w:rsid w:val="00D45C7D"/>
    <w:rsid w:val="00D460D4"/>
    <w:rsid w:val="00D47CF9"/>
    <w:rsid w:val="00D50291"/>
    <w:rsid w:val="00D5042E"/>
    <w:rsid w:val="00D5079B"/>
    <w:rsid w:val="00D521AC"/>
    <w:rsid w:val="00D5252F"/>
    <w:rsid w:val="00D52CED"/>
    <w:rsid w:val="00D52E21"/>
    <w:rsid w:val="00D53333"/>
    <w:rsid w:val="00D55BCC"/>
    <w:rsid w:val="00D56182"/>
    <w:rsid w:val="00D61442"/>
    <w:rsid w:val="00D61453"/>
    <w:rsid w:val="00D61611"/>
    <w:rsid w:val="00D61BBB"/>
    <w:rsid w:val="00D61BF7"/>
    <w:rsid w:val="00D62126"/>
    <w:rsid w:val="00D62422"/>
    <w:rsid w:val="00D62C7B"/>
    <w:rsid w:val="00D62D47"/>
    <w:rsid w:val="00D634C3"/>
    <w:rsid w:val="00D63E9F"/>
    <w:rsid w:val="00D66341"/>
    <w:rsid w:val="00D66EA1"/>
    <w:rsid w:val="00D679E3"/>
    <w:rsid w:val="00D7016F"/>
    <w:rsid w:val="00D703F5"/>
    <w:rsid w:val="00D7060A"/>
    <w:rsid w:val="00D7155F"/>
    <w:rsid w:val="00D72158"/>
    <w:rsid w:val="00D7311A"/>
    <w:rsid w:val="00D73658"/>
    <w:rsid w:val="00D74018"/>
    <w:rsid w:val="00D74C60"/>
    <w:rsid w:val="00D754A2"/>
    <w:rsid w:val="00D761F7"/>
    <w:rsid w:val="00D779D4"/>
    <w:rsid w:val="00D8040F"/>
    <w:rsid w:val="00D8045F"/>
    <w:rsid w:val="00D804CD"/>
    <w:rsid w:val="00D805C2"/>
    <w:rsid w:val="00D823F5"/>
    <w:rsid w:val="00D83EBA"/>
    <w:rsid w:val="00D8400A"/>
    <w:rsid w:val="00D84E8D"/>
    <w:rsid w:val="00D8690B"/>
    <w:rsid w:val="00D86DD4"/>
    <w:rsid w:val="00D86EFD"/>
    <w:rsid w:val="00D872D8"/>
    <w:rsid w:val="00D87D0F"/>
    <w:rsid w:val="00D905AE"/>
    <w:rsid w:val="00D91537"/>
    <w:rsid w:val="00D91CCE"/>
    <w:rsid w:val="00D92445"/>
    <w:rsid w:val="00D93624"/>
    <w:rsid w:val="00D9384F"/>
    <w:rsid w:val="00D9471F"/>
    <w:rsid w:val="00D94A2D"/>
    <w:rsid w:val="00D94D46"/>
    <w:rsid w:val="00D95AC9"/>
    <w:rsid w:val="00D9617A"/>
    <w:rsid w:val="00D96231"/>
    <w:rsid w:val="00D9698C"/>
    <w:rsid w:val="00DA0089"/>
    <w:rsid w:val="00DA0DD7"/>
    <w:rsid w:val="00DA1FE2"/>
    <w:rsid w:val="00DA2B12"/>
    <w:rsid w:val="00DA2BD3"/>
    <w:rsid w:val="00DA2E8F"/>
    <w:rsid w:val="00DA3EF3"/>
    <w:rsid w:val="00DA4974"/>
    <w:rsid w:val="00DA4E53"/>
    <w:rsid w:val="00DA51A2"/>
    <w:rsid w:val="00DA52CD"/>
    <w:rsid w:val="00DA5BEF"/>
    <w:rsid w:val="00DA5FB8"/>
    <w:rsid w:val="00DA609E"/>
    <w:rsid w:val="00DA7186"/>
    <w:rsid w:val="00DB02F5"/>
    <w:rsid w:val="00DB09BB"/>
    <w:rsid w:val="00DB185C"/>
    <w:rsid w:val="00DB18A4"/>
    <w:rsid w:val="00DB24E8"/>
    <w:rsid w:val="00DB2F34"/>
    <w:rsid w:val="00DB31C9"/>
    <w:rsid w:val="00DB3A2A"/>
    <w:rsid w:val="00DB4F2E"/>
    <w:rsid w:val="00DB5AF5"/>
    <w:rsid w:val="00DB5FE6"/>
    <w:rsid w:val="00DB6A3A"/>
    <w:rsid w:val="00DB7223"/>
    <w:rsid w:val="00DB7493"/>
    <w:rsid w:val="00DC0A4E"/>
    <w:rsid w:val="00DC0B08"/>
    <w:rsid w:val="00DC0CC0"/>
    <w:rsid w:val="00DC0CD7"/>
    <w:rsid w:val="00DC1F54"/>
    <w:rsid w:val="00DC24CB"/>
    <w:rsid w:val="00DC31A6"/>
    <w:rsid w:val="00DC322A"/>
    <w:rsid w:val="00DC4037"/>
    <w:rsid w:val="00DC464E"/>
    <w:rsid w:val="00DC4856"/>
    <w:rsid w:val="00DC5984"/>
    <w:rsid w:val="00DC5C7F"/>
    <w:rsid w:val="00DC6166"/>
    <w:rsid w:val="00DC69FE"/>
    <w:rsid w:val="00DC7569"/>
    <w:rsid w:val="00DD090E"/>
    <w:rsid w:val="00DD0C79"/>
    <w:rsid w:val="00DD32EF"/>
    <w:rsid w:val="00DD38A9"/>
    <w:rsid w:val="00DD39D1"/>
    <w:rsid w:val="00DD4292"/>
    <w:rsid w:val="00DD4EE0"/>
    <w:rsid w:val="00DD5162"/>
    <w:rsid w:val="00DD645C"/>
    <w:rsid w:val="00DD678E"/>
    <w:rsid w:val="00DD70B7"/>
    <w:rsid w:val="00DE011B"/>
    <w:rsid w:val="00DE0D08"/>
    <w:rsid w:val="00DE0F83"/>
    <w:rsid w:val="00DE17A2"/>
    <w:rsid w:val="00DE1AFE"/>
    <w:rsid w:val="00DE25CF"/>
    <w:rsid w:val="00DE2610"/>
    <w:rsid w:val="00DE2FFF"/>
    <w:rsid w:val="00DE31DE"/>
    <w:rsid w:val="00DE4012"/>
    <w:rsid w:val="00DE4486"/>
    <w:rsid w:val="00DE5505"/>
    <w:rsid w:val="00DE5EB7"/>
    <w:rsid w:val="00DE5F81"/>
    <w:rsid w:val="00DE66FF"/>
    <w:rsid w:val="00DF04E9"/>
    <w:rsid w:val="00DF1E53"/>
    <w:rsid w:val="00DF2620"/>
    <w:rsid w:val="00DF2E6C"/>
    <w:rsid w:val="00DF3650"/>
    <w:rsid w:val="00DF3E07"/>
    <w:rsid w:val="00DF5948"/>
    <w:rsid w:val="00DF60B5"/>
    <w:rsid w:val="00DF6509"/>
    <w:rsid w:val="00DF6E7C"/>
    <w:rsid w:val="00DF7344"/>
    <w:rsid w:val="00DF758E"/>
    <w:rsid w:val="00DF774D"/>
    <w:rsid w:val="00DF79E0"/>
    <w:rsid w:val="00E01792"/>
    <w:rsid w:val="00E02375"/>
    <w:rsid w:val="00E02A2D"/>
    <w:rsid w:val="00E02A77"/>
    <w:rsid w:val="00E03BCA"/>
    <w:rsid w:val="00E03D1C"/>
    <w:rsid w:val="00E03D20"/>
    <w:rsid w:val="00E03DBC"/>
    <w:rsid w:val="00E03FB8"/>
    <w:rsid w:val="00E04371"/>
    <w:rsid w:val="00E05897"/>
    <w:rsid w:val="00E05CB7"/>
    <w:rsid w:val="00E05CBA"/>
    <w:rsid w:val="00E06757"/>
    <w:rsid w:val="00E078DC"/>
    <w:rsid w:val="00E1115C"/>
    <w:rsid w:val="00E11A53"/>
    <w:rsid w:val="00E12B9B"/>
    <w:rsid w:val="00E14A12"/>
    <w:rsid w:val="00E1545D"/>
    <w:rsid w:val="00E15D73"/>
    <w:rsid w:val="00E15DF4"/>
    <w:rsid w:val="00E163EE"/>
    <w:rsid w:val="00E165D8"/>
    <w:rsid w:val="00E16CA1"/>
    <w:rsid w:val="00E17719"/>
    <w:rsid w:val="00E2034C"/>
    <w:rsid w:val="00E21392"/>
    <w:rsid w:val="00E2276C"/>
    <w:rsid w:val="00E22807"/>
    <w:rsid w:val="00E22E9B"/>
    <w:rsid w:val="00E235D8"/>
    <w:rsid w:val="00E236A2"/>
    <w:rsid w:val="00E23E4D"/>
    <w:rsid w:val="00E2583F"/>
    <w:rsid w:val="00E263D0"/>
    <w:rsid w:val="00E26797"/>
    <w:rsid w:val="00E27104"/>
    <w:rsid w:val="00E273B8"/>
    <w:rsid w:val="00E27C76"/>
    <w:rsid w:val="00E302D1"/>
    <w:rsid w:val="00E33081"/>
    <w:rsid w:val="00E33B00"/>
    <w:rsid w:val="00E33D68"/>
    <w:rsid w:val="00E34135"/>
    <w:rsid w:val="00E34310"/>
    <w:rsid w:val="00E350C1"/>
    <w:rsid w:val="00E35470"/>
    <w:rsid w:val="00E35D38"/>
    <w:rsid w:val="00E35D9F"/>
    <w:rsid w:val="00E403ED"/>
    <w:rsid w:val="00E417A5"/>
    <w:rsid w:val="00E41912"/>
    <w:rsid w:val="00E42E24"/>
    <w:rsid w:val="00E457AF"/>
    <w:rsid w:val="00E457DD"/>
    <w:rsid w:val="00E459CE"/>
    <w:rsid w:val="00E46447"/>
    <w:rsid w:val="00E4648A"/>
    <w:rsid w:val="00E46535"/>
    <w:rsid w:val="00E46A32"/>
    <w:rsid w:val="00E46AF7"/>
    <w:rsid w:val="00E46D1B"/>
    <w:rsid w:val="00E47D58"/>
    <w:rsid w:val="00E47FD3"/>
    <w:rsid w:val="00E50305"/>
    <w:rsid w:val="00E5084A"/>
    <w:rsid w:val="00E50CE1"/>
    <w:rsid w:val="00E51223"/>
    <w:rsid w:val="00E52645"/>
    <w:rsid w:val="00E52668"/>
    <w:rsid w:val="00E52767"/>
    <w:rsid w:val="00E5348A"/>
    <w:rsid w:val="00E535C0"/>
    <w:rsid w:val="00E5512F"/>
    <w:rsid w:val="00E55888"/>
    <w:rsid w:val="00E56F90"/>
    <w:rsid w:val="00E60AF6"/>
    <w:rsid w:val="00E626BB"/>
    <w:rsid w:val="00E627D4"/>
    <w:rsid w:val="00E6349D"/>
    <w:rsid w:val="00E64F06"/>
    <w:rsid w:val="00E653B4"/>
    <w:rsid w:val="00E65709"/>
    <w:rsid w:val="00E6580B"/>
    <w:rsid w:val="00E65833"/>
    <w:rsid w:val="00E666C6"/>
    <w:rsid w:val="00E66E21"/>
    <w:rsid w:val="00E678B5"/>
    <w:rsid w:val="00E679B3"/>
    <w:rsid w:val="00E71B5F"/>
    <w:rsid w:val="00E7449A"/>
    <w:rsid w:val="00E7500B"/>
    <w:rsid w:val="00E754C8"/>
    <w:rsid w:val="00E75A5E"/>
    <w:rsid w:val="00E75E0C"/>
    <w:rsid w:val="00E7644C"/>
    <w:rsid w:val="00E775BF"/>
    <w:rsid w:val="00E803E3"/>
    <w:rsid w:val="00E8099D"/>
    <w:rsid w:val="00E81EA5"/>
    <w:rsid w:val="00E821F8"/>
    <w:rsid w:val="00E82B2E"/>
    <w:rsid w:val="00E83CA9"/>
    <w:rsid w:val="00E84D61"/>
    <w:rsid w:val="00E85018"/>
    <w:rsid w:val="00E85613"/>
    <w:rsid w:val="00E87017"/>
    <w:rsid w:val="00E8732F"/>
    <w:rsid w:val="00E876E0"/>
    <w:rsid w:val="00E87A0B"/>
    <w:rsid w:val="00E9004D"/>
    <w:rsid w:val="00E90757"/>
    <w:rsid w:val="00E91C6E"/>
    <w:rsid w:val="00E923A2"/>
    <w:rsid w:val="00E924CE"/>
    <w:rsid w:val="00E9251A"/>
    <w:rsid w:val="00E92663"/>
    <w:rsid w:val="00E92DB2"/>
    <w:rsid w:val="00E93A94"/>
    <w:rsid w:val="00E9486B"/>
    <w:rsid w:val="00E94C6F"/>
    <w:rsid w:val="00E95066"/>
    <w:rsid w:val="00E95B89"/>
    <w:rsid w:val="00E9632D"/>
    <w:rsid w:val="00E969E5"/>
    <w:rsid w:val="00E96F1C"/>
    <w:rsid w:val="00E9721A"/>
    <w:rsid w:val="00E9727B"/>
    <w:rsid w:val="00E97EF7"/>
    <w:rsid w:val="00EA01E5"/>
    <w:rsid w:val="00EA0AFA"/>
    <w:rsid w:val="00EA0CA2"/>
    <w:rsid w:val="00EA2772"/>
    <w:rsid w:val="00EA422D"/>
    <w:rsid w:val="00EA4F4D"/>
    <w:rsid w:val="00EA5BB6"/>
    <w:rsid w:val="00EA5FB6"/>
    <w:rsid w:val="00EB0498"/>
    <w:rsid w:val="00EB051E"/>
    <w:rsid w:val="00EB09CF"/>
    <w:rsid w:val="00EB1458"/>
    <w:rsid w:val="00EB19EE"/>
    <w:rsid w:val="00EB1BA3"/>
    <w:rsid w:val="00EB428E"/>
    <w:rsid w:val="00EB6E44"/>
    <w:rsid w:val="00EC0138"/>
    <w:rsid w:val="00EC0F86"/>
    <w:rsid w:val="00EC1573"/>
    <w:rsid w:val="00EC16C4"/>
    <w:rsid w:val="00EC16F2"/>
    <w:rsid w:val="00EC2947"/>
    <w:rsid w:val="00EC4AB7"/>
    <w:rsid w:val="00EC4CE3"/>
    <w:rsid w:val="00EC54BC"/>
    <w:rsid w:val="00EC56E6"/>
    <w:rsid w:val="00EC6E2B"/>
    <w:rsid w:val="00EC7316"/>
    <w:rsid w:val="00EC7778"/>
    <w:rsid w:val="00EC7F0F"/>
    <w:rsid w:val="00ED1145"/>
    <w:rsid w:val="00ED11B0"/>
    <w:rsid w:val="00ED1FD2"/>
    <w:rsid w:val="00ED446E"/>
    <w:rsid w:val="00ED4B90"/>
    <w:rsid w:val="00ED4DA3"/>
    <w:rsid w:val="00ED5429"/>
    <w:rsid w:val="00ED621D"/>
    <w:rsid w:val="00ED6808"/>
    <w:rsid w:val="00ED6E5F"/>
    <w:rsid w:val="00ED7346"/>
    <w:rsid w:val="00ED7910"/>
    <w:rsid w:val="00EE0B9B"/>
    <w:rsid w:val="00EE11B4"/>
    <w:rsid w:val="00EE1C5B"/>
    <w:rsid w:val="00EE1EB8"/>
    <w:rsid w:val="00EE1F39"/>
    <w:rsid w:val="00EE2199"/>
    <w:rsid w:val="00EE278B"/>
    <w:rsid w:val="00EE31A3"/>
    <w:rsid w:val="00EE3BB4"/>
    <w:rsid w:val="00EE4BE5"/>
    <w:rsid w:val="00EE54B0"/>
    <w:rsid w:val="00EE55DE"/>
    <w:rsid w:val="00EE5B7E"/>
    <w:rsid w:val="00EE6B70"/>
    <w:rsid w:val="00EE6D17"/>
    <w:rsid w:val="00EE752D"/>
    <w:rsid w:val="00EF1340"/>
    <w:rsid w:val="00EF1EAF"/>
    <w:rsid w:val="00EF2C28"/>
    <w:rsid w:val="00EF3121"/>
    <w:rsid w:val="00EF36CE"/>
    <w:rsid w:val="00EF3A42"/>
    <w:rsid w:val="00EF5238"/>
    <w:rsid w:val="00EF67DE"/>
    <w:rsid w:val="00EF6885"/>
    <w:rsid w:val="00EF78A2"/>
    <w:rsid w:val="00F000DA"/>
    <w:rsid w:val="00F00118"/>
    <w:rsid w:val="00F01F3E"/>
    <w:rsid w:val="00F02B5E"/>
    <w:rsid w:val="00F0325B"/>
    <w:rsid w:val="00F03912"/>
    <w:rsid w:val="00F03ED1"/>
    <w:rsid w:val="00F04FBE"/>
    <w:rsid w:val="00F06D3C"/>
    <w:rsid w:val="00F07124"/>
    <w:rsid w:val="00F07175"/>
    <w:rsid w:val="00F112D1"/>
    <w:rsid w:val="00F11786"/>
    <w:rsid w:val="00F117E9"/>
    <w:rsid w:val="00F123D2"/>
    <w:rsid w:val="00F12BF2"/>
    <w:rsid w:val="00F13B4C"/>
    <w:rsid w:val="00F14271"/>
    <w:rsid w:val="00F1470C"/>
    <w:rsid w:val="00F14A96"/>
    <w:rsid w:val="00F14BB3"/>
    <w:rsid w:val="00F14E9D"/>
    <w:rsid w:val="00F16DE1"/>
    <w:rsid w:val="00F21012"/>
    <w:rsid w:val="00F21F69"/>
    <w:rsid w:val="00F24EBE"/>
    <w:rsid w:val="00F25846"/>
    <w:rsid w:val="00F268B2"/>
    <w:rsid w:val="00F26A26"/>
    <w:rsid w:val="00F27610"/>
    <w:rsid w:val="00F27CD2"/>
    <w:rsid w:val="00F31396"/>
    <w:rsid w:val="00F328DF"/>
    <w:rsid w:val="00F33B22"/>
    <w:rsid w:val="00F33C40"/>
    <w:rsid w:val="00F34CB9"/>
    <w:rsid w:val="00F34D29"/>
    <w:rsid w:val="00F34FF2"/>
    <w:rsid w:val="00F352F7"/>
    <w:rsid w:val="00F35321"/>
    <w:rsid w:val="00F35D0B"/>
    <w:rsid w:val="00F36EE2"/>
    <w:rsid w:val="00F37240"/>
    <w:rsid w:val="00F37580"/>
    <w:rsid w:val="00F406C8"/>
    <w:rsid w:val="00F40C41"/>
    <w:rsid w:val="00F426E6"/>
    <w:rsid w:val="00F44502"/>
    <w:rsid w:val="00F459C7"/>
    <w:rsid w:val="00F459CD"/>
    <w:rsid w:val="00F47128"/>
    <w:rsid w:val="00F478CF"/>
    <w:rsid w:val="00F5064F"/>
    <w:rsid w:val="00F50F15"/>
    <w:rsid w:val="00F51623"/>
    <w:rsid w:val="00F51E03"/>
    <w:rsid w:val="00F52503"/>
    <w:rsid w:val="00F527CC"/>
    <w:rsid w:val="00F53060"/>
    <w:rsid w:val="00F53891"/>
    <w:rsid w:val="00F5396D"/>
    <w:rsid w:val="00F53ED5"/>
    <w:rsid w:val="00F544BC"/>
    <w:rsid w:val="00F564E4"/>
    <w:rsid w:val="00F571C6"/>
    <w:rsid w:val="00F60240"/>
    <w:rsid w:val="00F63AED"/>
    <w:rsid w:val="00F64B06"/>
    <w:rsid w:val="00F656DA"/>
    <w:rsid w:val="00F656EE"/>
    <w:rsid w:val="00F676C0"/>
    <w:rsid w:val="00F71356"/>
    <w:rsid w:val="00F71799"/>
    <w:rsid w:val="00F71846"/>
    <w:rsid w:val="00F73711"/>
    <w:rsid w:val="00F73B04"/>
    <w:rsid w:val="00F73E59"/>
    <w:rsid w:val="00F74314"/>
    <w:rsid w:val="00F748BB"/>
    <w:rsid w:val="00F75BBB"/>
    <w:rsid w:val="00F76388"/>
    <w:rsid w:val="00F76854"/>
    <w:rsid w:val="00F76B0E"/>
    <w:rsid w:val="00F77551"/>
    <w:rsid w:val="00F7760A"/>
    <w:rsid w:val="00F77785"/>
    <w:rsid w:val="00F779BF"/>
    <w:rsid w:val="00F811D1"/>
    <w:rsid w:val="00F814F1"/>
    <w:rsid w:val="00F8158A"/>
    <w:rsid w:val="00F81BD2"/>
    <w:rsid w:val="00F8207B"/>
    <w:rsid w:val="00F82493"/>
    <w:rsid w:val="00F8263C"/>
    <w:rsid w:val="00F82CF7"/>
    <w:rsid w:val="00F82DE5"/>
    <w:rsid w:val="00F82E64"/>
    <w:rsid w:val="00F82E7E"/>
    <w:rsid w:val="00F83A92"/>
    <w:rsid w:val="00F84CA6"/>
    <w:rsid w:val="00F84E76"/>
    <w:rsid w:val="00F86645"/>
    <w:rsid w:val="00F87278"/>
    <w:rsid w:val="00F90E43"/>
    <w:rsid w:val="00F91183"/>
    <w:rsid w:val="00F914DF"/>
    <w:rsid w:val="00F92399"/>
    <w:rsid w:val="00F94B01"/>
    <w:rsid w:val="00F94DE2"/>
    <w:rsid w:val="00F9536D"/>
    <w:rsid w:val="00F955F4"/>
    <w:rsid w:val="00F964A2"/>
    <w:rsid w:val="00F9658C"/>
    <w:rsid w:val="00F96D64"/>
    <w:rsid w:val="00F96FD5"/>
    <w:rsid w:val="00F9724C"/>
    <w:rsid w:val="00F97C44"/>
    <w:rsid w:val="00FA2854"/>
    <w:rsid w:val="00FA2E34"/>
    <w:rsid w:val="00FA3A24"/>
    <w:rsid w:val="00FA3DEA"/>
    <w:rsid w:val="00FA4ECD"/>
    <w:rsid w:val="00FA5A75"/>
    <w:rsid w:val="00FA6F79"/>
    <w:rsid w:val="00FB05DF"/>
    <w:rsid w:val="00FB11AE"/>
    <w:rsid w:val="00FB1BC8"/>
    <w:rsid w:val="00FB2347"/>
    <w:rsid w:val="00FB2DEF"/>
    <w:rsid w:val="00FB3545"/>
    <w:rsid w:val="00FB3B01"/>
    <w:rsid w:val="00FB3C97"/>
    <w:rsid w:val="00FB5ABE"/>
    <w:rsid w:val="00FB5B81"/>
    <w:rsid w:val="00FB64C4"/>
    <w:rsid w:val="00FB69E0"/>
    <w:rsid w:val="00FB77E2"/>
    <w:rsid w:val="00FC11B2"/>
    <w:rsid w:val="00FC12F9"/>
    <w:rsid w:val="00FC1E63"/>
    <w:rsid w:val="00FC20CA"/>
    <w:rsid w:val="00FC2A53"/>
    <w:rsid w:val="00FC2D54"/>
    <w:rsid w:val="00FC2F77"/>
    <w:rsid w:val="00FC3BB3"/>
    <w:rsid w:val="00FC3CFB"/>
    <w:rsid w:val="00FC47A9"/>
    <w:rsid w:val="00FC4C3F"/>
    <w:rsid w:val="00FC4D96"/>
    <w:rsid w:val="00FC515B"/>
    <w:rsid w:val="00FC54BB"/>
    <w:rsid w:val="00FC631F"/>
    <w:rsid w:val="00FC6B5F"/>
    <w:rsid w:val="00FC6C5F"/>
    <w:rsid w:val="00FC7A37"/>
    <w:rsid w:val="00FC7CF7"/>
    <w:rsid w:val="00FD0436"/>
    <w:rsid w:val="00FD097D"/>
    <w:rsid w:val="00FD1085"/>
    <w:rsid w:val="00FD11AE"/>
    <w:rsid w:val="00FD1E66"/>
    <w:rsid w:val="00FD294F"/>
    <w:rsid w:val="00FD29CB"/>
    <w:rsid w:val="00FD4426"/>
    <w:rsid w:val="00FD4659"/>
    <w:rsid w:val="00FD5EC2"/>
    <w:rsid w:val="00FD6364"/>
    <w:rsid w:val="00FE0562"/>
    <w:rsid w:val="00FE0C5D"/>
    <w:rsid w:val="00FE2575"/>
    <w:rsid w:val="00FE3E04"/>
    <w:rsid w:val="00FE4D80"/>
    <w:rsid w:val="00FE4E92"/>
    <w:rsid w:val="00FE6782"/>
    <w:rsid w:val="00FE7429"/>
    <w:rsid w:val="00FE75E5"/>
    <w:rsid w:val="00FF195C"/>
    <w:rsid w:val="00FF227A"/>
    <w:rsid w:val="00FF28EB"/>
    <w:rsid w:val="00FF4002"/>
    <w:rsid w:val="00FF4251"/>
    <w:rsid w:val="00FF5043"/>
    <w:rsid w:val="00FF55D4"/>
    <w:rsid w:val="00FF572E"/>
    <w:rsid w:val="00FF577F"/>
    <w:rsid w:val="00FF7A0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69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6A"/>
  </w:style>
  <w:style w:type="paragraph" w:styleId="Ttulo1">
    <w:name w:val="heading 1"/>
    <w:basedOn w:val="Normal"/>
    <w:link w:val="Ttulo1Carter"/>
    <w:uiPriority w:val="9"/>
    <w:qFormat/>
    <w:rsid w:val="003A00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4C6DD6"/>
  </w:style>
  <w:style w:type="character" w:customStyle="1" w:styleId="highlight">
    <w:name w:val="highlight"/>
    <w:basedOn w:val="Tipodeletrapredefinidodopargrafo"/>
    <w:rsid w:val="004C6DD6"/>
  </w:style>
  <w:style w:type="paragraph" w:styleId="Textodebalo">
    <w:name w:val="Balloon Text"/>
    <w:basedOn w:val="Normal"/>
    <w:link w:val="TextodebaloCarter"/>
    <w:uiPriority w:val="99"/>
    <w:semiHidden/>
    <w:unhideWhenUsed/>
    <w:rsid w:val="004C6DD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4C6DD6"/>
    <w:rPr>
      <w:rFonts w:ascii="Tahoma" w:hAnsi="Tahoma" w:cs="Tahoma"/>
      <w:sz w:val="16"/>
      <w:szCs w:val="16"/>
    </w:rPr>
  </w:style>
  <w:style w:type="character" w:styleId="Refdecomentrio">
    <w:name w:val="annotation reference"/>
    <w:basedOn w:val="Tipodeletrapredefinidodopargrafo"/>
    <w:uiPriority w:val="99"/>
    <w:semiHidden/>
    <w:unhideWhenUsed/>
    <w:rsid w:val="008B247E"/>
    <w:rPr>
      <w:sz w:val="18"/>
      <w:szCs w:val="18"/>
    </w:rPr>
  </w:style>
  <w:style w:type="paragraph" w:styleId="Textodecomentrio">
    <w:name w:val="annotation text"/>
    <w:basedOn w:val="Normal"/>
    <w:link w:val="TextodecomentrioCarter"/>
    <w:uiPriority w:val="99"/>
    <w:unhideWhenUsed/>
    <w:rsid w:val="008B247E"/>
    <w:pPr>
      <w:spacing w:line="240" w:lineRule="auto"/>
    </w:pPr>
    <w:rPr>
      <w:sz w:val="24"/>
      <w:szCs w:val="24"/>
    </w:rPr>
  </w:style>
  <w:style w:type="character" w:customStyle="1" w:styleId="TextodecomentrioCarter">
    <w:name w:val="Texto de comentário Caráter"/>
    <w:basedOn w:val="Tipodeletrapredefinidodopargrafo"/>
    <w:link w:val="Textodecomentrio"/>
    <w:uiPriority w:val="99"/>
    <w:rsid w:val="008B247E"/>
    <w:rPr>
      <w:sz w:val="24"/>
      <w:szCs w:val="24"/>
    </w:rPr>
  </w:style>
  <w:style w:type="paragraph" w:styleId="PargrafodaLista">
    <w:name w:val="List Paragraph"/>
    <w:basedOn w:val="Normal"/>
    <w:uiPriority w:val="34"/>
    <w:qFormat/>
    <w:rsid w:val="00270977"/>
    <w:pPr>
      <w:ind w:left="720"/>
      <w:contextualSpacing/>
    </w:pPr>
  </w:style>
  <w:style w:type="paragraph" w:styleId="Assuntodecomentrio">
    <w:name w:val="annotation subject"/>
    <w:basedOn w:val="Textodecomentrio"/>
    <w:next w:val="Textodecomentrio"/>
    <w:link w:val="AssuntodecomentrioCarter"/>
    <w:uiPriority w:val="99"/>
    <w:semiHidden/>
    <w:unhideWhenUsed/>
    <w:rsid w:val="007043CE"/>
    <w:rPr>
      <w:b/>
      <w:bCs/>
      <w:sz w:val="20"/>
      <w:szCs w:val="20"/>
    </w:rPr>
  </w:style>
  <w:style w:type="character" w:customStyle="1" w:styleId="AssuntodecomentrioCarter">
    <w:name w:val="Assunto de comentário Caráter"/>
    <w:basedOn w:val="TextodecomentrioCarter"/>
    <w:link w:val="Assuntodecomentrio"/>
    <w:uiPriority w:val="99"/>
    <w:semiHidden/>
    <w:rsid w:val="007043CE"/>
    <w:rPr>
      <w:b/>
      <w:bCs/>
      <w:sz w:val="20"/>
      <w:szCs w:val="20"/>
    </w:rPr>
  </w:style>
  <w:style w:type="paragraph" w:styleId="Cabealho">
    <w:name w:val="header"/>
    <w:basedOn w:val="Normal"/>
    <w:link w:val="CabealhoCarter"/>
    <w:uiPriority w:val="99"/>
    <w:unhideWhenUsed/>
    <w:rsid w:val="00AA595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A5955"/>
  </w:style>
  <w:style w:type="paragraph" w:styleId="Rodap">
    <w:name w:val="footer"/>
    <w:basedOn w:val="Normal"/>
    <w:link w:val="RodapCarter"/>
    <w:uiPriority w:val="99"/>
    <w:unhideWhenUsed/>
    <w:rsid w:val="00AA595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A5955"/>
  </w:style>
  <w:style w:type="paragraph" w:styleId="Reviso">
    <w:name w:val="Revision"/>
    <w:hidden/>
    <w:uiPriority w:val="99"/>
    <w:semiHidden/>
    <w:rsid w:val="008F5FE0"/>
    <w:pPr>
      <w:spacing w:after="0" w:line="240" w:lineRule="auto"/>
    </w:pPr>
  </w:style>
  <w:style w:type="character" w:styleId="Hiperligao">
    <w:name w:val="Hyperlink"/>
    <w:basedOn w:val="Tipodeletrapredefinidodopargrafo"/>
    <w:uiPriority w:val="99"/>
    <w:unhideWhenUsed/>
    <w:rsid w:val="008E387F"/>
    <w:rPr>
      <w:color w:val="0000FF"/>
      <w:u w:val="single"/>
    </w:rPr>
  </w:style>
  <w:style w:type="character" w:customStyle="1" w:styleId="Ttulo1Carter">
    <w:name w:val="Título 1 Caráter"/>
    <w:basedOn w:val="Tipodeletrapredefinidodopargrafo"/>
    <w:link w:val="Ttulo1"/>
    <w:uiPriority w:val="9"/>
    <w:rsid w:val="003A0028"/>
    <w:rPr>
      <w:rFonts w:ascii="Times New Roman" w:eastAsia="Times New Roman" w:hAnsi="Times New Roman" w:cs="Times New Roman"/>
      <w:b/>
      <w:bCs/>
      <w:kern w:val="36"/>
      <w:sz w:val="48"/>
      <w:szCs w:val="48"/>
      <w:lang w:eastAsia="pt-PT"/>
    </w:rPr>
  </w:style>
  <w:style w:type="character" w:customStyle="1" w:styleId="jrnl">
    <w:name w:val="jrnl"/>
    <w:basedOn w:val="Tipodeletrapredefinidodopargrafo"/>
    <w:rsid w:val="00A55122"/>
  </w:style>
  <w:style w:type="paragraph" w:customStyle="1" w:styleId="Ttulo10">
    <w:name w:val="Título1"/>
    <w:basedOn w:val="Normal"/>
    <w:rsid w:val="00A65F0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sc">
    <w:name w:val="desc"/>
    <w:basedOn w:val="Normal"/>
    <w:rsid w:val="00A65F0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tails">
    <w:name w:val="details"/>
    <w:basedOn w:val="Normal"/>
    <w:rsid w:val="00A65F0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links">
    <w:name w:val="links"/>
    <w:basedOn w:val="Normal"/>
    <w:rsid w:val="00A65F0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Textodenotaderodap">
    <w:name w:val="footnote text"/>
    <w:basedOn w:val="Normal"/>
    <w:link w:val="TextodenotaderodapCarter"/>
    <w:uiPriority w:val="99"/>
    <w:unhideWhenUsed/>
    <w:rsid w:val="00956E28"/>
    <w:pPr>
      <w:spacing w:after="0" w:line="240" w:lineRule="auto"/>
    </w:pPr>
    <w:rPr>
      <w:sz w:val="24"/>
      <w:szCs w:val="24"/>
    </w:rPr>
  </w:style>
  <w:style w:type="character" w:customStyle="1" w:styleId="TextodenotaderodapCarter">
    <w:name w:val="Texto de nota de rodapé Caráter"/>
    <w:basedOn w:val="Tipodeletrapredefinidodopargrafo"/>
    <w:link w:val="Textodenotaderodap"/>
    <w:uiPriority w:val="99"/>
    <w:rsid w:val="00956E28"/>
    <w:rPr>
      <w:sz w:val="24"/>
      <w:szCs w:val="24"/>
    </w:rPr>
  </w:style>
  <w:style w:type="character" w:styleId="Refdenotaderodap">
    <w:name w:val="footnote reference"/>
    <w:basedOn w:val="Tipodeletrapredefinidodopargrafo"/>
    <w:uiPriority w:val="99"/>
    <w:unhideWhenUsed/>
    <w:rsid w:val="00956E28"/>
    <w:rPr>
      <w:vertAlign w:val="superscript"/>
    </w:rPr>
  </w:style>
  <w:style w:type="character" w:customStyle="1" w:styleId="MenoNoResolvida1">
    <w:name w:val="Menção Não Resolvida1"/>
    <w:basedOn w:val="Tipodeletrapredefinidodopargrafo"/>
    <w:uiPriority w:val="99"/>
    <w:rsid w:val="00C32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2780">
      <w:bodyDiv w:val="1"/>
      <w:marLeft w:val="0"/>
      <w:marRight w:val="0"/>
      <w:marTop w:val="0"/>
      <w:marBottom w:val="0"/>
      <w:divBdr>
        <w:top w:val="none" w:sz="0" w:space="0" w:color="auto"/>
        <w:left w:val="none" w:sz="0" w:space="0" w:color="auto"/>
        <w:bottom w:val="none" w:sz="0" w:space="0" w:color="auto"/>
        <w:right w:val="none" w:sz="0" w:space="0" w:color="auto"/>
      </w:divBdr>
    </w:div>
    <w:div w:id="110786666">
      <w:bodyDiv w:val="1"/>
      <w:marLeft w:val="0"/>
      <w:marRight w:val="0"/>
      <w:marTop w:val="0"/>
      <w:marBottom w:val="0"/>
      <w:divBdr>
        <w:top w:val="none" w:sz="0" w:space="0" w:color="auto"/>
        <w:left w:val="none" w:sz="0" w:space="0" w:color="auto"/>
        <w:bottom w:val="none" w:sz="0" w:space="0" w:color="auto"/>
        <w:right w:val="none" w:sz="0" w:space="0" w:color="auto"/>
      </w:divBdr>
    </w:div>
    <w:div w:id="197086249">
      <w:bodyDiv w:val="1"/>
      <w:marLeft w:val="0"/>
      <w:marRight w:val="0"/>
      <w:marTop w:val="0"/>
      <w:marBottom w:val="0"/>
      <w:divBdr>
        <w:top w:val="none" w:sz="0" w:space="0" w:color="auto"/>
        <w:left w:val="none" w:sz="0" w:space="0" w:color="auto"/>
        <w:bottom w:val="none" w:sz="0" w:space="0" w:color="auto"/>
        <w:right w:val="none" w:sz="0" w:space="0" w:color="auto"/>
      </w:divBdr>
    </w:div>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284434108">
      <w:bodyDiv w:val="1"/>
      <w:marLeft w:val="0"/>
      <w:marRight w:val="0"/>
      <w:marTop w:val="0"/>
      <w:marBottom w:val="0"/>
      <w:divBdr>
        <w:top w:val="none" w:sz="0" w:space="0" w:color="auto"/>
        <w:left w:val="none" w:sz="0" w:space="0" w:color="auto"/>
        <w:bottom w:val="none" w:sz="0" w:space="0" w:color="auto"/>
        <w:right w:val="none" w:sz="0" w:space="0" w:color="auto"/>
      </w:divBdr>
    </w:div>
    <w:div w:id="311760673">
      <w:bodyDiv w:val="1"/>
      <w:marLeft w:val="0"/>
      <w:marRight w:val="0"/>
      <w:marTop w:val="0"/>
      <w:marBottom w:val="0"/>
      <w:divBdr>
        <w:top w:val="none" w:sz="0" w:space="0" w:color="auto"/>
        <w:left w:val="none" w:sz="0" w:space="0" w:color="auto"/>
        <w:bottom w:val="none" w:sz="0" w:space="0" w:color="auto"/>
        <w:right w:val="none" w:sz="0" w:space="0" w:color="auto"/>
      </w:divBdr>
    </w:div>
    <w:div w:id="330303853">
      <w:bodyDiv w:val="1"/>
      <w:marLeft w:val="0"/>
      <w:marRight w:val="0"/>
      <w:marTop w:val="0"/>
      <w:marBottom w:val="0"/>
      <w:divBdr>
        <w:top w:val="none" w:sz="0" w:space="0" w:color="auto"/>
        <w:left w:val="none" w:sz="0" w:space="0" w:color="auto"/>
        <w:bottom w:val="none" w:sz="0" w:space="0" w:color="auto"/>
        <w:right w:val="none" w:sz="0" w:space="0" w:color="auto"/>
      </w:divBdr>
      <w:divsChild>
        <w:div w:id="438180733">
          <w:marLeft w:val="0"/>
          <w:marRight w:val="0"/>
          <w:marTop w:val="0"/>
          <w:marBottom w:val="0"/>
          <w:divBdr>
            <w:top w:val="none" w:sz="0" w:space="0" w:color="auto"/>
            <w:left w:val="none" w:sz="0" w:space="0" w:color="auto"/>
            <w:bottom w:val="none" w:sz="0" w:space="0" w:color="auto"/>
            <w:right w:val="none" w:sz="0" w:space="0" w:color="auto"/>
          </w:divBdr>
        </w:div>
      </w:divsChild>
    </w:div>
    <w:div w:id="367532220">
      <w:bodyDiv w:val="1"/>
      <w:marLeft w:val="0"/>
      <w:marRight w:val="0"/>
      <w:marTop w:val="0"/>
      <w:marBottom w:val="0"/>
      <w:divBdr>
        <w:top w:val="none" w:sz="0" w:space="0" w:color="auto"/>
        <w:left w:val="none" w:sz="0" w:space="0" w:color="auto"/>
        <w:bottom w:val="none" w:sz="0" w:space="0" w:color="auto"/>
        <w:right w:val="none" w:sz="0" w:space="0" w:color="auto"/>
      </w:divBdr>
    </w:div>
    <w:div w:id="419058160">
      <w:bodyDiv w:val="1"/>
      <w:marLeft w:val="0"/>
      <w:marRight w:val="0"/>
      <w:marTop w:val="0"/>
      <w:marBottom w:val="0"/>
      <w:divBdr>
        <w:top w:val="none" w:sz="0" w:space="0" w:color="auto"/>
        <w:left w:val="none" w:sz="0" w:space="0" w:color="auto"/>
        <w:bottom w:val="none" w:sz="0" w:space="0" w:color="auto"/>
        <w:right w:val="none" w:sz="0" w:space="0" w:color="auto"/>
      </w:divBdr>
    </w:div>
    <w:div w:id="436633585">
      <w:bodyDiv w:val="1"/>
      <w:marLeft w:val="0"/>
      <w:marRight w:val="0"/>
      <w:marTop w:val="0"/>
      <w:marBottom w:val="0"/>
      <w:divBdr>
        <w:top w:val="none" w:sz="0" w:space="0" w:color="auto"/>
        <w:left w:val="none" w:sz="0" w:space="0" w:color="auto"/>
        <w:bottom w:val="none" w:sz="0" w:space="0" w:color="auto"/>
        <w:right w:val="none" w:sz="0" w:space="0" w:color="auto"/>
      </w:divBdr>
    </w:div>
    <w:div w:id="466553034">
      <w:bodyDiv w:val="1"/>
      <w:marLeft w:val="0"/>
      <w:marRight w:val="0"/>
      <w:marTop w:val="0"/>
      <w:marBottom w:val="0"/>
      <w:divBdr>
        <w:top w:val="none" w:sz="0" w:space="0" w:color="auto"/>
        <w:left w:val="none" w:sz="0" w:space="0" w:color="auto"/>
        <w:bottom w:val="none" w:sz="0" w:space="0" w:color="auto"/>
        <w:right w:val="none" w:sz="0" w:space="0" w:color="auto"/>
      </w:divBdr>
      <w:divsChild>
        <w:div w:id="374740512">
          <w:marLeft w:val="0"/>
          <w:marRight w:val="0"/>
          <w:marTop w:val="0"/>
          <w:marBottom w:val="0"/>
          <w:divBdr>
            <w:top w:val="none" w:sz="0" w:space="0" w:color="auto"/>
            <w:left w:val="none" w:sz="0" w:space="0" w:color="auto"/>
            <w:bottom w:val="none" w:sz="0" w:space="0" w:color="auto"/>
            <w:right w:val="none" w:sz="0" w:space="0" w:color="auto"/>
          </w:divBdr>
          <w:divsChild>
            <w:div w:id="10836875">
              <w:marLeft w:val="0"/>
              <w:marRight w:val="0"/>
              <w:marTop w:val="0"/>
              <w:marBottom w:val="0"/>
              <w:divBdr>
                <w:top w:val="none" w:sz="0" w:space="0" w:color="auto"/>
                <w:left w:val="none" w:sz="0" w:space="0" w:color="auto"/>
                <w:bottom w:val="none" w:sz="0" w:space="0" w:color="auto"/>
                <w:right w:val="none" w:sz="0" w:space="0" w:color="auto"/>
              </w:divBdr>
              <w:divsChild>
                <w:div w:id="1170681849">
                  <w:marLeft w:val="0"/>
                  <w:marRight w:val="0"/>
                  <w:marTop w:val="0"/>
                  <w:marBottom w:val="0"/>
                  <w:divBdr>
                    <w:top w:val="none" w:sz="0" w:space="0" w:color="auto"/>
                    <w:left w:val="none" w:sz="0" w:space="0" w:color="auto"/>
                    <w:bottom w:val="none" w:sz="0" w:space="0" w:color="auto"/>
                    <w:right w:val="none" w:sz="0" w:space="0" w:color="auto"/>
                  </w:divBdr>
                </w:div>
                <w:div w:id="1620917933">
                  <w:marLeft w:val="0"/>
                  <w:marRight w:val="0"/>
                  <w:marTop w:val="0"/>
                  <w:marBottom w:val="0"/>
                  <w:divBdr>
                    <w:top w:val="none" w:sz="0" w:space="0" w:color="auto"/>
                    <w:left w:val="none" w:sz="0" w:space="0" w:color="auto"/>
                    <w:bottom w:val="none" w:sz="0" w:space="0" w:color="auto"/>
                    <w:right w:val="none" w:sz="0" w:space="0" w:color="auto"/>
                  </w:divBdr>
                  <w:divsChild>
                    <w:div w:id="1294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21345">
          <w:marLeft w:val="0"/>
          <w:marRight w:val="0"/>
          <w:marTop w:val="0"/>
          <w:marBottom w:val="0"/>
          <w:divBdr>
            <w:top w:val="none" w:sz="0" w:space="0" w:color="auto"/>
            <w:left w:val="none" w:sz="0" w:space="0" w:color="auto"/>
            <w:bottom w:val="none" w:sz="0" w:space="0" w:color="auto"/>
            <w:right w:val="none" w:sz="0" w:space="0" w:color="auto"/>
          </w:divBdr>
          <w:divsChild>
            <w:div w:id="688137944">
              <w:marLeft w:val="0"/>
              <w:marRight w:val="0"/>
              <w:marTop w:val="0"/>
              <w:marBottom w:val="0"/>
              <w:divBdr>
                <w:top w:val="none" w:sz="0" w:space="0" w:color="auto"/>
                <w:left w:val="none" w:sz="0" w:space="0" w:color="auto"/>
                <w:bottom w:val="none" w:sz="0" w:space="0" w:color="auto"/>
                <w:right w:val="none" w:sz="0" w:space="0" w:color="auto"/>
              </w:divBdr>
              <w:divsChild>
                <w:div w:id="978999822">
                  <w:marLeft w:val="0"/>
                  <w:marRight w:val="0"/>
                  <w:marTop w:val="0"/>
                  <w:marBottom w:val="0"/>
                  <w:divBdr>
                    <w:top w:val="none" w:sz="0" w:space="0" w:color="auto"/>
                    <w:left w:val="none" w:sz="0" w:space="0" w:color="auto"/>
                    <w:bottom w:val="none" w:sz="0" w:space="0" w:color="auto"/>
                    <w:right w:val="none" w:sz="0" w:space="0" w:color="auto"/>
                  </w:divBdr>
                </w:div>
                <w:div w:id="2105414638">
                  <w:marLeft w:val="0"/>
                  <w:marRight w:val="0"/>
                  <w:marTop w:val="0"/>
                  <w:marBottom w:val="0"/>
                  <w:divBdr>
                    <w:top w:val="none" w:sz="0" w:space="0" w:color="auto"/>
                    <w:left w:val="none" w:sz="0" w:space="0" w:color="auto"/>
                    <w:bottom w:val="none" w:sz="0" w:space="0" w:color="auto"/>
                    <w:right w:val="none" w:sz="0" w:space="0" w:color="auto"/>
                  </w:divBdr>
                  <w:divsChild>
                    <w:div w:id="20428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280">
      <w:bodyDiv w:val="1"/>
      <w:marLeft w:val="0"/>
      <w:marRight w:val="0"/>
      <w:marTop w:val="0"/>
      <w:marBottom w:val="0"/>
      <w:divBdr>
        <w:top w:val="none" w:sz="0" w:space="0" w:color="auto"/>
        <w:left w:val="none" w:sz="0" w:space="0" w:color="auto"/>
        <w:bottom w:val="none" w:sz="0" w:space="0" w:color="auto"/>
        <w:right w:val="none" w:sz="0" w:space="0" w:color="auto"/>
      </w:divBdr>
    </w:div>
    <w:div w:id="514659208">
      <w:bodyDiv w:val="1"/>
      <w:marLeft w:val="0"/>
      <w:marRight w:val="0"/>
      <w:marTop w:val="0"/>
      <w:marBottom w:val="0"/>
      <w:divBdr>
        <w:top w:val="none" w:sz="0" w:space="0" w:color="auto"/>
        <w:left w:val="none" w:sz="0" w:space="0" w:color="auto"/>
        <w:bottom w:val="none" w:sz="0" w:space="0" w:color="auto"/>
        <w:right w:val="none" w:sz="0" w:space="0" w:color="auto"/>
      </w:divBdr>
    </w:div>
    <w:div w:id="578369727">
      <w:bodyDiv w:val="1"/>
      <w:marLeft w:val="0"/>
      <w:marRight w:val="0"/>
      <w:marTop w:val="0"/>
      <w:marBottom w:val="0"/>
      <w:divBdr>
        <w:top w:val="none" w:sz="0" w:space="0" w:color="auto"/>
        <w:left w:val="none" w:sz="0" w:space="0" w:color="auto"/>
        <w:bottom w:val="none" w:sz="0" w:space="0" w:color="auto"/>
        <w:right w:val="none" w:sz="0" w:space="0" w:color="auto"/>
      </w:divBdr>
    </w:div>
    <w:div w:id="634484733">
      <w:bodyDiv w:val="1"/>
      <w:marLeft w:val="0"/>
      <w:marRight w:val="0"/>
      <w:marTop w:val="0"/>
      <w:marBottom w:val="0"/>
      <w:divBdr>
        <w:top w:val="none" w:sz="0" w:space="0" w:color="auto"/>
        <w:left w:val="none" w:sz="0" w:space="0" w:color="auto"/>
        <w:bottom w:val="none" w:sz="0" w:space="0" w:color="auto"/>
        <w:right w:val="none" w:sz="0" w:space="0" w:color="auto"/>
      </w:divBdr>
    </w:div>
    <w:div w:id="687407594">
      <w:bodyDiv w:val="1"/>
      <w:marLeft w:val="0"/>
      <w:marRight w:val="0"/>
      <w:marTop w:val="0"/>
      <w:marBottom w:val="0"/>
      <w:divBdr>
        <w:top w:val="none" w:sz="0" w:space="0" w:color="auto"/>
        <w:left w:val="none" w:sz="0" w:space="0" w:color="auto"/>
        <w:bottom w:val="none" w:sz="0" w:space="0" w:color="auto"/>
        <w:right w:val="none" w:sz="0" w:space="0" w:color="auto"/>
      </w:divBdr>
    </w:div>
    <w:div w:id="720325827">
      <w:bodyDiv w:val="1"/>
      <w:marLeft w:val="0"/>
      <w:marRight w:val="0"/>
      <w:marTop w:val="0"/>
      <w:marBottom w:val="0"/>
      <w:divBdr>
        <w:top w:val="none" w:sz="0" w:space="0" w:color="auto"/>
        <w:left w:val="none" w:sz="0" w:space="0" w:color="auto"/>
        <w:bottom w:val="none" w:sz="0" w:space="0" w:color="auto"/>
        <w:right w:val="none" w:sz="0" w:space="0" w:color="auto"/>
      </w:divBdr>
    </w:div>
    <w:div w:id="728041341">
      <w:bodyDiv w:val="1"/>
      <w:marLeft w:val="0"/>
      <w:marRight w:val="0"/>
      <w:marTop w:val="0"/>
      <w:marBottom w:val="0"/>
      <w:divBdr>
        <w:top w:val="none" w:sz="0" w:space="0" w:color="auto"/>
        <w:left w:val="none" w:sz="0" w:space="0" w:color="auto"/>
        <w:bottom w:val="none" w:sz="0" w:space="0" w:color="auto"/>
        <w:right w:val="none" w:sz="0" w:space="0" w:color="auto"/>
      </w:divBdr>
    </w:div>
    <w:div w:id="855581258">
      <w:bodyDiv w:val="1"/>
      <w:marLeft w:val="0"/>
      <w:marRight w:val="0"/>
      <w:marTop w:val="0"/>
      <w:marBottom w:val="0"/>
      <w:divBdr>
        <w:top w:val="none" w:sz="0" w:space="0" w:color="auto"/>
        <w:left w:val="none" w:sz="0" w:space="0" w:color="auto"/>
        <w:bottom w:val="none" w:sz="0" w:space="0" w:color="auto"/>
        <w:right w:val="none" w:sz="0" w:space="0" w:color="auto"/>
      </w:divBdr>
    </w:div>
    <w:div w:id="898324361">
      <w:bodyDiv w:val="1"/>
      <w:marLeft w:val="0"/>
      <w:marRight w:val="0"/>
      <w:marTop w:val="0"/>
      <w:marBottom w:val="0"/>
      <w:divBdr>
        <w:top w:val="none" w:sz="0" w:space="0" w:color="auto"/>
        <w:left w:val="none" w:sz="0" w:space="0" w:color="auto"/>
        <w:bottom w:val="none" w:sz="0" w:space="0" w:color="auto"/>
        <w:right w:val="none" w:sz="0" w:space="0" w:color="auto"/>
      </w:divBdr>
    </w:div>
    <w:div w:id="982471348">
      <w:bodyDiv w:val="1"/>
      <w:marLeft w:val="0"/>
      <w:marRight w:val="0"/>
      <w:marTop w:val="0"/>
      <w:marBottom w:val="0"/>
      <w:divBdr>
        <w:top w:val="none" w:sz="0" w:space="0" w:color="auto"/>
        <w:left w:val="none" w:sz="0" w:space="0" w:color="auto"/>
        <w:bottom w:val="none" w:sz="0" w:space="0" w:color="auto"/>
        <w:right w:val="none" w:sz="0" w:space="0" w:color="auto"/>
      </w:divBdr>
    </w:div>
    <w:div w:id="1014188991">
      <w:bodyDiv w:val="1"/>
      <w:marLeft w:val="0"/>
      <w:marRight w:val="0"/>
      <w:marTop w:val="0"/>
      <w:marBottom w:val="0"/>
      <w:divBdr>
        <w:top w:val="none" w:sz="0" w:space="0" w:color="auto"/>
        <w:left w:val="none" w:sz="0" w:space="0" w:color="auto"/>
        <w:bottom w:val="none" w:sz="0" w:space="0" w:color="auto"/>
        <w:right w:val="none" w:sz="0" w:space="0" w:color="auto"/>
      </w:divBdr>
    </w:div>
    <w:div w:id="1152672655">
      <w:bodyDiv w:val="1"/>
      <w:marLeft w:val="0"/>
      <w:marRight w:val="0"/>
      <w:marTop w:val="0"/>
      <w:marBottom w:val="0"/>
      <w:divBdr>
        <w:top w:val="none" w:sz="0" w:space="0" w:color="auto"/>
        <w:left w:val="none" w:sz="0" w:space="0" w:color="auto"/>
        <w:bottom w:val="none" w:sz="0" w:space="0" w:color="auto"/>
        <w:right w:val="none" w:sz="0" w:space="0" w:color="auto"/>
      </w:divBdr>
    </w:div>
    <w:div w:id="1311055841">
      <w:bodyDiv w:val="1"/>
      <w:marLeft w:val="0"/>
      <w:marRight w:val="0"/>
      <w:marTop w:val="0"/>
      <w:marBottom w:val="0"/>
      <w:divBdr>
        <w:top w:val="none" w:sz="0" w:space="0" w:color="auto"/>
        <w:left w:val="none" w:sz="0" w:space="0" w:color="auto"/>
        <w:bottom w:val="none" w:sz="0" w:space="0" w:color="auto"/>
        <w:right w:val="none" w:sz="0" w:space="0" w:color="auto"/>
      </w:divBdr>
    </w:div>
    <w:div w:id="1428116769">
      <w:bodyDiv w:val="1"/>
      <w:marLeft w:val="0"/>
      <w:marRight w:val="0"/>
      <w:marTop w:val="0"/>
      <w:marBottom w:val="0"/>
      <w:divBdr>
        <w:top w:val="none" w:sz="0" w:space="0" w:color="auto"/>
        <w:left w:val="none" w:sz="0" w:space="0" w:color="auto"/>
        <w:bottom w:val="none" w:sz="0" w:space="0" w:color="auto"/>
        <w:right w:val="none" w:sz="0" w:space="0" w:color="auto"/>
      </w:divBdr>
    </w:div>
    <w:div w:id="1601448853">
      <w:bodyDiv w:val="1"/>
      <w:marLeft w:val="0"/>
      <w:marRight w:val="0"/>
      <w:marTop w:val="0"/>
      <w:marBottom w:val="0"/>
      <w:divBdr>
        <w:top w:val="none" w:sz="0" w:space="0" w:color="auto"/>
        <w:left w:val="none" w:sz="0" w:space="0" w:color="auto"/>
        <w:bottom w:val="none" w:sz="0" w:space="0" w:color="auto"/>
        <w:right w:val="none" w:sz="0" w:space="0" w:color="auto"/>
      </w:divBdr>
      <w:divsChild>
        <w:div w:id="323901586">
          <w:marLeft w:val="0"/>
          <w:marRight w:val="0"/>
          <w:marTop w:val="0"/>
          <w:marBottom w:val="0"/>
          <w:divBdr>
            <w:top w:val="none" w:sz="0" w:space="0" w:color="auto"/>
            <w:left w:val="none" w:sz="0" w:space="0" w:color="auto"/>
            <w:bottom w:val="none" w:sz="0" w:space="0" w:color="auto"/>
            <w:right w:val="none" w:sz="0" w:space="0" w:color="auto"/>
          </w:divBdr>
          <w:divsChild>
            <w:div w:id="501551763">
              <w:marLeft w:val="0"/>
              <w:marRight w:val="0"/>
              <w:marTop w:val="0"/>
              <w:marBottom w:val="0"/>
              <w:divBdr>
                <w:top w:val="none" w:sz="0" w:space="0" w:color="auto"/>
                <w:left w:val="none" w:sz="0" w:space="0" w:color="auto"/>
                <w:bottom w:val="none" w:sz="0" w:space="0" w:color="auto"/>
                <w:right w:val="none" w:sz="0" w:space="0" w:color="auto"/>
              </w:divBdr>
              <w:divsChild>
                <w:div w:id="789738965">
                  <w:marLeft w:val="0"/>
                  <w:marRight w:val="0"/>
                  <w:marTop w:val="0"/>
                  <w:marBottom w:val="0"/>
                  <w:divBdr>
                    <w:top w:val="none" w:sz="0" w:space="0" w:color="auto"/>
                    <w:left w:val="none" w:sz="0" w:space="0" w:color="auto"/>
                    <w:bottom w:val="none" w:sz="0" w:space="0" w:color="auto"/>
                    <w:right w:val="none" w:sz="0" w:space="0" w:color="auto"/>
                  </w:divBdr>
                  <w:divsChild>
                    <w:div w:id="1839879275">
                      <w:marLeft w:val="0"/>
                      <w:marRight w:val="0"/>
                      <w:marTop w:val="0"/>
                      <w:marBottom w:val="0"/>
                      <w:divBdr>
                        <w:top w:val="none" w:sz="0" w:space="0" w:color="auto"/>
                        <w:left w:val="none" w:sz="0" w:space="0" w:color="auto"/>
                        <w:bottom w:val="none" w:sz="0" w:space="0" w:color="auto"/>
                        <w:right w:val="none" w:sz="0" w:space="0" w:color="auto"/>
                      </w:divBdr>
                    </w:div>
                  </w:divsChild>
                </w:div>
                <w:div w:id="11064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1471">
          <w:marLeft w:val="0"/>
          <w:marRight w:val="0"/>
          <w:marTop w:val="0"/>
          <w:marBottom w:val="0"/>
          <w:divBdr>
            <w:top w:val="none" w:sz="0" w:space="0" w:color="auto"/>
            <w:left w:val="none" w:sz="0" w:space="0" w:color="auto"/>
            <w:bottom w:val="none" w:sz="0" w:space="0" w:color="auto"/>
            <w:right w:val="none" w:sz="0" w:space="0" w:color="auto"/>
          </w:divBdr>
          <w:divsChild>
            <w:div w:id="1471631560">
              <w:marLeft w:val="0"/>
              <w:marRight w:val="0"/>
              <w:marTop w:val="0"/>
              <w:marBottom w:val="0"/>
              <w:divBdr>
                <w:top w:val="none" w:sz="0" w:space="0" w:color="auto"/>
                <w:left w:val="none" w:sz="0" w:space="0" w:color="auto"/>
                <w:bottom w:val="none" w:sz="0" w:space="0" w:color="auto"/>
                <w:right w:val="none" w:sz="0" w:space="0" w:color="auto"/>
              </w:divBdr>
              <w:divsChild>
                <w:div w:id="631987652">
                  <w:marLeft w:val="0"/>
                  <w:marRight w:val="0"/>
                  <w:marTop w:val="0"/>
                  <w:marBottom w:val="0"/>
                  <w:divBdr>
                    <w:top w:val="none" w:sz="0" w:space="0" w:color="auto"/>
                    <w:left w:val="none" w:sz="0" w:space="0" w:color="auto"/>
                    <w:bottom w:val="none" w:sz="0" w:space="0" w:color="auto"/>
                    <w:right w:val="none" w:sz="0" w:space="0" w:color="auto"/>
                  </w:divBdr>
                  <w:divsChild>
                    <w:div w:id="643973883">
                      <w:marLeft w:val="0"/>
                      <w:marRight w:val="0"/>
                      <w:marTop w:val="0"/>
                      <w:marBottom w:val="0"/>
                      <w:divBdr>
                        <w:top w:val="none" w:sz="0" w:space="0" w:color="auto"/>
                        <w:left w:val="none" w:sz="0" w:space="0" w:color="auto"/>
                        <w:bottom w:val="none" w:sz="0" w:space="0" w:color="auto"/>
                        <w:right w:val="none" w:sz="0" w:space="0" w:color="auto"/>
                      </w:divBdr>
                    </w:div>
                  </w:divsChild>
                </w:div>
                <w:div w:id="1708993854">
                  <w:marLeft w:val="0"/>
                  <w:marRight w:val="0"/>
                  <w:marTop w:val="0"/>
                  <w:marBottom w:val="0"/>
                  <w:divBdr>
                    <w:top w:val="none" w:sz="0" w:space="0" w:color="auto"/>
                    <w:left w:val="none" w:sz="0" w:space="0" w:color="auto"/>
                    <w:bottom w:val="none" w:sz="0" w:space="0" w:color="auto"/>
                    <w:right w:val="none" w:sz="0" w:space="0" w:color="auto"/>
                  </w:divBdr>
                </w:div>
              </w:divsChild>
            </w:div>
            <w:div w:id="2094231679">
              <w:marLeft w:val="0"/>
              <w:marRight w:val="0"/>
              <w:marTop w:val="0"/>
              <w:marBottom w:val="0"/>
              <w:divBdr>
                <w:top w:val="none" w:sz="0" w:space="0" w:color="auto"/>
                <w:left w:val="none" w:sz="0" w:space="0" w:color="auto"/>
                <w:bottom w:val="none" w:sz="0" w:space="0" w:color="auto"/>
                <w:right w:val="none" w:sz="0" w:space="0" w:color="auto"/>
              </w:divBdr>
            </w:div>
          </w:divsChild>
        </w:div>
        <w:div w:id="978538934">
          <w:marLeft w:val="0"/>
          <w:marRight w:val="0"/>
          <w:marTop w:val="0"/>
          <w:marBottom w:val="0"/>
          <w:divBdr>
            <w:top w:val="none" w:sz="0" w:space="0" w:color="auto"/>
            <w:left w:val="none" w:sz="0" w:space="0" w:color="auto"/>
            <w:bottom w:val="none" w:sz="0" w:space="0" w:color="auto"/>
            <w:right w:val="none" w:sz="0" w:space="0" w:color="auto"/>
          </w:divBdr>
          <w:divsChild>
            <w:div w:id="267544144">
              <w:marLeft w:val="0"/>
              <w:marRight w:val="0"/>
              <w:marTop w:val="0"/>
              <w:marBottom w:val="0"/>
              <w:divBdr>
                <w:top w:val="none" w:sz="0" w:space="0" w:color="auto"/>
                <w:left w:val="none" w:sz="0" w:space="0" w:color="auto"/>
                <w:bottom w:val="none" w:sz="0" w:space="0" w:color="auto"/>
                <w:right w:val="none" w:sz="0" w:space="0" w:color="auto"/>
              </w:divBdr>
              <w:divsChild>
                <w:div w:id="910120401">
                  <w:marLeft w:val="0"/>
                  <w:marRight w:val="0"/>
                  <w:marTop w:val="0"/>
                  <w:marBottom w:val="0"/>
                  <w:divBdr>
                    <w:top w:val="none" w:sz="0" w:space="0" w:color="auto"/>
                    <w:left w:val="none" w:sz="0" w:space="0" w:color="auto"/>
                    <w:bottom w:val="none" w:sz="0" w:space="0" w:color="auto"/>
                    <w:right w:val="none" w:sz="0" w:space="0" w:color="auto"/>
                  </w:divBdr>
                </w:div>
                <w:div w:id="2003121426">
                  <w:marLeft w:val="0"/>
                  <w:marRight w:val="0"/>
                  <w:marTop w:val="0"/>
                  <w:marBottom w:val="0"/>
                  <w:divBdr>
                    <w:top w:val="none" w:sz="0" w:space="0" w:color="auto"/>
                    <w:left w:val="none" w:sz="0" w:space="0" w:color="auto"/>
                    <w:bottom w:val="none" w:sz="0" w:space="0" w:color="auto"/>
                    <w:right w:val="none" w:sz="0" w:space="0" w:color="auto"/>
                  </w:divBdr>
                  <w:divsChild>
                    <w:div w:id="16692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1785">
      <w:bodyDiv w:val="1"/>
      <w:marLeft w:val="0"/>
      <w:marRight w:val="0"/>
      <w:marTop w:val="0"/>
      <w:marBottom w:val="0"/>
      <w:divBdr>
        <w:top w:val="none" w:sz="0" w:space="0" w:color="auto"/>
        <w:left w:val="none" w:sz="0" w:space="0" w:color="auto"/>
        <w:bottom w:val="none" w:sz="0" w:space="0" w:color="auto"/>
        <w:right w:val="none" w:sz="0" w:space="0" w:color="auto"/>
      </w:divBdr>
    </w:div>
    <w:div w:id="1678071416">
      <w:bodyDiv w:val="1"/>
      <w:marLeft w:val="0"/>
      <w:marRight w:val="0"/>
      <w:marTop w:val="0"/>
      <w:marBottom w:val="0"/>
      <w:divBdr>
        <w:top w:val="none" w:sz="0" w:space="0" w:color="auto"/>
        <w:left w:val="none" w:sz="0" w:space="0" w:color="auto"/>
        <w:bottom w:val="none" w:sz="0" w:space="0" w:color="auto"/>
        <w:right w:val="none" w:sz="0" w:space="0" w:color="auto"/>
      </w:divBdr>
    </w:div>
    <w:div w:id="1692757634">
      <w:bodyDiv w:val="1"/>
      <w:marLeft w:val="0"/>
      <w:marRight w:val="0"/>
      <w:marTop w:val="0"/>
      <w:marBottom w:val="0"/>
      <w:divBdr>
        <w:top w:val="none" w:sz="0" w:space="0" w:color="auto"/>
        <w:left w:val="none" w:sz="0" w:space="0" w:color="auto"/>
        <w:bottom w:val="none" w:sz="0" w:space="0" w:color="auto"/>
        <w:right w:val="none" w:sz="0" w:space="0" w:color="auto"/>
      </w:divBdr>
      <w:divsChild>
        <w:div w:id="1143037541">
          <w:marLeft w:val="0"/>
          <w:marRight w:val="0"/>
          <w:marTop w:val="0"/>
          <w:marBottom w:val="0"/>
          <w:divBdr>
            <w:top w:val="none" w:sz="0" w:space="0" w:color="auto"/>
            <w:left w:val="none" w:sz="0" w:space="0" w:color="auto"/>
            <w:bottom w:val="none" w:sz="0" w:space="0" w:color="auto"/>
            <w:right w:val="none" w:sz="0" w:space="0" w:color="auto"/>
          </w:divBdr>
          <w:divsChild>
            <w:div w:id="70126348">
              <w:marLeft w:val="0"/>
              <w:marRight w:val="0"/>
              <w:marTop w:val="0"/>
              <w:marBottom w:val="0"/>
              <w:divBdr>
                <w:top w:val="none" w:sz="0" w:space="0" w:color="auto"/>
                <w:left w:val="none" w:sz="0" w:space="0" w:color="auto"/>
                <w:bottom w:val="none" w:sz="0" w:space="0" w:color="auto"/>
                <w:right w:val="none" w:sz="0" w:space="0" w:color="auto"/>
              </w:divBdr>
              <w:divsChild>
                <w:div w:id="540169996">
                  <w:marLeft w:val="0"/>
                  <w:marRight w:val="54"/>
                  <w:marTop w:val="0"/>
                  <w:marBottom w:val="0"/>
                  <w:divBdr>
                    <w:top w:val="none" w:sz="0" w:space="0" w:color="auto"/>
                    <w:left w:val="none" w:sz="0" w:space="0" w:color="auto"/>
                    <w:bottom w:val="none" w:sz="0" w:space="0" w:color="auto"/>
                    <w:right w:val="none" w:sz="0" w:space="0" w:color="auto"/>
                  </w:divBdr>
                  <w:divsChild>
                    <w:div w:id="1069575293">
                      <w:marLeft w:val="0"/>
                      <w:marRight w:val="0"/>
                      <w:marTop w:val="0"/>
                      <w:marBottom w:val="109"/>
                      <w:divBdr>
                        <w:top w:val="single" w:sz="6" w:space="0" w:color="C0C0C0"/>
                        <w:left w:val="single" w:sz="6" w:space="0" w:color="D9D9D9"/>
                        <w:bottom w:val="single" w:sz="6" w:space="0" w:color="D9D9D9"/>
                        <w:right w:val="single" w:sz="6" w:space="0" w:color="D9D9D9"/>
                      </w:divBdr>
                      <w:divsChild>
                        <w:div w:id="10406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216">
              <w:marLeft w:val="0"/>
              <w:marRight w:val="0"/>
              <w:marTop w:val="0"/>
              <w:marBottom w:val="0"/>
              <w:divBdr>
                <w:top w:val="none" w:sz="0" w:space="0" w:color="auto"/>
                <w:left w:val="none" w:sz="0" w:space="0" w:color="auto"/>
                <w:bottom w:val="none" w:sz="0" w:space="0" w:color="auto"/>
                <w:right w:val="none" w:sz="0" w:space="0" w:color="auto"/>
              </w:divBdr>
              <w:divsChild>
                <w:div w:id="218247624">
                  <w:marLeft w:val="54"/>
                  <w:marRight w:val="0"/>
                  <w:marTop w:val="0"/>
                  <w:marBottom w:val="0"/>
                  <w:divBdr>
                    <w:top w:val="none" w:sz="0" w:space="0" w:color="auto"/>
                    <w:left w:val="none" w:sz="0" w:space="0" w:color="auto"/>
                    <w:bottom w:val="none" w:sz="0" w:space="0" w:color="auto"/>
                    <w:right w:val="none" w:sz="0" w:space="0" w:color="auto"/>
                  </w:divBdr>
                  <w:divsChild>
                    <w:div w:id="649410287">
                      <w:marLeft w:val="0"/>
                      <w:marRight w:val="0"/>
                      <w:marTop w:val="0"/>
                      <w:marBottom w:val="0"/>
                      <w:divBdr>
                        <w:top w:val="none" w:sz="0" w:space="0" w:color="auto"/>
                        <w:left w:val="none" w:sz="0" w:space="0" w:color="auto"/>
                        <w:bottom w:val="none" w:sz="0" w:space="0" w:color="auto"/>
                        <w:right w:val="none" w:sz="0" w:space="0" w:color="auto"/>
                      </w:divBdr>
                      <w:divsChild>
                        <w:div w:id="498886644">
                          <w:marLeft w:val="0"/>
                          <w:marRight w:val="0"/>
                          <w:marTop w:val="0"/>
                          <w:marBottom w:val="109"/>
                          <w:divBdr>
                            <w:top w:val="single" w:sz="6" w:space="0" w:color="F5F5F5"/>
                            <w:left w:val="single" w:sz="6" w:space="0" w:color="F5F5F5"/>
                            <w:bottom w:val="single" w:sz="6" w:space="0" w:color="F5F5F5"/>
                            <w:right w:val="single" w:sz="6" w:space="0" w:color="F5F5F5"/>
                          </w:divBdr>
                          <w:divsChild>
                            <w:div w:id="571083037">
                              <w:marLeft w:val="0"/>
                              <w:marRight w:val="0"/>
                              <w:marTop w:val="0"/>
                              <w:marBottom w:val="0"/>
                              <w:divBdr>
                                <w:top w:val="none" w:sz="0" w:space="0" w:color="auto"/>
                                <w:left w:val="none" w:sz="0" w:space="0" w:color="auto"/>
                                <w:bottom w:val="none" w:sz="0" w:space="0" w:color="auto"/>
                                <w:right w:val="none" w:sz="0" w:space="0" w:color="auto"/>
                              </w:divBdr>
                              <w:divsChild>
                                <w:div w:id="1598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664863">
          <w:marLeft w:val="0"/>
          <w:marRight w:val="0"/>
          <w:marTop w:val="95"/>
          <w:marBottom w:val="27"/>
          <w:divBdr>
            <w:top w:val="none" w:sz="0" w:space="0" w:color="auto"/>
            <w:left w:val="none" w:sz="0" w:space="0" w:color="auto"/>
            <w:bottom w:val="none" w:sz="0" w:space="0" w:color="auto"/>
            <w:right w:val="none" w:sz="0" w:space="0" w:color="auto"/>
          </w:divBdr>
          <w:divsChild>
            <w:div w:id="273103301">
              <w:marLeft w:val="0"/>
              <w:marRight w:val="0"/>
              <w:marTop w:val="0"/>
              <w:marBottom w:val="0"/>
              <w:divBdr>
                <w:top w:val="none" w:sz="0" w:space="0" w:color="auto"/>
                <w:left w:val="none" w:sz="0" w:space="0" w:color="auto"/>
                <w:bottom w:val="none" w:sz="0" w:space="0" w:color="auto"/>
                <w:right w:val="none" w:sz="0" w:space="0" w:color="auto"/>
              </w:divBdr>
              <w:divsChild>
                <w:div w:id="13630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4768">
      <w:bodyDiv w:val="1"/>
      <w:marLeft w:val="0"/>
      <w:marRight w:val="0"/>
      <w:marTop w:val="0"/>
      <w:marBottom w:val="0"/>
      <w:divBdr>
        <w:top w:val="none" w:sz="0" w:space="0" w:color="auto"/>
        <w:left w:val="none" w:sz="0" w:space="0" w:color="auto"/>
        <w:bottom w:val="none" w:sz="0" w:space="0" w:color="auto"/>
        <w:right w:val="none" w:sz="0" w:space="0" w:color="auto"/>
      </w:divBdr>
    </w:div>
    <w:div w:id="1864779346">
      <w:bodyDiv w:val="1"/>
      <w:marLeft w:val="0"/>
      <w:marRight w:val="0"/>
      <w:marTop w:val="0"/>
      <w:marBottom w:val="0"/>
      <w:divBdr>
        <w:top w:val="none" w:sz="0" w:space="0" w:color="auto"/>
        <w:left w:val="none" w:sz="0" w:space="0" w:color="auto"/>
        <w:bottom w:val="none" w:sz="0" w:space="0" w:color="auto"/>
        <w:right w:val="none" w:sz="0" w:space="0" w:color="auto"/>
      </w:divBdr>
    </w:div>
    <w:div w:id="1915312159">
      <w:bodyDiv w:val="1"/>
      <w:marLeft w:val="0"/>
      <w:marRight w:val="0"/>
      <w:marTop w:val="0"/>
      <w:marBottom w:val="0"/>
      <w:divBdr>
        <w:top w:val="none" w:sz="0" w:space="0" w:color="auto"/>
        <w:left w:val="none" w:sz="0" w:space="0" w:color="auto"/>
        <w:bottom w:val="none" w:sz="0" w:space="0" w:color="auto"/>
        <w:right w:val="none" w:sz="0" w:space="0" w:color="auto"/>
      </w:divBdr>
    </w:div>
    <w:div w:id="1969427870">
      <w:bodyDiv w:val="1"/>
      <w:marLeft w:val="0"/>
      <w:marRight w:val="0"/>
      <w:marTop w:val="0"/>
      <w:marBottom w:val="0"/>
      <w:divBdr>
        <w:top w:val="none" w:sz="0" w:space="0" w:color="auto"/>
        <w:left w:val="none" w:sz="0" w:space="0" w:color="auto"/>
        <w:bottom w:val="none" w:sz="0" w:space="0" w:color="auto"/>
        <w:right w:val="none" w:sz="0" w:space="0" w:color="auto"/>
      </w:divBdr>
    </w:div>
    <w:div w:id="202882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6A703-38B0-470B-9926-64ECED71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167949</Words>
  <Characters>906927</Characters>
  <Application>Microsoft Office Word</Application>
  <DocSecurity>0</DocSecurity>
  <Lines>7557</Lines>
  <Paragraphs>2145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Ligia</dc:creator>
  <cp:keywords/>
  <dc:description/>
  <cp:lastModifiedBy>Ana Cristina Rego</cp:lastModifiedBy>
  <cp:revision>2</cp:revision>
  <cp:lastPrinted>2019-07-29T15:43:00Z</cp:lastPrinted>
  <dcterms:created xsi:type="dcterms:W3CDTF">2019-08-02T10:16:00Z</dcterms:created>
  <dcterms:modified xsi:type="dcterms:W3CDTF">2019-08-02T10:16:00Z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http://www.zotero.org/styles/ageing-research-reviews</vt:lpwstr>
  </property>
  <property fmtid="{D5CDD505-2E9C-101B-9397-08002B2CF9AE}" pid="4" name="Mendeley Recent Style Id 0_1">
    <vt:lpwstr>http://www.zotero.org/styles/ageing-research-reviews</vt:lpwstr>
  </property>
  <property fmtid="{D5CDD505-2E9C-101B-9397-08002B2CF9AE}" pid="5" name="Mendeley Recent Style Name 0_1">
    <vt:lpwstr>Ageing Research Reviews</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http://www.zotero.org/styles/free-radical-biology-and-medicine</vt:lpwstr>
  </property>
  <property fmtid="{D5CDD505-2E9C-101B-9397-08002B2CF9AE}" pid="13" name="Mendeley Recent Style Name 4_1">
    <vt:lpwstr>Free Radical Biology and Medicine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http://www.zotero.org/styles/neuroscience</vt:lpwstr>
  </property>
  <property fmtid="{D5CDD505-2E9C-101B-9397-08002B2CF9AE}" pid="23" name="Mendeley Recent Style Name 9_1">
    <vt:lpwstr>Neuroscience</vt:lpwstr>
  </property>
  <property fmtid="{D5CDD505-2E9C-101B-9397-08002B2CF9AE}" pid="24" name="Mendeley Unique User Id_1">
    <vt:lpwstr>41ee3189-d2e8-3a40-900e-04904f7f3d53</vt:lpwstr>
  </property>
</Properties>
</file>