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39" w:rsidRPr="008B7E48" w:rsidRDefault="005A7439" w:rsidP="005A7439">
      <w:pPr>
        <w:spacing w:line="480" w:lineRule="auto"/>
        <w:ind w:firstLine="0"/>
        <w:jc w:val="center"/>
        <w:rPr>
          <w:b/>
          <w:sz w:val="24"/>
          <w:lang w:val="en-US"/>
        </w:rPr>
      </w:pPr>
      <w:r w:rsidRPr="008B7E48">
        <w:rPr>
          <w:b/>
          <w:sz w:val="24"/>
          <w:lang w:val="en-US"/>
        </w:rPr>
        <w:t>Abstract</w:t>
      </w:r>
    </w:p>
    <w:p w:rsidR="005A7439" w:rsidRDefault="005A7439" w:rsidP="005A7439">
      <w:pPr>
        <w:spacing w:line="480" w:lineRule="auto"/>
        <w:ind w:firstLine="0"/>
        <w:rPr>
          <w:b/>
          <w:sz w:val="24"/>
          <w:lang w:val="en-US"/>
        </w:rPr>
      </w:pPr>
      <w:r>
        <w:rPr>
          <w:sz w:val="24"/>
          <w:lang w:val="en-US"/>
        </w:rPr>
        <w:t xml:space="preserve">This </w:t>
      </w:r>
      <w:r w:rsidRPr="008B7E48">
        <w:rPr>
          <w:sz w:val="24"/>
          <w:lang w:val="en-US"/>
        </w:rPr>
        <w:t xml:space="preserve">study </w:t>
      </w:r>
      <w:r>
        <w:rPr>
          <w:sz w:val="24"/>
          <w:lang w:val="en-US"/>
        </w:rPr>
        <w:t>aimed to examine</w:t>
      </w:r>
      <w:r w:rsidRPr="008B7E48">
        <w:rPr>
          <w:sz w:val="24"/>
          <w:lang w:val="en-US"/>
        </w:rPr>
        <w:t xml:space="preserve"> the direct and indirect effects of hope on health-related quality of life </w:t>
      </w:r>
      <w:r>
        <w:rPr>
          <w:sz w:val="24"/>
          <w:lang w:val="en-US"/>
        </w:rPr>
        <w:t>(</w:t>
      </w:r>
      <w:proofErr w:type="spellStart"/>
      <w:r>
        <w:rPr>
          <w:sz w:val="24"/>
          <w:lang w:val="en-US"/>
        </w:rPr>
        <w:t>HRQoL</w:t>
      </w:r>
      <w:proofErr w:type="spellEnd"/>
      <w:r>
        <w:rPr>
          <w:sz w:val="24"/>
          <w:lang w:val="en-US"/>
        </w:rPr>
        <w:t>) via anxiety of children/</w:t>
      </w:r>
      <w:r w:rsidRPr="008B7E48">
        <w:rPr>
          <w:sz w:val="24"/>
          <w:lang w:val="en-US"/>
        </w:rPr>
        <w:t>adolescents with cancer.</w:t>
      </w:r>
      <w:r>
        <w:rPr>
          <w:sz w:val="24"/>
          <w:lang w:val="en-US"/>
        </w:rPr>
        <w:t xml:space="preserve"> </w:t>
      </w:r>
      <w:r w:rsidR="00491643">
        <w:rPr>
          <w:sz w:val="24"/>
          <w:lang w:val="en-US"/>
        </w:rPr>
        <w:t>W</w:t>
      </w:r>
      <w:r>
        <w:rPr>
          <w:sz w:val="24"/>
          <w:lang w:val="en-US"/>
        </w:rPr>
        <w:t xml:space="preserve">e proposed to test </w:t>
      </w:r>
      <w:r w:rsidRPr="008B7E48">
        <w:rPr>
          <w:sz w:val="24"/>
          <w:lang w:val="en-US"/>
        </w:rPr>
        <w:t>if the mediation model was moderated by the child/adolescent’s treatment status.</w:t>
      </w:r>
    </w:p>
    <w:p w:rsidR="005A7439" w:rsidRDefault="005A7439" w:rsidP="005A7439">
      <w:pPr>
        <w:spacing w:line="480" w:lineRule="auto"/>
        <w:ind w:firstLine="0"/>
        <w:rPr>
          <w:sz w:val="24"/>
          <w:lang w:val="en-US"/>
        </w:rPr>
      </w:pPr>
      <w:r w:rsidRPr="008B7E48">
        <w:rPr>
          <w:sz w:val="24"/>
          <w:lang w:val="en-US"/>
        </w:rPr>
        <w:t>The</w:t>
      </w:r>
      <w:r>
        <w:rPr>
          <w:sz w:val="24"/>
          <w:lang w:val="en-US"/>
        </w:rPr>
        <w:t xml:space="preserve"> participants were 211 children/</w:t>
      </w:r>
      <w:r w:rsidRPr="008B7E48">
        <w:rPr>
          <w:sz w:val="24"/>
          <w:lang w:val="en-US"/>
        </w:rPr>
        <w:t xml:space="preserve">adolescents diagnosed with cancer, divided into two clinical groups </w:t>
      </w:r>
      <w:r>
        <w:rPr>
          <w:sz w:val="24"/>
          <w:lang w:val="en-US"/>
        </w:rPr>
        <w:t xml:space="preserve">according to treatment status: </w:t>
      </w:r>
      <w:r w:rsidRPr="008B7E48">
        <w:rPr>
          <w:sz w:val="24"/>
          <w:lang w:val="en-US"/>
        </w:rPr>
        <w:t xml:space="preserve">97 </w:t>
      </w:r>
      <w:proofErr w:type="gramStart"/>
      <w:r w:rsidRPr="008B7E48">
        <w:rPr>
          <w:sz w:val="24"/>
          <w:lang w:val="en-US"/>
        </w:rPr>
        <w:t>patients</w:t>
      </w:r>
      <w:proofErr w:type="gramEnd"/>
      <w:r w:rsidRPr="008B7E48">
        <w:rPr>
          <w:sz w:val="24"/>
          <w:lang w:val="en-US"/>
        </w:rPr>
        <w:t xml:space="preserve"> on-treatment and 114 off-treatment. Self-reported questionnaires measured the youths’ hope, anxiety and </w:t>
      </w:r>
      <w:proofErr w:type="spellStart"/>
      <w:r w:rsidRPr="008B7E48">
        <w:rPr>
          <w:sz w:val="24"/>
          <w:lang w:val="en-US"/>
        </w:rPr>
        <w:t>HRQoL</w:t>
      </w:r>
      <w:proofErr w:type="spellEnd"/>
      <w:r w:rsidRPr="008B7E48">
        <w:rPr>
          <w:sz w:val="24"/>
          <w:lang w:val="en-US"/>
        </w:rPr>
        <w:t xml:space="preserve"> perceptions. The results </w:t>
      </w:r>
      <w:r w:rsidR="00E14777">
        <w:rPr>
          <w:sz w:val="24"/>
          <w:lang w:val="en-US"/>
        </w:rPr>
        <w:t>revealed</w:t>
      </w:r>
      <w:r w:rsidR="00E14777" w:rsidRPr="008B7E48">
        <w:rPr>
          <w:sz w:val="24"/>
          <w:lang w:val="en-US"/>
        </w:rPr>
        <w:t xml:space="preserve"> </w:t>
      </w:r>
      <w:r w:rsidRPr="008B7E48">
        <w:rPr>
          <w:sz w:val="24"/>
          <w:lang w:val="en-US"/>
        </w:rPr>
        <w:t xml:space="preserve">that children/adolescents on and off-treatment </w:t>
      </w:r>
      <w:r w:rsidR="00826DCC">
        <w:rPr>
          <w:sz w:val="24"/>
          <w:lang w:val="en-US"/>
        </w:rPr>
        <w:t xml:space="preserve">only </w:t>
      </w:r>
      <w:r w:rsidRPr="008B7E48">
        <w:rPr>
          <w:sz w:val="24"/>
          <w:lang w:val="en-US"/>
        </w:rPr>
        <w:t xml:space="preserve">differed in levels of </w:t>
      </w:r>
      <w:proofErr w:type="spellStart"/>
      <w:r w:rsidRPr="008B7E48">
        <w:rPr>
          <w:sz w:val="24"/>
          <w:lang w:val="en-US"/>
        </w:rPr>
        <w:t>HRQoL</w:t>
      </w:r>
      <w:proofErr w:type="spellEnd"/>
      <w:r w:rsidRPr="008B7E48">
        <w:rPr>
          <w:sz w:val="24"/>
          <w:lang w:val="en-US"/>
        </w:rPr>
        <w:t xml:space="preserve">, with a more compromised </w:t>
      </w:r>
      <w:proofErr w:type="spellStart"/>
      <w:r w:rsidRPr="008B7E48">
        <w:rPr>
          <w:sz w:val="24"/>
          <w:lang w:val="en-US"/>
        </w:rPr>
        <w:t>HRQoL</w:t>
      </w:r>
      <w:proofErr w:type="spellEnd"/>
      <w:r w:rsidRPr="008B7E48">
        <w:rPr>
          <w:sz w:val="24"/>
          <w:lang w:val="en-US"/>
        </w:rPr>
        <w:t xml:space="preserve"> found for the on-treatment group. </w:t>
      </w:r>
      <w:r w:rsidR="00491643">
        <w:rPr>
          <w:sz w:val="24"/>
          <w:lang w:val="en-US"/>
        </w:rPr>
        <w:t>H</w:t>
      </w:r>
      <w:r w:rsidRPr="008B7E48">
        <w:rPr>
          <w:sz w:val="24"/>
          <w:lang w:val="en-US"/>
        </w:rPr>
        <w:t xml:space="preserve">ope was positively </w:t>
      </w:r>
      <w:r w:rsidR="00AD5BB0">
        <w:rPr>
          <w:sz w:val="24"/>
          <w:lang w:val="en-US"/>
        </w:rPr>
        <w:t>associated</w:t>
      </w:r>
      <w:r w:rsidR="00AD5BB0" w:rsidRPr="008B7E48">
        <w:rPr>
          <w:sz w:val="24"/>
          <w:lang w:val="en-US"/>
        </w:rPr>
        <w:t xml:space="preserve"> </w:t>
      </w:r>
      <w:r w:rsidRPr="008B7E48">
        <w:rPr>
          <w:sz w:val="24"/>
          <w:lang w:val="en-US"/>
        </w:rPr>
        <w:t xml:space="preserve">with </w:t>
      </w:r>
      <w:proofErr w:type="spellStart"/>
      <w:r w:rsidRPr="008B7E48">
        <w:rPr>
          <w:sz w:val="24"/>
          <w:lang w:val="en-US"/>
        </w:rPr>
        <w:t>HRQoL</w:t>
      </w:r>
      <w:proofErr w:type="spellEnd"/>
      <w:r w:rsidRPr="008B7E48">
        <w:rPr>
          <w:sz w:val="24"/>
          <w:lang w:val="en-US"/>
        </w:rPr>
        <w:t>, directly and indirectly v</w:t>
      </w:r>
      <w:r w:rsidR="0005124F">
        <w:rPr>
          <w:sz w:val="24"/>
          <w:lang w:val="en-US"/>
        </w:rPr>
        <w:t>ia anxiety reduction. Moreover, only</w:t>
      </w:r>
      <w:r w:rsidR="00F450F1">
        <w:rPr>
          <w:sz w:val="24"/>
          <w:lang w:val="en-US"/>
        </w:rPr>
        <w:t xml:space="preserve"> </w:t>
      </w:r>
      <w:r w:rsidRPr="008B7E48">
        <w:rPr>
          <w:sz w:val="24"/>
          <w:lang w:val="en-US"/>
        </w:rPr>
        <w:t xml:space="preserve">the association between anxiety and </w:t>
      </w:r>
      <w:proofErr w:type="spellStart"/>
      <w:r w:rsidRPr="008B7E48">
        <w:rPr>
          <w:sz w:val="24"/>
          <w:lang w:val="en-US"/>
        </w:rPr>
        <w:t>HRQoL</w:t>
      </w:r>
      <w:proofErr w:type="spellEnd"/>
      <w:r w:rsidRPr="008B7E48">
        <w:rPr>
          <w:sz w:val="24"/>
          <w:lang w:val="en-US"/>
        </w:rPr>
        <w:t xml:space="preserve"> was moderated by clinical group, revealing stronger associations for on-treatment patients. </w:t>
      </w:r>
    </w:p>
    <w:p w:rsidR="005A7439" w:rsidRPr="008B7E48" w:rsidRDefault="005A7439" w:rsidP="005A7439">
      <w:pPr>
        <w:spacing w:line="480" w:lineRule="auto"/>
        <w:ind w:firstLine="0"/>
        <w:rPr>
          <w:sz w:val="24"/>
          <w:lang w:val="en-US"/>
        </w:rPr>
      </w:pPr>
      <w:r w:rsidRPr="008B7E48">
        <w:rPr>
          <w:sz w:val="24"/>
          <w:lang w:val="en-US"/>
        </w:rPr>
        <w:t>Findings highlight the importance of hope as a decisive resource</w:t>
      </w:r>
      <w:r w:rsidR="00491643">
        <w:rPr>
          <w:sz w:val="24"/>
          <w:lang w:val="en-US"/>
        </w:rPr>
        <w:t xml:space="preserve"> in pediatric cancer adaptation</w:t>
      </w:r>
      <w:r w:rsidR="00662625">
        <w:rPr>
          <w:sz w:val="24"/>
          <w:lang w:val="en-US"/>
        </w:rPr>
        <w:t xml:space="preserve">, </w:t>
      </w:r>
      <w:r w:rsidR="002B44B2">
        <w:rPr>
          <w:sz w:val="24"/>
          <w:lang w:val="en-US"/>
        </w:rPr>
        <w:t>which</w:t>
      </w:r>
      <w:r w:rsidRPr="008B7E48">
        <w:rPr>
          <w:sz w:val="24"/>
          <w:lang w:val="en-US"/>
        </w:rPr>
        <w:t xml:space="preserve"> may be strategically targeted in p</w:t>
      </w:r>
      <w:r>
        <w:rPr>
          <w:sz w:val="24"/>
          <w:lang w:val="en-US"/>
        </w:rPr>
        <w:t>sycho-oncological interventions.</w:t>
      </w:r>
    </w:p>
    <w:p w:rsidR="00F67EE5" w:rsidRPr="008B7E48" w:rsidRDefault="00F67EE5" w:rsidP="00F67EE5">
      <w:pPr>
        <w:spacing w:line="480" w:lineRule="auto"/>
        <w:rPr>
          <w:sz w:val="24"/>
          <w:lang w:val="en-US"/>
        </w:rPr>
      </w:pPr>
    </w:p>
    <w:p w:rsidR="00F67EE5" w:rsidRDefault="00F67EE5" w:rsidP="00417F87">
      <w:pPr>
        <w:spacing w:line="480" w:lineRule="auto"/>
        <w:ind w:firstLine="0"/>
        <w:rPr>
          <w:b/>
          <w:i/>
          <w:lang w:val="en-US"/>
        </w:rPr>
      </w:pPr>
      <w:r w:rsidRPr="008B7E48">
        <w:rPr>
          <w:b/>
          <w:sz w:val="24"/>
          <w:lang w:val="en-US"/>
        </w:rPr>
        <w:t>Keywords:</w:t>
      </w:r>
      <w:r w:rsidRPr="008B7E48">
        <w:rPr>
          <w:sz w:val="24"/>
          <w:lang w:val="en-US"/>
        </w:rPr>
        <w:t xml:space="preserve"> Pediatric cancer, Hope, Anxiety, Health-related quality of life</w:t>
      </w:r>
      <w:r w:rsidR="00807048">
        <w:rPr>
          <w:sz w:val="24"/>
          <w:lang w:val="en-US"/>
        </w:rPr>
        <w:t>, Treatment status</w:t>
      </w:r>
      <w:r>
        <w:rPr>
          <w:i/>
          <w:lang w:val="en-US"/>
        </w:rPr>
        <w:br w:type="page"/>
      </w:r>
    </w:p>
    <w:p w:rsidR="00A54A7B" w:rsidRPr="008B7E48" w:rsidRDefault="00A54A7B" w:rsidP="00A54A7B">
      <w:pPr>
        <w:pStyle w:val="TituloDissert"/>
        <w:spacing w:line="480" w:lineRule="auto"/>
        <w:jc w:val="center"/>
        <w:rPr>
          <w:rFonts w:ascii="Times New Roman" w:hAnsi="Times New Roman"/>
          <w:b w:val="0"/>
          <w:i/>
          <w:lang w:val="en-US"/>
        </w:rPr>
      </w:pPr>
      <w:r w:rsidRPr="00AC173A">
        <w:rPr>
          <w:rFonts w:ascii="Times New Roman" w:hAnsi="Times New Roman"/>
          <w:b w:val="0"/>
          <w:lang w:val="en-US"/>
        </w:rPr>
        <w:lastRenderedPageBreak/>
        <w:t>Does Hope Matter?</w:t>
      </w:r>
      <w:r w:rsidRPr="008B7E48">
        <w:rPr>
          <w:rFonts w:ascii="Times New Roman" w:hAnsi="Times New Roman"/>
          <w:b w:val="0"/>
          <w:i/>
          <w:lang w:val="en-US"/>
        </w:rPr>
        <w:t xml:space="preserve"> </w:t>
      </w:r>
      <w:r w:rsidRPr="008B7E48">
        <w:rPr>
          <w:rFonts w:ascii="Times New Roman" w:hAnsi="Times New Roman"/>
          <w:b w:val="0"/>
          <w:lang w:val="en-US"/>
        </w:rPr>
        <w:t>Associations am</w:t>
      </w:r>
      <w:r w:rsidR="00FE2A98">
        <w:rPr>
          <w:rFonts w:ascii="Times New Roman" w:hAnsi="Times New Roman"/>
          <w:b w:val="0"/>
          <w:lang w:val="en-US"/>
        </w:rPr>
        <w:t>ong Self-reported Hope, Anxiety and</w:t>
      </w:r>
      <w:r w:rsidRPr="008B7E48">
        <w:rPr>
          <w:rFonts w:ascii="Times New Roman" w:hAnsi="Times New Roman"/>
          <w:b w:val="0"/>
          <w:lang w:val="en-US"/>
        </w:rPr>
        <w:t xml:space="preserve"> Health-related Quality of Life in Children and Adolescents with Cancer</w:t>
      </w:r>
    </w:p>
    <w:p w:rsidR="00A54A7B" w:rsidRPr="008B7E48" w:rsidRDefault="00A54A7B" w:rsidP="00A54A7B">
      <w:pPr>
        <w:spacing w:line="480" w:lineRule="auto"/>
        <w:ind w:firstLine="0"/>
        <w:jc w:val="left"/>
        <w:rPr>
          <w:b/>
          <w:sz w:val="24"/>
          <w:lang w:val="en-US"/>
        </w:rPr>
      </w:pPr>
    </w:p>
    <w:p w:rsidR="00A54A7B" w:rsidRPr="008B7E48" w:rsidRDefault="00A54A7B" w:rsidP="00A54A7B">
      <w:pPr>
        <w:spacing w:line="480" w:lineRule="auto"/>
        <w:contextualSpacing/>
        <w:jc w:val="left"/>
        <w:rPr>
          <w:sz w:val="24"/>
          <w:lang w:val="en-US"/>
        </w:rPr>
      </w:pPr>
      <w:r w:rsidRPr="008B7E48">
        <w:rPr>
          <w:sz w:val="24"/>
          <w:lang w:val="en-US"/>
        </w:rPr>
        <w:t xml:space="preserve">Pediatric cancer is the main cause of non-accidental death between the first year of life and 14 years </w:t>
      </w:r>
      <w:r w:rsidR="001130B8">
        <w:rPr>
          <w:sz w:val="24"/>
          <w:lang w:val="en-US"/>
        </w:rPr>
        <w:t>of age</w:t>
      </w:r>
      <w:r w:rsidR="001130B8" w:rsidRPr="008B7E48">
        <w:rPr>
          <w:sz w:val="24"/>
          <w:lang w:val="en-US"/>
        </w:rPr>
        <w:t xml:space="preserve"> </w:t>
      </w:r>
      <w:r w:rsidRPr="008B7E48">
        <w:rPr>
          <w:sz w:val="24"/>
          <w:lang w:val="en-US"/>
        </w:rPr>
        <w:t>in developed countries (</w:t>
      </w:r>
      <w:proofErr w:type="spellStart"/>
      <w:r w:rsidRPr="008B7E48">
        <w:rPr>
          <w:sz w:val="24"/>
          <w:lang w:val="en-US"/>
        </w:rPr>
        <w:t>Kaatsch</w:t>
      </w:r>
      <w:proofErr w:type="spellEnd"/>
      <w:r w:rsidRPr="008B7E48">
        <w:rPr>
          <w:sz w:val="24"/>
          <w:lang w:val="en-US"/>
        </w:rPr>
        <w:t xml:space="preserve">, 2010; Siegel et al., 2012). Recent advances in the treatment of pediatric cancer have allowed a significant increase in the number of cancer survivors (Robinson, Gerhard, </w:t>
      </w:r>
      <w:proofErr w:type="spellStart"/>
      <w:r w:rsidRPr="008B7E48">
        <w:rPr>
          <w:sz w:val="24"/>
          <w:lang w:val="en-US"/>
        </w:rPr>
        <w:t>Vannatta</w:t>
      </w:r>
      <w:proofErr w:type="spellEnd"/>
      <w:r w:rsidRPr="008B7E48">
        <w:rPr>
          <w:sz w:val="24"/>
          <w:lang w:val="en-US"/>
        </w:rPr>
        <w:t xml:space="preserve">, &amp; Noll, 2007). </w:t>
      </w:r>
    </w:p>
    <w:p w:rsidR="00CD4C60" w:rsidRDefault="002B44B2" w:rsidP="00243A7F">
      <w:pPr>
        <w:spacing w:line="480" w:lineRule="auto"/>
        <w:contextualSpacing/>
        <w:jc w:val="left"/>
        <w:rPr>
          <w:sz w:val="24"/>
          <w:lang w:val="en-US"/>
        </w:rPr>
      </w:pPr>
      <w:r>
        <w:rPr>
          <w:sz w:val="24"/>
          <w:lang w:val="en-US"/>
        </w:rPr>
        <w:t>T</w:t>
      </w:r>
      <w:r w:rsidR="00A54A7B" w:rsidRPr="008B7E48">
        <w:rPr>
          <w:sz w:val="24"/>
          <w:lang w:val="en-US"/>
        </w:rPr>
        <w:t xml:space="preserve">reatment </w:t>
      </w:r>
      <w:r>
        <w:rPr>
          <w:sz w:val="24"/>
          <w:lang w:val="en-US"/>
        </w:rPr>
        <w:t xml:space="preserve">now </w:t>
      </w:r>
      <w:r w:rsidR="00A54A7B" w:rsidRPr="008B7E48">
        <w:rPr>
          <w:sz w:val="24"/>
          <w:lang w:val="en-US"/>
        </w:rPr>
        <w:t>involves intensive and multimodal therapy that may include surgery, chemotherapy, radiation therapy and transplantation, all of which can induce acute and long-term overwhelming side effects (Robinson, et al., 2007; Siegel et al., 2012). In addition to stressful treatment routines, frequent hospitalizations, uncertain prognostics and restricted socialization experiences</w:t>
      </w:r>
      <w:r w:rsidRPr="002B44B2">
        <w:rPr>
          <w:sz w:val="24"/>
          <w:lang w:val="en-US"/>
        </w:rPr>
        <w:t xml:space="preserve"> characterize this challenging pediatric health context</w:t>
      </w:r>
      <w:r w:rsidR="00A54A7B" w:rsidRPr="002B44B2">
        <w:rPr>
          <w:sz w:val="24"/>
          <w:lang w:val="en-US"/>
        </w:rPr>
        <w:t xml:space="preserve">. </w:t>
      </w:r>
      <w:r w:rsidR="00A54A7B" w:rsidRPr="008B7E48">
        <w:rPr>
          <w:sz w:val="24"/>
          <w:lang w:val="en-US"/>
        </w:rPr>
        <w:t xml:space="preserve">Research on </w:t>
      </w:r>
      <w:r w:rsidR="00A54A7B" w:rsidRPr="006D5959">
        <w:rPr>
          <w:sz w:val="24"/>
          <w:lang w:val="en-US"/>
        </w:rPr>
        <w:t>adaptation</w:t>
      </w:r>
      <w:r w:rsidR="00A54A7B" w:rsidRPr="008B7E48">
        <w:rPr>
          <w:sz w:val="24"/>
          <w:lang w:val="en-US"/>
        </w:rPr>
        <w:t xml:space="preserve"> of children and adolescents with cancer has shown an unexpected variability of results</w:t>
      </w:r>
      <w:r w:rsidR="00350FF7">
        <w:rPr>
          <w:sz w:val="24"/>
          <w:lang w:val="en-US"/>
        </w:rPr>
        <w:t xml:space="preserve">, </w:t>
      </w:r>
      <w:r w:rsidR="00501CBB">
        <w:rPr>
          <w:sz w:val="24"/>
          <w:lang w:val="en-US"/>
        </w:rPr>
        <w:t xml:space="preserve">with some studies </w:t>
      </w:r>
      <w:r w:rsidR="001130B8">
        <w:rPr>
          <w:sz w:val="24"/>
          <w:lang w:val="en-US"/>
        </w:rPr>
        <w:t>indicating</w:t>
      </w:r>
      <w:r w:rsidR="001130B8" w:rsidRPr="008B7E48">
        <w:rPr>
          <w:sz w:val="24"/>
          <w:lang w:val="en-US"/>
        </w:rPr>
        <w:t xml:space="preserve"> </w:t>
      </w:r>
      <w:r w:rsidR="00501CBB">
        <w:rPr>
          <w:sz w:val="24"/>
          <w:lang w:val="en-US"/>
        </w:rPr>
        <w:t xml:space="preserve">much </w:t>
      </w:r>
      <w:r w:rsidR="001130B8">
        <w:rPr>
          <w:sz w:val="24"/>
          <w:lang w:val="en-US"/>
        </w:rPr>
        <w:t xml:space="preserve">more than others, great </w:t>
      </w:r>
      <w:r w:rsidR="00501CBB">
        <w:rPr>
          <w:sz w:val="24"/>
          <w:lang w:val="en-US"/>
        </w:rPr>
        <w:t xml:space="preserve">vulnerability and </w:t>
      </w:r>
      <w:r w:rsidR="00501CBB" w:rsidRPr="008B7E48">
        <w:rPr>
          <w:sz w:val="24"/>
          <w:lang w:val="en-US"/>
        </w:rPr>
        <w:t xml:space="preserve">impairment in </w:t>
      </w:r>
      <w:r w:rsidR="00501CBB" w:rsidRPr="006D5959">
        <w:rPr>
          <w:sz w:val="24"/>
          <w:lang w:val="en-US"/>
        </w:rPr>
        <w:t>adaptation</w:t>
      </w:r>
      <w:r w:rsidR="00501CBB" w:rsidRPr="008B7E48">
        <w:rPr>
          <w:sz w:val="24"/>
          <w:lang w:val="en-US"/>
        </w:rPr>
        <w:t xml:space="preserve"> indicators, such as psychological adjustment or</w:t>
      </w:r>
      <w:r w:rsidR="00501CBB">
        <w:rPr>
          <w:sz w:val="24"/>
          <w:lang w:val="en-US"/>
        </w:rPr>
        <w:t xml:space="preserve"> </w:t>
      </w:r>
      <w:r w:rsidR="00E339FD">
        <w:rPr>
          <w:sz w:val="24"/>
          <w:lang w:val="en-US"/>
        </w:rPr>
        <w:t>h</w:t>
      </w:r>
      <w:r w:rsidR="00243A7F">
        <w:rPr>
          <w:sz w:val="24"/>
          <w:lang w:val="en-US"/>
        </w:rPr>
        <w:t>ealth-</w:t>
      </w:r>
      <w:r w:rsidR="00E339FD">
        <w:rPr>
          <w:sz w:val="24"/>
          <w:lang w:val="en-US"/>
        </w:rPr>
        <w:t>r</w:t>
      </w:r>
      <w:r w:rsidR="00501CBB">
        <w:rPr>
          <w:sz w:val="24"/>
          <w:lang w:val="en-US"/>
        </w:rPr>
        <w:t xml:space="preserve">elated </w:t>
      </w:r>
      <w:r w:rsidR="00E339FD">
        <w:rPr>
          <w:sz w:val="24"/>
          <w:lang w:val="en-US"/>
        </w:rPr>
        <w:t>q</w:t>
      </w:r>
      <w:r w:rsidR="00501CBB">
        <w:rPr>
          <w:sz w:val="24"/>
          <w:lang w:val="en-US"/>
        </w:rPr>
        <w:t xml:space="preserve">uality of </w:t>
      </w:r>
      <w:r w:rsidR="00E339FD">
        <w:rPr>
          <w:sz w:val="24"/>
          <w:lang w:val="en-US"/>
        </w:rPr>
        <w:t>l</w:t>
      </w:r>
      <w:r w:rsidR="00501CBB">
        <w:rPr>
          <w:sz w:val="24"/>
          <w:lang w:val="en-US"/>
        </w:rPr>
        <w:t xml:space="preserve">ife </w:t>
      </w:r>
      <w:r w:rsidR="00243A7F">
        <w:rPr>
          <w:sz w:val="24"/>
          <w:lang w:val="en-US"/>
        </w:rPr>
        <w:t>(</w:t>
      </w:r>
      <w:proofErr w:type="spellStart"/>
      <w:r w:rsidR="00243A7F">
        <w:rPr>
          <w:sz w:val="24"/>
          <w:lang w:val="en-US"/>
        </w:rPr>
        <w:t>HRQoL</w:t>
      </w:r>
      <w:proofErr w:type="spellEnd"/>
      <w:r w:rsidR="001130B8">
        <w:rPr>
          <w:sz w:val="24"/>
          <w:lang w:val="en-US"/>
        </w:rPr>
        <w:t xml:space="preserve">; </w:t>
      </w:r>
      <w:r w:rsidR="008B4B3B" w:rsidRPr="008B7E48">
        <w:rPr>
          <w:sz w:val="24"/>
          <w:lang w:val="en-US"/>
        </w:rPr>
        <w:fldChar w:fldCharType="begin" w:fldLock="1"/>
      </w:r>
      <w:r w:rsidR="00501CBB" w:rsidRPr="008B7E48">
        <w:rPr>
          <w:sz w:val="24"/>
          <w:lang w:val="en-US"/>
        </w:rPr>
        <w:instrText>ADDIN CSL_CITATION { "citationItems" : [ { "id" : "ITEM-1", "itemData" : { "DOI" : "10.1016/j.ejca.2007.05.031", "abstract" : "The present study sets out to add to knowledge about the development over time of health-related quality of life (HRQL), anxiety and depression among survivors of adolescent cancer. The aim was to investigate if and how the HRQL, anxiety and depression of a group of adolescents with cancer differ from those of a reference group shortly after diagnosis, and subsequently at 6, 12 and 18 months after diagnosis. Adolescents diagnosed with cancer and a reference group randomised from the general population completed the Hospital Anxiety and Depression Scale (HADS) and the two subscales Mental Health and Vitality in the Short Form 36 (SF-36) in telephone interviews. The results indicate a steady increase in psychological well-being from the time of diagnosis, when the cancer patients' ratings were significantly worse than those of the general population, and onwards. The differences gradually disappeared and then were reversed, resulting in the cancer group reporting significantly better HRQL and lower levels of anxiety and depression than the reference group when 1.5 years had passed since diagnosis. The adolescents faced with cancer show signs of adaptation to trauma, which can be understood in relation to the theoretical framework of posttraumatic growth as well as response shift. Future research should continue to follow this development over time, to investigate if the positive effects of the cancer experience will wear off, or if it has facilitated a permanent positive outcome.", "author" : [ { "dropping-particle" : "", "family" : "J\u00f6rng\u00e5rden", "given" : "Anna", "non-dropping-particle" : "", "parse-names" : false, "suffix" : "" }, { "dropping-particle" : "", "family" : "Mattsson", "given" : "Elisabet", "non-dropping-particle" : "", "parse-names" : false, "suffix" : "" }, { "dropping-particle" : "", "family" : "Essen", "given" : "Louise", "non-dropping-particle" : "von", "parse-names" : false, "suffix" : "" } ], "container-title" : "European journal of cancer (Oxford, England : 1990)", "id" : "ITEM-1", "issue" : "13", "issued" : { "date-parts" : [ [ "2007", "9" ] ] }, "page" : "1952-8", "title" : "Health-related quality of life, anxiety and depression among adolescents and young adults with cancer: a prospective longitudinal study.", "type" : "article-journal", "volume" : "43" }, "uris" : [ "http://www.mendeley.com/documents/?uuid=1a847397-811a-42aa-851f-e494d6d123dd" ] } ], "mendeley" : { "manualFormatting" : "(J\u00f6rng\u00e5rden, Mattsson, &amp; Von Essen, 2007;", "previouslyFormattedCitation" : "(J\u00f6rng\u00e5rden et al., 2007b)" }, "properties" : { "noteIndex" : 0 }, "schema" : "https://github.com/citation-style-language/schema/raw/master/csl-citation.json" }</w:instrText>
      </w:r>
      <w:r w:rsidR="008B4B3B" w:rsidRPr="008B7E48">
        <w:rPr>
          <w:sz w:val="24"/>
          <w:lang w:val="en-US"/>
        </w:rPr>
        <w:fldChar w:fldCharType="separate"/>
      </w:r>
      <w:r w:rsidR="00501CBB" w:rsidRPr="008B7E48">
        <w:rPr>
          <w:noProof/>
          <w:sz w:val="24"/>
          <w:lang w:val="en-US"/>
        </w:rPr>
        <w:t>Jörngården, Mattsson, &amp; Von Essen, 2007;</w:t>
      </w:r>
      <w:r w:rsidR="008B4B3B" w:rsidRPr="008B7E48">
        <w:rPr>
          <w:sz w:val="24"/>
          <w:lang w:val="en-US"/>
        </w:rPr>
        <w:fldChar w:fldCharType="end"/>
      </w:r>
      <w:r w:rsidR="00501CBB" w:rsidRPr="008B7E48">
        <w:rPr>
          <w:sz w:val="24"/>
          <w:lang w:val="en-US"/>
        </w:rPr>
        <w:t xml:space="preserve"> Kazak, 1994; </w:t>
      </w:r>
      <w:r w:rsidR="00501CBB" w:rsidRPr="00C059C7">
        <w:rPr>
          <w:bCs/>
          <w:noProof/>
          <w:sz w:val="24"/>
          <w:lang w:val="en-US"/>
        </w:rPr>
        <w:t xml:space="preserve">Landolt, </w:t>
      </w:r>
      <w:r w:rsidR="00501CBB" w:rsidRPr="00C059C7">
        <w:rPr>
          <w:noProof/>
          <w:sz w:val="24"/>
          <w:lang w:val="en-US"/>
        </w:rPr>
        <w:t xml:space="preserve">Vollrath, Niggli, Gnehm, &amp; Sennhauser, </w:t>
      </w:r>
      <w:r w:rsidR="00501CBB" w:rsidRPr="00C059C7">
        <w:rPr>
          <w:bCs/>
          <w:noProof/>
          <w:sz w:val="24"/>
          <w:lang w:val="en-US"/>
        </w:rPr>
        <w:t>2006</w:t>
      </w:r>
      <w:r w:rsidR="00501CBB" w:rsidRPr="00C059C7">
        <w:rPr>
          <w:sz w:val="24"/>
          <w:lang w:val="en-US"/>
        </w:rPr>
        <w:t>)</w:t>
      </w:r>
      <w:r w:rsidR="00501CBB">
        <w:rPr>
          <w:sz w:val="24"/>
          <w:lang w:val="en-US"/>
        </w:rPr>
        <w:t>.</w:t>
      </w:r>
    </w:p>
    <w:p w:rsidR="00CD4C60" w:rsidRPr="00232DA2" w:rsidRDefault="00CD4C60" w:rsidP="00CD4C60">
      <w:pPr>
        <w:spacing w:line="480" w:lineRule="auto"/>
        <w:contextualSpacing/>
        <w:jc w:val="left"/>
        <w:rPr>
          <w:sz w:val="24"/>
          <w:lang w:val="en-US"/>
        </w:rPr>
      </w:pPr>
      <w:r w:rsidRPr="008B7E48">
        <w:rPr>
          <w:sz w:val="24"/>
          <w:lang w:val="en-US"/>
        </w:rPr>
        <w:t xml:space="preserve">The majority of studies focused on </w:t>
      </w:r>
      <w:r>
        <w:rPr>
          <w:sz w:val="24"/>
          <w:lang w:val="en-US"/>
        </w:rPr>
        <w:t xml:space="preserve">pediatric cancer </w:t>
      </w:r>
      <w:r w:rsidRPr="008B7E48">
        <w:rPr>
          <w:sz w:val="24"/>
          <w:lang w:val="en-US"/>
        </w:rPr>
        <w:t xml:space="preserve">patients who had completed treatment, and found significant impairment in </w:t>
      </w:r>
      <w:proofErr w:type="spellStart"/>
      <w:r w:rsidRPr="008B7E48">
        <w:rPr>
          <w:sz w:val="24"/>
          <w:lang w:val="en-US"/>
        </w:rPr>
        <w:t>HRQoL</w:t>
      </w:r>
      <w:proofErr w:type="spellEnd"/>
      <w:r w:rsidRPr="008B7E48">
        <w:rPr>
          <w:sz w:val="24"/>
          <w:lang w:val="en-US"/>
        </w:rPr>
        <w:t xml:space="preserve"> when compared to children/adolescents from the general population (</w:t>
      </w:r>
      <w:proofErr w:type="spellStart"/>
      <w:r w:rsidRPr="008B7E48">
        <w:rPr>
          <w:bCs/>
          <w:sz w:val="24"/>
          <w:lang w:val="en-US"/>
        </w:rPr>
        <w:t>Koopman</w:t>
      </w:r>
      <w:proofErr w:type="spellEnd"/>
      <w:r w:rsidRPr="008B7E48">
        <w:rPr>
          <w:bCs/>
          <w:sz w:val="24"/>
          <w:lang w:val="en-US"/>
        </w:rPr>
        <w:t xml:space="preserve"> et al., 2005;</w:t>
      </w:r>
      <w:r w:rsidRPr="008B7E48">
        <w:rPr>
          <w:sz w:val="24"/>
          <w:lang w:val="en-US"/>
        </w:rPr>
        <w:t xml:space="preserve"> </w:t>
      </w:r>
      <w:proofErr w:type="spellStart"/>
      <w:r w:rsidRPr="008B7E48">
        <w:rPr>
          <w:bCs/>
          <w:sz w:val="24"/>
          <w:lang w:val="en-US"/>
        </w:rPr>
        <w:t>Meeske</w:t>
      </w:r>
      <w:proofErr w:type="spellEnd"/>
      <w:r w:rsidRPr="008B7E48">
        <w:rPr>
          <w:bCs/>
          <w:sz w:val="24"/>
          <w:lang w:val="en-US"/>
        </w:rPr>
        <w:t xml:space="preserve">, </w:t>
      </w:r>
      <w:r w:rsidRPr="008B7E48">
        <w:rPr>
          <w:noProof/>
          <w:sz w:val="24"/>
          <w:lang w:val="en-US"/>
        </w:rPr>
        <w:t>Katz, Palmer, Burwinkle, &amp; Varni,</w:t>
      </w:r>
      <w:r w:rsidRPr="008B7E48">
        <w:rPr>
          <w:bCs/>
          <w:sz w:val="24"/>
          <w:lang w:val="en-US"/>
        </w:rPr>
        <w:t xml:space="preserve"> 2004; </w:t>
      </w:r>
      <w:r w:rsidR="008B4B3B" w:rsidRPr="008B7E48">
        <w:rPr>
          <w:bCs/>
          <w:sz w:val="24"/>
          <w:lang w:val="en-US"/>
        </w:rPr>
        <w:fldChar w:fldCharType="begin" w:fldLock="1"/>
      </w:r>
      <w:r w:rsidRPr="008B7E48">
        <w:rPr>
          <w:bCs/>
          <w:sz w:val="24"/>
          <w:lang w:val="en-US"/>
        </w:rPr>
        <w:instrText>ADDIN CSL_CITATION { "citationItems" : [ { "id" : "ITEM-1", "itemData" : { "DOI" : "10.1111/j.1651-2227.2007.00383.x", "abstract" : "To evaluate the health-related quality of life (HRQOL) and intellectual functioning of children in remission from acute lymphoblastic leukaemia (ALL).", "author" : [ { "dropping-particle" : "", "family" : "Reinfjell", "given" : "Trude", "non-dropping-particle" : "", "parse-names" : false, "suffix" : "" }, { "dropping-particle" : "", "family" : "Lofstad", "given" : "G Elisabeth", "non-dropping-particle" : "", "parse-names" : false, "suffix" : "" }, { "dropping-particle" : "", "family" : "Veenstra", "given" : "Marijke", "non-dropping-particle" : "", "parse-names" : false, "suffix" : "" }, { "dropping-particle" : "", "family" : "Vikan", "given" : "Arne", "non-dropping-particle" : "", "parse-names" : false, "suffix" : "" }, { "dropping-particle" : "", "family" : "Diseth", "given" : "Trond H", "non-dropping-particle" : "", "parse-names" : false, "suffix" : "" } ], "container-title" : "Acta paediatrica (Oslo, Norway : 1992)", "id" : "ITEM-1", "issue" : "9", "issued" : { "date-parts" : [ [ "2007", "9" ] ] }, "page" : "1280-5", "title" : "Health-related quality of life and intellectual functioning in children in remission from acute lymphoblastic leukaemia.", "type" : "article-journal", "volume" : "96" }, "uris" : [ "http://www.mendeley.com/documents/?uuid=3749d910-52f3-4d6f-8f0e-0475e1b7b7f0" ] } ], "mendeley" : { "manualFormatting" : "Reinfjell, Lofstad, Veenstra, Vikan, &amp; Diseth, 2007)", "previouslyFormattedCitation" : "(Reinfjell, Lofstad, Veenstra, Vikan, &amp; Diseth, 2007)" }, "properties" : { "noteIndex" : 0 }, "schema" : "https://github.com/citation-style-language/schema/raw/master/csl-citation.json" }</w:instrText>
      </w:r>
      <w:r w:rsidR="008B4B3B" w:rsidRPr="008B7E48">
        <w:rPr>
          <w:bCs/>
          <w:sz w:val="24"/>
          <w:lang w:val="en-US"/>
        </w:rPr>
        <w:fldChar w:fldCharType="separate"/>
      </w:r>
      <w:r w:rsidRPr="008B7E48">
        <w:rPr>
          <w:bCs/>
          <w:noProof/>
          <w:sz w:val="24"/>
          <w:lang w:val="en-US"/>
        </w:rPr>
        <w:t>Reinfjell, Lofstad, Veenstra, Vikan, &amp; Diseth, 2007)</w:t>
      </w:r>
      <w:r w:rsidR="008B4B3B" w:rsidRPr="008B7E48">
        <w:rPr>
          <w:bCs/>
          <w:sz w:val="24"/>
          <w:lang w:val="en-US"/>
        </w:rPr>
        <w:fldChar w:fldCharType="end"/>
      </w:r>
      <w:r w:rsidRPr="008B7E48">
        <w:rPr>
          <w:bCs/>
          <w:sz w:val="24"/>
          <w:lang w:val="en-US"/>
        </w:rPr>
        <w:t xml:space="preserve">. </w:t>
      </w:r>
      <w:r w:rsidRPr="008B7E48">
        <w:rPr>
          <w:sz w:val="24"/>
          <w:lang w:val="en-US"/>
        </w:rPr>
        <w:t xml:space="preserve">Nevertheless, other studies found similar </w:t>
      </w:r>
      <w:r w:rsidR="008B4B3B" w:rsidRPr="008B7E48">
        <w:rPr>
          <w:sz w:val="24"/>
          <w:lang w:val="en-US"/>
        </w:rPr>
        <w:fldChar w:fldCharType="begin" w:fldLock="1"/>
      </w:r>
      <w:r w:rsidRPr="008B7E48">
        <w:rPr>
          <w:sz w:val="24"/>
          <w:lang w:val="en-US"/>
        </w:rPr>
        <w:instrText>ADDIN CSL_CITATION { "citationItems" : [ { "id" : "ITEM-1", "itemData" : { "DOI" : "10.1016/j.ejca.2007.07.026", "abstract" : "To determine the Health Related Quality of Life (HRQL) in a population-based cohort of long-term survivors of childhood cancer in Piedmont, northwestern Italy.", "author" : [ { "dropping-particle" : "", "family" : "Alessi", "given" : "Daniela", "non-dropping-particle" : "", "parse-names" : false, "suffix" : "" }, { "dropping-particle" : "", "family" : "Dama", "given" : "Elisa", "non-dropping-particle" : "", "parse-names" : false, "suffix" : "" }, { "dropping-particle" : "", "family" : "Barr", "given" : "Ronald", "non-dropping-particle" : "", "parse-names" : false, "suffix" : "" }, { "dropping-particle" : "", "family" : "Mosso", "given" : "Maria Luisa", "non-dropping-particle" : "", "parse-names" : false, "suffix" : "" }, { "dropping-particle" : "", "family" : "Maule", "given" : "Milena", "non-dropping-particle" : "", "parse-names" : false, "suffix" : "" }, { "dropping-particle" : "", "family" : "Magnani", "given" : "Corrado", "non-dropping-particle" : "", "parse-names" : false, "suffix" : "" }, { "dropping-particle" : "", "family" : "Pastore", "given" : "Guido", "non-dropping-particle" : "", "parse-names" : false, "suffix" : "" }, { "dropping-particle" : "", "family" : "Merletti", "given" : "Franco", "non-dropping-particle" : "", "parse-names" : false, "suffix" : "" } ], "container-title" : "European journal of cancer (Oxford, England : 1990)", "id" : "ITEM-1", "issue" : "17", "issued" : { "date-parts" : [ [ "2007", "11" ] ] }, "page" : "2545-52", "title" : "Health-related quality of life of long-term childhood cancer survivors: a population-based study from the Childhood Cancer Registry of Piedmont, Italy.", "type" : "article-journal", "volume" : "43" }, "uris" : [ "http://www.mendeley.com/documents/?uuid=925fa78e-9a20-40f3-982a-6a3273037e90" ] } ], "mendeley" : { "manualFormatting" : "(Alessi et al., 2007", "previouslyFormattedCitation" : "(Alessi et al., 2007)" }, "properties" : { "noteIndex" : 0 }, "schema" : "https://github.com/citation-style-language/schema/raw/master/csl-citation.json" }</w:instrText>
      </w:r>
      <w:r w:rsidR="008B4B3B" w:rsidRPr="008B7E48">
        <w:rPr>
          <w:sz w:val="24"/>
          <w:lang w:val="en-US"/>
        </w:rPr>
        <w:fldChar w:fldCharType="separate"/>
      </w:r>
      <w:r w:rsidRPr="008B7E48">
        <w:rPr>
          <w:noProof/>
          <w:sz w:val="24"/>
          <w:lang w:val="en-US"/>
        </w:rPr>
        <w:t>(Alessi et al., 2007</w:t>
      </w:r>
      <w:r w:rsidR="008B4B3B" w:rsidRPr="008B7E48">
        <w:rPr>
          <w:sz w:val="24"/>
          <w:lang w:val="en-US"/>
        </w:rPr>
        <w:fldChar w:fldCharType="end"/>
      </w:r>
      <w:r w:rsidRPr="008B7E48">
        <w:rPr>
          <w:sz w:val="24"/>
          <w:lang w:val="en-US"/>
        </w:rPr>
        <w:t xml:space="preserve">; </w:t>
      </w:r>
      <w:r w:rsidRPr="008B7E48">
        <w:rPr>
          <w:bCs/>
          <w:sz w:val="24"/>
          <w:lang w:val="en-US"/>
        </w:rPr>
        <w:t xml:space="preserve">De </w:t>
      </w:r>
      <w:proofErr w:type="spellStart"/>
      <w:r w:rsidRPr="008B7E48">
        <w:rPr>
          <w:bCs/>
          <w:sz w:val="24"/>
          <w:lang w:val="en-US"/>
        </w:rPr>
        <w:t>Clercq</w:t>
      </w:r>
      <w:proofErr w:type="spellEnd"/>
      <w:r w:rsidRPr="008B7E48">
        <w:rPr>
          <w:bCs/>
          <w:sz w:val="24"/>
          <w:lang w:val="en-US"/>
        </w:rPr>
        <w:t xml:space="preserve">, De </w:t>
      </w:r>
      <w:proofErr w:type="spellStart"/>
      <w:r w:rsidRPr="008B7E48">
        <w:rPr>
          <w:bCs/>
          <w:sz w:val="24"/>
          <w:lang w:val="en-US"/>
        </w:rPr>
        <w:t>Fruyt</w:t>
      </w:r>
      <w:proofErr w:type="spellEnd"/>
      <w:r w:rsidRPr="008B7E48">
        <w:rPr>
          <w:bCs/>
          <w:sz w:val="24"/>
          <w:lang w:val="en-US"/>
        </w:rPr>
        <w:t xml:space="preserve">, </w:t>
      </w:r>
      <w:proofErr w:type="spellStart"/>
      <w:r w:rsidRPr="008B7E48">
        <w:rPr>
          <w:bCs/>
          <w:sz w:val="24"/>
          <w:lang w:val="en-US"/>
        </w:rPr>
        <w:t>Koot</w:t>
      </w:r>
      <w:proofErr w:type="spellEnd"/>
      <w:r w:rsidRPr="008B7E48">
        <w:rPr>
          <w:bCs/>
          <w:sz w:val="24"/>
          <w:lang w:val="en-US"/>
        </w:rPr>
        <w:t xml:space="preserve">, &amp; Benoit, 2004; </w:t>
      </w:r>
      <w:r w:rsidR="008B4B3B" w:rsidRPr="008B7E48">
        <w:rPr>
          <w:sz w:val="24"/>
          <w:lang w:val="en-US"/>
        </w:rPr>
        <w:fldChar w:fldCharType="begin" w:fldLock="1"/>
      </w:r>
      <w:r w:rsidRPr="008B7E48">
        <w:rPr>
          <w:sz w:val="24"/>
          <w:lang w:val="en-US"/>
        </w:rPr>
        <w:instrText>ADDIN CSL_CITATION { "citationItems" : [ { "id" : "ITEM-1", "itemData" : { "DOI" : "10.1016/j.pedn.2007.02.073", "abstract" : "The purpose of this study was to assess the quality of life of Greek survivors of childhood cancer by addressing the physical, psychological, spiritual, and social dimensions of their functioning. The SF-36 Health Survey and the Quality of Life Questionnaire, which was designed for this study, were used. Survivors' scores on most subscales of SF-36 were similar to those of controls, despite some difficulties in their daily activities. They perceived self as more susceptible to health problems, but also more mature and grounded. Generally, they seem to adapt well and focus on the positive aspects of their cancer experience, which enhances the meaning and quality of their life.", "author" : [ { "dropping-particle" : "", "family" : "Servitzoglou", "given" : "Marina", "non-dropping-particle" : "", "parse-names" : false, "suffix" : "" }, { "dropping-particle" : "", "family" : "Papadatou", "given" : "Danai", "non-dropping-particle" : "", "parse-names" : false, "suffix" : "" }, { "dropping-particle" : "", "family" : "Tsiantis", "given" : "Ioannis", "non-dropping-particle" : "", "parse-names" : false, "suffix" : "" }, { "dropping-particle" : "", "family" : "Vasilatou-Kosmidis", "given" : "Helen", "non-dropping-particle" : "", "parse-names" : false, "suffix" : "" } ], "container-title" : "Journal of pediatric nursing", "id" : "ITEM-1", "issue" : "5", "issued" : { "date-parts" : [ [ "2009", "10" ] ] }, "page" : "415-22", "publisher" : "Elsevier Inc.", "title" : "Quality of life of adolescent and young adult survivors of childhood cancer.", "type" : "article-journal", "volume" : "24" }, "uris" : [ "http://www.mendeley.com/documents/?uuid=d8bbe6e5-e935-4102-9b75-f7fcc9a09c4e" ] } ], "mendeley" : { "manualFormatting" : "Servitzoglou, Papadatou, Tsiantis, &amp; Vasilatou-Kosmidis, 2009", "previouslyFormattedCitation" : "(Servitzoglou, Papadatou, Tsiantis, &amp; Vasilatou-Kosmidis, 2009)" }, "properties" : { "noteIndex" : 0 }, "schema" : "https://github.com/citation-style-language/schema/raw/master/csl-citation.json" }</w:instrText>
      </w:r>
      <w:r w:rsidR="008B4B3B" w:rsidRPr="008B7E48">
        <w:rPr>
          <w:sz w:val="24"/>
          <w:lang w:val="en-US"/>
        </w:rPr>
        <w:fldChar w:fldCharType="separate"/>
      </w:r>
      <w:r w:rsidRPr="008B7E48">
        <w:rPr>
          <w:noProof/>
          <w:sz w:val="24"/>
          <w:lang w:val="en-US"/>
        </w:rPr>
        <w:t>Servitzoglou, Papadatou, Tsiantis, &amp; Vasilatou-Kosmidis, 2009</w:t>
      </w:r>
      <w:r w:rsidR="008B4B3B" w:rsidRPr="008B7E48">
        <w:rPr>
          <w:sz w:val="24"/>
          <w:lang w:val="en-US"/>
        </w:rPr>
        <w:fldChar w:fldCharType="end"/>
      </w:r>
      <w:r w:rsidRPr="008B7E48">
        <w:rPr>
          <w:sz w:val="24"/>
          <w:lang w:val="en-US"/>
        </w:rPr>
        <w:t xml:space="preserve">) or higher </w:t>
      </w:r>
      <w:r w:rsidR="008B4B3B" w:rsidRPr="008B7E48">
        <w:rPr>
          <w:sz w:val="24"/>
          <w:lang w:val="en-US"/>
        </w:rPr>
        <w:fldChar w:fldCharType="begin" w:fldLock="1"/>
      </w:r>
      <w:r w:rsidRPr="008B7E48">
        <w:rPr>
          <w:sz w:val="24"/>
          <w:lang w:val="en-US"/>
        </w:rPr>
        <w:instrText>ADDIN CSL_CITATION { "citationItems" : [ { "id" : "ITEM-1", "itemData" : { "DOI" : "10.1542/peds.2004-0649", "abstract" : "To assess the health-related quality of life (HRQL) of 8- to 12-year-old children undergoing therapy for cancer or childhood-cancer survivors by using the Minneapolis-Manchester Quality of Life-Youth Form (MMQL-YF), a comprehensive, multidimensional self-report instrument with demonstrable reliability and validity.", "author" : [ { "dropping-particle" : "", "family" : "Shankar", "given" : "Sadhna", "non-dropping-particle" : "", "parse-names" : false, "suffix" : "" }, { "dropping-particle" : "", "family" : "Robison", "given" : "Leslie", "non-dropping-particle" : "", "parse-names" : false, "suffix" : "" }, { "dropping-particle" : "", "family" : "Jenney", "given" : "Meriel E M", "non-dropping-particle" : "", "parse-names" : false, "suffix" : "" }, { "dropping-particle" : "", "family" : "Rockwood", "given" : "Todd H", "non-dropping-particle" : "", "parse-names" : false, "suffix" : "" }, { "dropping-particle" : "", "family" : "Wu", "given" : "Eric", "non-dropping-particle" : "", "parse-names" : false, "suffix" : "" }, { "dropping-particle" : "", "family" : "Feusner", "given" : "James", "non-dropping-particle" : "", "parse-names" : false, "suffix" : "" }, { "dropping-particle" : "", "family" : "Friedman", "given" : "Debra", "non-dropping-particle" : "", "parse-names" : false, "suffix" : "" }, { "dropping-particle" : "", "family" : "Kane", "given" : "Robert L", "non-dropping-particle" : "", "parse-names" : false, "suffix" : "" }, { "dropping-particle" : "", "family" : "Bhatia", "given" : "Smita", "non-dropping-particle" : "", "parse-names" : false, "suffix" : "" } ], "container-title" : "Pediatrics", "id" : "ITEM-1", "issue" : "2", "issued" : { "date-parts" : [ [ "2005", "2" ] ] }, "page" : "435-42", "title" : "Health-related quality of life in young survivors of childhood cancer using the Minneapolis-Manchester Quality of Life-Youth Form.", "type" : "article-journal", "volume" : "115" }, "uris" : [ "http://www.mendeley.com/documents/?uuid=0b7e2955-d8c8-4029-8342-3126f5f41bfd" ] } ], "mendeley" : { "manualFormatting" : "(Shankar et al., 2005", "previouslyFormattedCitation" : "(Shankar et al., 2005)" }, "properties" : { "noteIndex" : 0 }, "schema" : "https://github.com/citation-style-language/schema/raw/master/csl-citation.json" }</w:instrText>
      </w:r>
      <w:r w:rsidR="008B4B3B" w:rsidRPr="008B7E48">
        <w:rPr>
          <w:sz w:val="24"/>
          <w:lang w:val="en-US"/>
        </w:rPr>
        <w:fldChar w:fldCharType="separate"/>
      </w:r>
      <w:r w:rsidRPr="008B7E48">
        <w:rPr>
          <w:noProof/>
          <w:sz w:val="24"/>
          <w:lang w:val="en-US"/>
        </w:rPr>
        <w:t>(</w:t>
      </w:r>
      <w:r w:rsidR="008B4B3B" w:rsidRPr="008B7E48">
        <w:rPr>
          <w:sz w:val="24"/>
          <w:lang w:val="en-US"/>
        </w:rPr>
        <w:fldChar w:fldCharType="end"/>
      </w:r>
      <w:r w:rsidR="008B4B3B" w:rsidRPr="008B7E48">
        <w:rPr>
          <w:sz w:val="24"/>
          <w:lang w:val="en-US"/>
        </w:rPr>
        <w:fldChar w:fldCharType="begin" w:fldLock="1"/>
      </w:r>
      <w:r w:rsidRPr="008B7E48">
        <w:rPr>
          <w:sz w:val="24"/>
          <w:lang w:val="en-US"/>
        </w:rPr>
        <w:instrText>ADDIN CSL_CITATION { "citationItems" : [ { "id" : "ITEM-1", "itemData" : { "DOI" : "10.1016/j.ejca.2010.01.021", "abstract" : "Quality of life, anxiety, and depression among persons diagnosed with cancer during adolescence up to 4 years after diagnosis, and in comparison with a reference group were investigated.", "author" : [ { "dropping-particle" : "", "family" : "Larsson", "given" : "Gunnel", "non-dropping-particle" : "", "parse-names" : false, "suffix" : "" }, { "dropping-particle" : "", "family" : "Mattsson", "given" : "Elisabet", "non-dropping-particle" : "", "parse-names" : false, "suffix" : "" }, { "dropping-particle" : "", "family" : "Essen", "given" : "Louise", "non-dropping-particle" : "von", "parse-names" : false, "suffix" : "" } ], "container-title" : "European journal of cancer (Oxford, England : 1990)", "id" : "ITEM-1", "issue" : "6", "issued" : { "date-parts" : [ [ "2010", "4" ] ] }, "page" : "1062-8", "publisher" : "Elsevier Ltd", "title" : "Aspects of quality of life, anxiety, and depression among persons diagnosed with cancer during adolescence: a long-term follow-up study.", "type" : "article-journal", "volume" : "46" }, "uris" : [ "http://www.mendeley.com/documents/?uuid=557560c2-fc6a-4fd8-8dea-5297fdecbe1e" ] } ], "mendeley" : { "manualFormatting" : "Larsson, Mattsson, &amp; Von Essen, 2010)", "previouslyFormattedCitation" : "(Larsson, Mattsson, &amp; Von Essen, 2010)" }, "properties" : { "noteIndex" : 0 }, "schema" : "https://github.com/citation-style-language/schema/raw/master/csl-citation.json" }</w:instrText>
      </w:r>
      <w:r w:rsidR="008B4B3B" w:rsidRPr="008B7E48">
        <w:rPr>
          <w:sz w:val="24"/>
          <w:lang w:val="en-US"/>
        </w:rPr>
        <w:fldChar w:fldCharType="separate"/>
      </w:r>
      <w:r w:rsidRPr="008B7E48">
        <w:rPr>
          <w:noProof/>
          <w:sz w:val="24"/>
          <w:lang w:val="en-US"/>
        </w:rPr>
        <w:t>Larsson, Mattsson, &amp; Von Essen, 2010; Shankar et al., 2005)</w:t>
      </w:r>
      <w:r w:rsidR="008B4B3B" w:rsidRPr="008B7E48">
        <w:rPr>
          <w:sz w:val="24"/>
          <w:lang w:val="en-US"/>
        </w:rPr>
        <w:fldChar w:fldCharType="end"/>
      </w:r>
      <w:r>
        <w:rPr>
          <w:sz w:val="24"/>
          <w:lang w:val="en-US"/>
        </w:rPr>
        <w:t xml:space="preserve"> levels of </w:t>
      </w:r>
      <w:proofErr w:type="spellStart"/>
      <w:r>
        <w:rPr>
          <w:sz w:val="24"/>
          <w:lang w:val="en-US"/>
        </w:rPr>
        <w:lastRenderedPageBreak/>
        <w:t>HRQoL</w:t>
      </w:r>
      <w:proofErr w:type="spellEnd"/>
      <w:r>
        <w:rPr>
          <w:sz w:val="24"/>
          <w:lang w:val="en-US"/>
        </w:rPr>
        <w:t xml:space="preserve"> </w:t>
      </w:r>
      <w:r w:rsidRPr="008B7E48">
        <w:rPr>
          <w:sz w:val="24"/>
          <w:lang w:val="en-US"/>
        </w:rPr>
        <w:t xml:space="preserve">in patients who had completed treatment, compared to healthy controls, even after a relapse </w:t>
      </w:r>
      <w:r w:rsidR="001130B8">
        <w:rPr>
          <w:sz w:val="24"/>
          <w:lang w:val="en-US"/>
        </w:rPr>
        <w:t xml:space="preserve">occurred </w:t>
      </w:r>
      <w:r w:rsidRPr="008B7E48">
        <w:rPr>
          <w:sz w:val="24"/>
          <w:lang w:val="en-US"/>
        </w:rPr>
        <w:t>(</w:t>
      </w:r>
      <w:proofErr w:type="spellStart"/>
      <w:r w:rsidRPr="008B7E48">
        <w:rPr>
          <w:sz w:val="24"/>
          <w:lang w:val="en-US"/>
        </w:rPr>
        <w:t>Essig</w:t>
      </w:r>
      <w:proofErr w:type="spellEnd"/>
      <w:r w:rsidRPr="008B7E48">
        <w:rPr>
          <w:sz w:val="24"/>
          <w:lang w:val="en-US"/>
        </w:rPr>
        <w:t xml:space="preserve"> et al., 2012). </w:t>
      </w:r>
      <w:r w:rsidR="001130B8" w:rsidRPr="008B7E48">
        <w:rPr>
          <w:sz w:val="24"/>
          <w:lang w:val="en-US"/>
        </w:rPr>
        <w:t>Studies</w:t>
      </w:r>
      <w:r w:rsidRPr="008B7E48">
        <w:rPr>
          <w:sz w:val="24"/>
          <w:lang w:val="en-US"/>
        </w:rPr>
        <w:t xml:space="preserve"> focusing on the active treatment phase seem to show more consistent findings. </w:t>
      </w:r>
      <w:r>
        <w:rPr>
          <w:sz w:val="24"/>
          <w:lang w:val="en-US"/>
        </w:rPr>
        <w:t>During this phase</w:t>
      </w:r>
      <w:r w:rsidR="001130B8">
        <w:rPr>
          <w:sz w:val="24"/>
          <w:lang w:val="en-US"/>
        </w:rPr>
        <w:t>,</w:t>
      </w:r>
      <w:r>
        <w:rPr>
          <w:sz w:val="24"/>
          <w:lang w:val="en-US"/>
        </w:rPr>
        <w:t xml:space="preserve"> c</w:t>
      </w:r>
      <w:r w:rsidRPr="008B7E48">
        <w:rPr>
          <w:sz w:val="24"/>
          <w:lang w:val="en-US"/>
        </w:rPr>
        <w:t>hildren/adolescents reported l</w:t>
      </w:r>
      <w:r>
        <w:rPr>
          <w:sz w:val="24"/>
          <w:lang w:val="en-US"/>
        </w:rPr>
        <w:t xml:space="preserve">ower </w:t>
      </w:r>
      <w:proofErr w:type="spellStart"/>
      <w:r>
        <w:rPr>
          <w:sz w:val="24"/>
          <w:lang w:val="en-US"/>
        </w:rPr>
        <w:t>HRQoL</w:t>
      </w:r>
      <w:proofErr w:type="spellEnd"/>
      <w:r>
        <w:rPr>
          <w:sz w:val="24"/>
          <w:lang w:val="en-US"/>
        </w:rPr>
        <w:t xml:space="preserve"> compared to</w:t>
      </w:r>
      <w:r w:rsidR="001130B8">
        <w:rPr>
          <w:sz w:val="24"/>
          <w:lang w:val="en-US"/>
        </w:rPr>
        <w:t>:</w:t>
      </w:r>
      <w:r>
        <w:rPr>
          <w:sz w:val="24"/>
          <w:lang w:val="en-US"/>
        </w:rPr>
        <w:t xml:space="preserve"> youths</w:t>
      </w:r>
      <w:r w:rsidRPr="008B7E48">
        <w:rPr>
          <w:sz w:val="24"/>
          <w:lang w:val="en-US"/>
        </w:rPr>
        <w:t xml:space="preserve"> who had completed treatment </w:t>
      </w:r>
      <w:r w:rsidR="008B4B3B" w:rsidRPr="008B7E48">
        <w:rPr>
          <w:sz w:val="24"/>
          <w:lang w:val="en-US"/>
        </w:rPr>
        <w:fldChar w:fldCharType="begin" w:fldLock="1"/>
      </w:r>
      <w:r w:rsidRPr="008B7E48">
        <w:rPr>
          <w:sz w:val="24"/>
          <w:lang w:val="en-US"/>
        </w:rPr>
        <w:instrText>ADDIN CSL_CITATION { "citationItems" : [ { "id" : "ITEM-1", "itemData" : { "DOI" : "10.1016/j.ejon.2007.10.005", "abstract" : "The aim of the present study is to (a) describe the level of agreement between reports of health-related quality of life (HRQL) obtained from parents and young patients both on- and off-treatment and (b) explore the factors that may affect the level of agreement in the quality of life (QoL) between young patients and parental proxies.", "author" : [ { "dropping-particle" : "", "family" : "Matziou", "given" : "Vasiliki", "non-dropping-particle" : "", "parse-names" : false, "suffix" : "" }, { "dropping-particle" : "", "family" : "Perdikaris", "given" : "</w:instrText>
      </w:r>
      <w:r w:rsidRPr="00D7235F">
        <w:rPr>
          <w:sz w:val="24"/>
          <w:lang w:val="fr-FR"/>
        </w:rPr>
        <w:instrText>Pantelis", "non-dropping-particle" : "", "parse-names" : false, "suffix" : "" }, { "dropping-particle" : "", "family" : "Feloni", "given" : "Dimitra", "non-dropping-particle" : "", "parse-names" : false, "suffix" : "" }, { "dropping-particle" : "", "family" : "Moschovi", "given" : "Maria", "non-dropping-particle" : "", "parse-names" : false, "suffix" : "" }, { "dropping-particle" : "", "family" : "Moshovi", "given" : "Maria", "non-dropping-particle" : "", "parse-names" : false, "suffix" : "" }, { "dropping-particle" : "", "family" : "Tsoumakas", "given" : "Konstantinos", "non-dropping-particle" : "", "parse-names" : false, "suffix" : "" }, { "dropping-particle" : "", "family" : "Merkouris", "given" : "Anastasios", "non-dropping-particle" : "", "parse-names" : false, "suffix" : "" } ], "container-title" : "European journal of oncology nursing : the official journal of European Oncology Nursing Society", "id" : "ITEM-1", "issue" : "3", "issued" : { "date-parts" : [ [ "2008", "7" ] ] }, "page" : "209-16", "title" : "Cancer in childhood: children's and parents' aspects for quality of life.", "type" : "article-journal", "volume" : "12" }, "uris" : [ "http://www.mendeley.com/documents/?uuid=ec23385b-e8ec-4f8c-b62e-60e5f5ccf53c" ] } ], "mendeley" : { "manualFormatting" : "(Matziou et al., 2008", "previouslyFormattedCitation" : "(Matziou et al., 2008)" }, "properties" : { "noteIndex" : 0 }, "schema" : "https://github.com/citation-style-language/schema/raw/master/csl-citation.json" }</w:instrText>
      </w:r>
      <w:r w:rsidR="008B4B3B" w:rsidRPr="008B7E48">
        <w:rPr>
          <w:sz w:val="24"/>
          <w:lang w:val="en-US"/>
        </w:rPr>
        <w:fldChar w:fldCharType="separate"/>
      </w:r>
      <w:r w:rsidRPr="00D7235F">
        <w:rPr>
          <w:noProof/>
          <w:sz w:val="24"/>
          <w:lang w:val="fr-FR"/>
        </w:rPr>
        <w:t>(Matziou et al., 2008</w:t>
      </w:r>
      <w:r w:rsidR="008B4B3B" w:rsidRPr="008B7E48">
        <w:rPr>
          <w:sz w:val="24"/>
          <w:lang w:val="en-US"/>
        </w:rPr>
        <w:fldChar w:fldCharType="end"/>
      </w:r>
      <w:r w:rsidRPr="00D7235F">
        <w:rPr>
          <w:sz w:val="24"/>
          <w:lang w:val="fr-FR"/>
        </w:rPr>
        <w:t xml:space="preserve">; </w:t>
      </w:r>
      <w:proofErr w:type="spellStart"/>
      <w:r w:rsidRPr="00D7235F">
        <w:rPr>
          <w:bCs/>
          <w:sz w:val="24"/>
          <w:lang w:val="fr-FR"/>
        </w:rPr>
        <w:t>Meeske</w:t>
      </w:r>
      <w:proofErr w:type="spellEnd"/>
      <w:r w:rsidRPr="00D7235F">
        <w:rPr>
          <w:bCs/>
          <w:sz w:val="24"/>
          <w:lang w:val="fr-FR"/>
        </w:rPr>
        <w:t xml:space="preserve"> et al., 2004; </w:t>
      </w:r>
      <w:r w:rsidR="008B4B3B" w:rsidRPr="008B7E48">
        <w:rPr>
          <w:bCs/>
          <w:sz w:val="24"/>
          <w:lang w:val="en-US"/>
        </w:rPr>
        <w:fldChar w:fldCharType="begin" w:fldLock="1"/>
      </w:r>
      <w:r w:rsidRPr="00D7235F">
        <w:rPr>
          <w:bCs/>
          <w:sz w:val="24"/>
          <w:lang w:val="fr-FR"/>
        </w:rPr>
        <w:instrText>ADDIN CSL_CITATION { "citationItems" : [ { "id" : "ITEM-1", "itemData" : { "DOI" : "10.1002/cncr.21871", "abstract" : "In pediatric settings, measures of health-related quality of life (HRQL) are often obtained by proxy, especially from parents, but the correlation between parental report and patient report has not been clearly established. In the current study, the authors examined the agreement between child and parent reports of HRQL in children with cancer (both those receiving treatment and those off treatment) and healthy controls.", "author" : [ { "dropping-particle" : "", "family" : "Russell", "given" : "Kathryn M W", "non-dropping-particle" : "", "parse-names" : false, "suffix" : "" }, { "dropping-particle" : "", "family" : "Hudson", "given" : "Melissa", "non-dropping-particle" : "", "parse-names" : false, "suffix" : "" }, { "dropping-particle" : "", "family" : "Long", "given" : "Alanna", "non-dropping-particle" : "", "parse-names" : false, "suffix" : "" }, { "dropping-particle" : "", "family" : "Phipps", "given" : "Sean", "non-dropping-particle" : "", "parse-names" : false, "suffix" : "" } ], "container-title" : "Cancer", "id" : "ITEM-1", "issue" : "10", "issued" : { "date-parts" : [ [ "2006", "5", "15" ] ] }, "page" : "2267-74", "title" : "Assessment of health-related quality of life in children with cancer: consistency and agreement between parent and child reports.", "type" : "article-journal", "volume" : "106" }, "uris" : [ "http://www.mendeley.com/documents/?uuid=c2daf661-16a6-44bc-852f-81fdc7dc45fd" ] } ], "mendeley" : { "manualFormatting" : "Russell, Hudson, Long, &amp; Phipps, 2006", "previouslyFormattedCitation" : "(Russell, Hudson, Long, &amp; Phipps, 2006)" }, "properties" : { "noteIndex" : 0 }, "schema" : "https://github.com/citation-style-language/schema/raw/master/csl-citation.json" }</w:instrText>
      </w:r>
      <w:r w:rsidR="008B4B3B" w:rsidRPr="008B7E48">
        <w:rPr>
          <w:bCs/>
          <w:sz w:val="24"/>
          <w:lang w:val="en-US"/>
        </w:rPr>
        <w:fldChar w:fldCharType="separate"/>
      </w:r>
      <w:r w:rsidRPr="00D7235F">
        <w:rPr>
          <w:bCs/>
          <w:noProof/>
          <w:sz w:val="24"/>
          <w:lang w:val="fr-FR"/>
        </w:rPr>
        <w:t>Russell, Hudson, Long, &amp; Phipps, 2006</w:t>
      </w:r>
      <w:r w:rsidR="008B4B3B" w:rsidRPr="008B7E48">
        <w:rPr>
          <w:bCs/>
          <w:sz w:val="24"/>
          <w:lang w:val="en-US"/>
        </w:rPr>
        <w:fldChar w:fldCharType="end"/>
      </w:r>
      <w:r w:rsidRPr="00D7235F">
        <w:rPr>
          <w:bCs/>
          <w:sz w:val="24"/>
          <w:lang w:val="fr-FR"/>
        </w:rPr>
        <w:t xml:space="preserve">; Shankar et al., 2005; Wu et al., 2007), patients </w:t>
      </w:r>
      <w:proofErr w:type="spellStart"/>
      <w:r w:rsidRPr="00D7235F">
        <w:rPr>
          <w:bCs/>
          <w:sz w:val="24"/>
          <w:lang w:val="fr-FR"/>
        </w:rPr>
        <w:t>with</w:t>
      </w:r>
      <w:proofErr w:type="spellEnd"/>
      <w:r w:rsidRPr="00D7235F">
        <w:rPr>
          <w:bCs/>
          <w:sz w:val="24"/>
          <w:lang w:val="fr-FR"/>
        </w:rPr>
        <w:t xml:space="preserve"> </w:t>
      </w:r>
      <w:proofErr w:type="spellStart"/>
      <w:r w:rsidRPr="00D7235F">
        <w:rPr>
          <w:bCs/>
          <w:sz w:val="24"/>
          <w:lang w:val="fr-FR"/>
        </w:rPr>
        <w:t>another</w:t>
      </w:r>
      <w:proofErr w:type="spellEnd"/>
      <w:r w:rsidRPr="00D7235F">
        <w:rPr>
          <w:bCs/>
          <w:sz w:val="24"/>
          <w:lang w:val="fr-FR"/>
        </w:rPr>
        <w:t xml:space="preserve"> </w:t>
      </w:r>
      <w:proofErr w:type="spellStart"/>
      <w:r w:rsidRPr="00D7235F">
        <w:rPr>
          <w:bCs/>
          <w:sz w:val="24"/>
          <w:lang w:val="fr-FR"/>
        </w:rPr>
        <w:t>chronic</w:t>
      </w:r>
      <w:proofErr w:type="spellEnd"/>
      <w:r w:rsidRPr="00D7235F">
        <w:rPr>
          <w:bCs/>
          <w:sz w:val="24"/>
          <w:lang w:val="fr-FR"/>
        </w:rPr>
        <w:t xml:space="preserve"> </w:t>
      </w:r>
      <w:proofErr w:type="spellStart"/>
      <w:r w:rsidRPr="00D7235F">
        <w:rPr>
          <w:bCs/>
          <w:sz w:val="24"/>
          <w:lang w:val="fr-FR"/>
        </w:rPr>
        <w:t>illness</w:t>
      </w:r>
      <w:proofErr w:type="spellEnd"/>
      <w:r w:rsidRPr="00D7235F">
        <w:rPr>
          <w:bCs/>
          <w:sz w:val="24"/>
          <w:lang w:val="fr-FR"/>
        </w:rPr>
        <w:t xml:space="preserve"> (</w:t>
      </w:r>
      <w:proofErr w:type="spellStart"/>
      <w:r w:rsidRPr="00D7235F">
        <w:rPr>
          <w:bCs/>
          <w:sz w:val="24"/>
          <w:lang w:val="fr-FR"/>
        </w:rPr>
        <w:t>Varni</w:t>
      </w:r>
      <w:proofErr w:type="spellEnd"/>
      <w:r w:rsidRPr="00D7235F">
        <w:rPr>
          <w:bCs/>
          <w:sz w:val="24"/>
          <w:lang w:val="fr-FR"/>
        </w:rPr>
        <w:t xml:space="preserve">, </w:t>
      </w:r>
      <w:proofErr w:type="spellStart"/>
      <w:r w:rsidRPr="00D7235F">
        <w:rPr>
          <w:bCs/>
          <w:sz w:val="24"/>
          <w:lang w:val="fr-FR"/>
        </w:rPr>
        <w:t>Limbers</w:t>
      </w:r>
      <w:proofErr w:type="spellEnd"/>
      <w:r w:rsidRPr="00D7235F">
        <w:rPr>
          <w:bCs/>
          <w:sz w:val="24"/>
          <w:lang w:val="fr-FR"/>
        </w:rPr>
        <w:t xml:space="preserve">, &amp; </w:t>
      </w:r>
      <w:proofErr w:type="spellStart"/>
      <w:r w:rsidRPr="00D7235F">
        <w:rPr>
          <w:bCs/>
          <w:sz w:val="24"/>
          <w:lang w:val="fr-FR"/>
        </w:rPr>
        <w:t>Burwinkle</w:t>
      </w:r>
      <w:proofErr w:type="spellEnd"/>
      <w:r w:rsidRPr="00D7235F">
        <w:rPr>
          <w:bCs/>
          <w:sz w:val="24"/>
          <w:lang w:val="fr-FR"/>
        </w:rPr>
        <w:t xml:space="preserve">, 2007), and </w:t>
      </w:r>
      <w:proofErr w:type="spellStart"/>
      <w:r w:rsidRPr="00D7235F">
        <w:rPr>
          <w:sz w:val="24"/>
          <w:lang w:val="fr-FR"/>
        </w:rPr>
        <w:t>healthy</w:t>
      </w:r>
      <w:proofErr w:type="spellEnd"/>
      <w:r w:rsidRPr="00D7235F">
        <w:rPr>
          <w:sz w:val="24"/>
          <w:lang w:val="fr-FR"/>
        </w:rPr>
        <w:t xml:space="preserve"> </w:t>
      </w:r>
      <w:proofErr w:type="spellStart"/>
      <w:r w:rsidRPr="00D7235F">
        <w:rPr>
          <w:sz w:val="24"/>
          <w:lang w:val="fr-FR"/>
        </w:rPr>
        <w:t>controls</w:t>
      </w:r>
      <w:proofErr w:type="spellEnd"/>
      <w:r w:rsidRPr="00D7235F">
        <w:rPr>
          <w:sz w:val="24"/>
          <w:lang w:val="fr-FR"/>
        </w:rPr>
        <w:t xml:space="preserve"> (</w:t>
      </w:r>
      <w:proofErr w:type="spellStart"/>
      <w:r w:rsidRPr="00D7235F">
        <w:rPr>
          <w:bCs/>
          <w:sz w:val="24"/>
          <w:lang w:val="fr-FR"/>
        </w:rPr>
        <w:t>Eiser</w:t>
      </w:r>
      <w:proofErr w:type="spellEnd"/>
      <w:r w:rsidRPr="00D7235F">
        <w:rPr>
          <w:bCs/>
          <w:sz w:val="24"/>
          <w:lang w:val="fr-FR"/>
        </w:rPr>
        <w:t xml:space="preserve">, </w:t>
      </w:r>
      <w:proofErr w:type="spellStart"/>
      <w:r w:rsidRPr="00D7235F">
        <w:rPr>
          <w:bCs/>
          <w:sz w:val="24"/>
          <w:lang w:val="fr-FR"/>
        </w:rPr>
        <w:t>Eiser</w:t>
      </w:r>
      <w:proofErr w:type="spellEnd"/>
      <w:r w:rsidRPr="00D7235F">
        <w:rPr>
          <w:bCs/>
          <w:sz w:val="24"/>
          <w:lang w:val="fr-FR"/>
        </w:rPr>
        <w:t xml:space="preserve">, &amp; </w:t>
      </w:r>
      <w:proofErr w:type="spellStart"/>
      <w:r w:rsidRPr="00D7235F">
        <w:rPr>
          <w:bCs/>
          <w:sz w:val="24"/>
          <w:lang w:val="fr-FR"/>
        </w:rPr>
        <w:t>Stride</w:t>
      </w:r>
      <w:proofErr w:type="spellEnd"/>
      <w:r w:rsidRPr="00D7235F">
        <w:rPr>
          <w:bCs/>
          <w:sz w:val="24"/>
          <w:lang w:val="fr-FR"/>
        </w:rPr>
        <w:t xml:space="preserve">, 2005; </w:t>
      </w:r>
      <w:r w:rsidR="008B4B3B" w:rsidRPr="008B7E48">
        <w:rPr>
          <w:bCs/>
          <w:sz w:val="24"/>
          <w:lang w:val="en-US"/>
        </w:rPr>
        <w:fldChar w:fldCharType="begin" w:fldLock="1"/>
      </w:r>
      <w:r w:rsidRPr="00D7235F">
        <w:rPr>
          <w:bCs/>
          <w:sz w:val="24"/>
          <w:lang w:val="fr-FR"/>
        </w:rPr>
        <w:instrText>ADDIN CSL_CITATION { "citationItems" : [ { "id" : "ITEM-1", "itemData" : { "DOI" : "10.1186/1477-7525-4-63", "abstract" : "Most studies on health-related quality of life (HRQOL) in children with cancer focused on survivors. Only a few studies have evaluated patients during ongoing oncological treatment. The aim of this study was a prospective assessment of HRQOL in children during the first year after</w:instrText>
      </w:r>
      <w:r w:rsidRPr="00DD0FF0">
        <w:rPr>
          <w:bCs/>
          <w:sz w:val="24"/>
          <w:lang w:val="en-US"/>
        </w:rPr>
        <w:instrText xml:space="preserve"> diagnosis of cancer and an examination of demographic, medical, and parental predictors of HRQOL.", "author" : [ { "dropping-particle" : "", "family" : "Landolt", "given" : "Markus a", "non-dropping-particle" : "", "parse-names" : false, "suffix" : "" }, { "dropping-particle" : "", "family" : "Vollrath", "given" : "Margarete", "non-dropping-particle" : "", "parse-names" : false, "suffix" : "" }, { "dropping-particle" : "", "family" : "Niggli", "given" : "Felix K", "non-dropping-particle" : "", "parse-names" : false, "suffix" : "" }, { "dropping-particle" : "", "family" : "Gnehm", "given" : "Hanspeter E", "non-dropping-particle" : "", "parse-names" : false, "suffix" : "" }, { "dropping-particle" : "", "family" : "Sennhauser", "given" : "Felix H", "non-dropping-particle" : "", "parse-names" : false, "suffix" : "" } ], "container-title" : "Health and quality of life outco</w:instrText>
      </w:r>
      <w:r w:rsidRPr="008B7E48">
        <w:rPr>
          <w:bCs/>
          <w:sz w:val="24"/>
          <w:lang w:val="en-US"/>
        </w:rPr>
        <w:instrText>mes", "id" : "ITEM-1", "issued" : { "date-parts" : [ [ "2006", "1" ] ] }, "page" : "63", "title" : "Health-related quality of life in children with newly diagnosed cancer: a one year follow-up study.", "type" : "article-journal", "volume" : "4" }, "uris" : [ "http://www.mendeley.com/documents/?uuid=18ee59e8-57b4-4717-a996-eb98dd37273c" ] } ], "mendeley" : { "manualFormatting" : "Landolt et al., 2006; Shankar et al., 2005)", "previouslyFormattedCitation" : "(Landolt et al., 2006)" }, "properties" : { "noteIndex" : 0 }, "schema" : "https://github.com/citation-style-language/schema/raw/master/csl-citation.json" }</w:instrText>
      </w:r>
      <w:r w:rsidR="008B4B3B" w:rsidRPr="008B7E48">
        <w:rPr>
          <w:bCs/>
          <w:sz w:val="24"/>
          <w:lang w:val="en-US"/>
        </w:rPr>
        <w:fldChar w:fldCharType="separate"/>
      </w:r>
      <w:r w:rsidRPr="008B7E48">
        <w:rPr>
          <w:bCs/>
          <w:noProof/>
          <w:sz w:val="24"/>
          <w:lang w:val="en-US"/>
        </w:rPr>
        <w:t xml:space="preserve">Landolt et al., 2006; </w:t>
      </w:r>
      <w:r w:rsidRPr="008B7E48">
        <w:rPr>
          <w:noProof/>
          <w:sz w:val="24"/>
          <w:lang w:val="en-US"/>
        </w:rPr>
        <w:t>Shankar et al., 2005</w:t>
      </w:r>
      <w:r w:rsidRPr="008B7E48">
        <w:rPr>
          <w:bCs/>
          <w:noProof/>
          <w:sz w:val="24"/>
          <w:lang w:val="en-US"/>
        </w:rPr>
        <w:t>)</w:t>
      </w:r>
      <w:r w:rsidR="008B4B3B" w:rsidRPr="008B7E48">
        <w:rPr>
          <w:bCs/>
          <w:sz w:val="24"/>
          <w:lang w:val="en-US"/>
        </w:rPr>
        <w:fldChar w:fldCharType="end"/>
      </w:r>
      <w:r w:rsidRPr="008B7E48">
        <w:rPr>
          <w:bCs/>
          <w:sz w:val="24"/>
          <w:lang w:val="en-US"/>
        </w:rPr>
        <w:t>.</w:t>
      </w:r>
      <w:r>
        <w:rPr>
          <w:bCs/>
          <w:sz w:val="24"/>
          <w:lang w:val="en-US"/>
        </w:rPr>
        <w:t xml:space="preserve"> Likewise, longitudinal studies revealed </w:t>
      </w:r>
      <w:r w:rsidRPr="008B7E48">
        <w:rPr>
          <w:bCs/>
          <w:sz w:val="24"/>
          <w:lang w:val="en-US"/>
        </w:rPr>
        <w:t>that</w:t>
      </w:r>
      <w:r w:rsidR="001130B8">
        <w:rPr>
          <w:bCs/>
          <w:sz w:val="24"/>
          <w:lang w:val="en-US"/>
        </w:rPr>
        <w:t>,</w:t>
      </w:r>
      <w:r w:rsidRPr="008B7E48">
        <w:rPr>
          <w:bCs/>
          <w:sz w:val="24"/>
          <w:lang w:val="en-US"/>
        </w:rPr>
        <w:t xml:space="preserve"> from the time of diagnosis, during active treatment, to after completion of treatment, the children/adolescents’ overall </w:t>
      </w:r>
      <w:proofErr w:type="spellStart"/>
      <w:r w:rsidRPr="008B7E48">
        <w:rPr>
          <w:bCs/>
          <w:sz w:val="24"/>
          <w:lang w:val="en-US"/>
        </w:rPr>
        <w:t>HRQoL</w:t>
      </w:r>
      <w:proofErr w:type="spellEnd"/>
      <w:r w:rsidRPr="008B7E48">
        <w:rPr>
          <w:bCs/>
          <w:sz w:val="24"/>
          <w:lang w:val="en-US"/>
        </w:rPr>
        <w:t xml:space="preserve"> improved </w:t>
      </w:r>
      <w:r w:rsidR="008B4B3B" w:rsidRPr="008B7E48">
        <w:rPr>
          <w:bCs/>
          <w:sz w:val="24"/>
          <w:lang w:val="en-US"/>
        </w:rPr>
        <w:fldChar w:fldCharType="begin" w:fldLock="1"/>
      </w:r>
      <w:r w:rsidRPr="008B7E48">
        <w:rPr>
          <w:bCs/>
          <w:sz w:val="24"/>
          <w:lang w:val="en-US"/>
        </w:rPr>
        <w:instrText>ADDIN CSL_CITATION { "citationItems" : [ { "id" : "ITEM-1", "itemData" : { "DOI" : "10.1186/1477-7525-4-63", "abstract" : "Most studies on health-related quality of life (HRQOL) in children with cancer focussed on survivors. Only few studies have evaluated patients during ongoing oncological treatment. The aim of this study was a prospective assessment of HRQOL in children during the first year after diagnosis of cancer and an examination of demographic, medical, and parental predictors of HRQOL.", "author" : [ { "dropping-particle" : "", "family" : "Landolt", "given" : "Markus a", "non-dropping-particle" : "", "parse-names" : false, "suffix" : "" }, { "dropping-particle" : "", "family" : "Vollrath", "given" : "Margarete", "non-dropping-particle" : "", "parse-names" : false, "suffix" : "" }, { "dropping-particle" : "", "family" : "Niggli", "given" : "Felix K", "non-dropping-particle" : "", "parse-names" : false, "suffix" : "" }, { "dropping-particle" : "", "family" : "Gnehm", "given" : "Hanspeter E", "non-dropping-particle" : "", "parse-names" : false, "suffix" : "" }, { "dropping-particle" : "", "family" : "Sennhauser", "given" : "Felix H", "non-dropping-particle" : "", "parse-names" : false, "suffix" : "" } ], "container-title" : "Health and quality of life outcomes", "id" : "ITEM-1", "issued" : { "date-parts" : [ [ "2006", "1" ] ] }, "page" : "63", "title" : "Health-related quality of life in children with newly diagnosed cancer: a one year follow-up study.", "type" : "article-journal", "volume" : "4" }, "uris" : [ "http://www.mendeley.com/documents/?uuid=18ee59e8-57b4-4717-a996-eb98dd37273c" ] } ], "mendeley" : { "manualFormatting" : "(Landolt et al., 2006", "previouslyFormattedCitation" : "(Landolt et al., 2006)" }, "properties" : { "noteIndex" : 0 }, "schema" : "https://github.com/citation-style-language/schema/raw/master/csl-citation.json" }</w:instrText>
      </w:r>
      <w:r w:rsidR="008B4B3B" w:rsidRPr="008B7E48">
        <w:rPr>
          <w:bCs/>
          <w:sz w:val="24"/>
          <w:lang w:val="en-US"/>
        </w:rPr>
        <w:fldChar w:fldCharType="separate"/>
      </w:r>
      <w:r w:rsidRPr="008B7E48">
        <w:rPr>
          <w:bCs/>
          <w:noProof/>
          <w:sz w:val="24"/>
          <w:lang w:val="en-US"/>
        </w:rPr>
        <w:t>(</w:t>
      </w:r>
      <w:r w:rsidR="008B4B3B" w:rsidRPr="008B7E48">
        <w:rPr>
          <w:bCs/>
          <w:sz w:val="24"/>
          <w:lang w:val="en-US"/>
        </w:rPr>
        <w:fldChar w:fldCharType="begin" w:fldLock="1"/>
      </w:r>
      <w:r w:rsidRPr="008B7E48">
        <w:rPr>
          <w:bCs/>
          <w:sz w:val="24"/>
          <w:lang w:val="en-US"/>
        </w:rPr>
        <w:instrText>ADDIN CSL_CITATION { "citationItems" : [ { "id" : "ITEM-1", "itemData" : { "DOI" : "10.1016/j.ejca.2009.04.020", "abstract" : "Health-related quality of life (HRQOL) of paediatric patients with osteosarcoma has not been documented longitudinally during treatment. Aims of this prospective study were to assess treatment effects on patients' HRQOL at diagnosis, during therapy and after completion of therapy, to assess sex- and age-related differences in HRQOL ratings and to assess differences between patients' and parents' reports.", "author" : [ { "dropping-particle" : "", "family" : "Hinds", "given" : "Pamela S", "non-dropping-particle" : "", "parse-names" : false, "suffix" : "" }, { "dropping-particle" : "", "family" : "Gattuso", "given" : "Jami S", "non-dropping-particle" : "", "parse-names" : false, "suffix" : "" }, { "dropping-particle" : "", "family" : "Billups", "given" : "Catherine a", "non-dropping-particle" : "", "parse-names" : false, "suffix" : "" }, { "dropping-particle" : "", "family" : "West", "given" : "Nancy K", "non-dropping-particle" : "", "parse-names" : false, "suffix" : "" }, { "dropping-particle" : "", "family" : "Wu", "given" : "Jianrong", "non-dropping-particle" : "", "parse-names" : false, "suffix" : "" }, { "dropping-particle" : "", "family" : "Rivera", "given" : "Cecilia", "non-dropping-particle" : "", "parse-names" : false, "suffix" : "" }, { "dropping-particle" : "", "family" : "Quintana", "given" : "Juan", "non-dropping-particle" : "", "parse-names" : false, "suffix" : "" }, { "dropping-particle" : "", "family" : "Villarroel", "given" : "Milena", "non-dropping-particle" : "", "parse-names" : false, "suffix" : "" }, { "dropping-particle" : "", "family" : "Daw", "given" : "Najat C", "non-dropping-particle" : "", "parse-names" : false, "suffix" : "" } ], "container-title" : "European journal of cancer (Oxford, England : 1990)", "id" : "ITEM-1", "issue" : "11", "issued" : { "date-parts" : [ [ "2009", "7" ] ] }, "page" : "2007-14", "publisher" : "Elsevier Ltd", "title" : "Aggressive treatment of non-metastatic osteosarcoma improves health-related quality of life in children and adolescents.", "type" : "article-journal", "volume" : "45" }, "uris" : [ "http://www.mendeley.com/documents/?uuid=6fe54ee0-adc3-4a4c-beaa-66d8ce2c9d65" ] } ], "mendeley" : { "manualFormatting" : "Hinds et al., 2009; ", "previouslyFormattedCitation" : "(Pamela S Hinds et al., 2009)" }, "properties" : { "noteIndex" : 0 }, "schema" : "https://github.com/citation-style-language/schema/raw/master/csl-citation.json" }</w:instrText>
      </w:r>
      <w:r w:rsidR="008B4B3B" w:rsidRPr="008B7E48">
        <w:rPr>
          <w:bCs/>
          <w:sz w:val="24"/>
          <w:lang w:val="en-US"/>
        </w:rPr>
        <w:fldChar w:fldCharType="separate"/>
      </w:r>
      <w:r w:rsidRPr="008B7E48">
        <w:rPr>
          <w:bCs/>
          <w:noProof/>
          <w:sz w:val="24"/>
          <w:lang w:val="en-US"/>
        </w:rPr>
        <w:t xml:space="preserve">Hinds et al., 2009; </w:t>
      </w:r>
      <w:r w:rsidR="008B4B3B" w:rsidRPr="008B7E48">
        <w:rPr>
          <w:bCs/>
          <w:sz w:val="24"/>
          <w:lang w:val="en-US"/>
        </w:rPr>
        <w:fldChar w:fldCharType="end"/>
      </w:r>
      <w:r w:rsidR="008B4B3B" w:rsidRPr="008B7E48">
        <w:rPr>
          <w:sz w:val="24"/>
          <w:lang w:val="en-US"/>
        </w:rPr>
        <w:fldChar w:fldCharType="begin" w:fldLock="1"/>
      </w:r>
      <w:r w:rsidRPr="008B7E48">
        <w:rPr>
          <w:sz w:val="24"/>
          <w:lang w:val="en-US"/>
        </w:rPr>
        <w:instrText>ADDIN CSL_CITATION { "citationItems" : [ { "id" : "ITEM-1", "itemData" : { "DOI" : "10.1016/j.ejca.2007.05.031", "abstract" : "The present study sets out to add to knowledge about the development over time of health-related quality of life (HRQL), anxiety and depression among survivors of adolescent cancer. The aim was to investigate if and how the HRQL, anxiety and depression of a group of adolescents with cancer differ from those of a reference group shortly after diagnosis, and subsequently at 6, 12 and 18 months after diagnosis. Adolescents diagnosed with cancer and a reference group randomised from the general population completed the Hospital Anxiety and Depression Scale (HADS) and the two subscales Mental Health and Vitality in the Short Form 36 (SF-36) in telephone interviews. The results indicate a steady increase in psychological well-being from the time of diagnosis, when the cancer patients' ratings were significantly worse than those of the general population, and onwards. The differences gradually disappeared and then were reversed, resulting in the cancer group reporting significantly better HRQL and lower levels of anxiety and depression than the reference group when 1.5 years had passed since diagnosis. The adolescents faced with cancer show signs of adaptation to trauma, which can be understood in relation to the theoretical framework of posttraumatic growth as well as response shift. Future research should continue to follow this development over time, to investigate if the positive effects of the cancer experience will wear off, or if it has facilitated a permanent positive outcome.", "author" : [ { "dropping-particle" : "", "family" : "J\u00f6rng\u00e5rden", "given" : "Anna", "non-dropping-particle" : "", "parse-names" : false, "suffix" : "" }, { "dropping-particle" : "", "family" : "Mattsson", "given" : "Elisabet", "non-dropping-particle" : "", "parse-names" : false, "suffix" : "" }, { "dropping-particle" : "", "family" : "Essen", "given" : "Louise", "non-dropping-particle" : "von", "parse-names" : false, "suffix" : "" } ], "container-title" : "European journal of cancer (Oxford, England : 1990)", "id" : "ITEM-1", "issue" : "13", "issued" : { "date-parts" : [ [ "2007", "9" ] ] }, "page" : "1952-8", "title" : "Health-related quality of life, anxiety and depression among adolescents and young adults with cancer: a prospective longitudinal study.", "type" : "article-journal", "volume" : "43" }, "uris" : [ "http://www.mendeley.com/documents/?uuid=1a847397-811a-42aa-851f-e494d6d123dd" ] } ], "mendeley" : { "manualFormatting" : "(J\u00f6rng\u00e5rden, Mattsson, &amp; Von Essen, 2007;", "previouslyFormattedCitation" : "(J\u00f6rng\u00e5rden et al., 2007b)" }, "properties" : { "noteIndex" : 0 }, "schema" : "https://github.com/citation-style-language/schema/raw/master/csl-citation.json" }</w:instrText>
      </w:r>
      <w:r w:rsidR="008B4B3B" w:rsidRPr="008B7E48">
        <w:rPr>
          <w:sz w:val="24"/>
          <w:lang w:val="en-US"/>
        </w:rPr>
        <w:fldChar w:fldCharType="separate"/>
      </w:r>
      <w:r w:rsidRPr="008B7E48">
        <w:rPr>
          <w:noProof/>
          <w:sz w:val="24"/>
          <w:lang w:val="en-US"/>
        </w:rPr>
        <w:t>Jörngården et al., 2007;</w:t>
      </w:r>
      <w:r w:rsidR="008B4B3B" w:rsidRPr="008B7E48">
        <w:rPr>
          <w:sz w:val="24"/>
          <w:lang w:val="en-US"/>
        </w:rPr>
        <w:fldChar w:fldCharType="end"/>
      </w:r>
      <w:r w:rsidR="008B4B3B" w:rsidRPr="008B7E48">
        <w:rPr>
          <w:bCs/>
          <w:sz w:val="24"/>
          <w:lang w:val="en-US"/>
        </w:rPr>
        <w:fldChar w:fldCharType="end"/>
      </w:r>
      <w:r w:rsidRPr="008B7E48">
        <w:rPr>
          <w:bCs/>
          <w:sz w:val="24"/>
          <w:lang w:val="en-US"/>
        </w:rPr>
        <w:t xml:space="preserve"> </w:t>
      </w:r>
      <w:r w:rsidR="008B4B3B" w:rsidRPr="008B7E48">
        <w:rPr>
          <w:bCs/>
          <w:sz w:val="24"/>
          <w:lang w:val="en-US"/>
        </w:rPr>
        <w:fldChar w:fldCharType="begin" w:fldLock="1"/>
      </w:r>
      <w:r w:rsidRPr="008B7E48">
        <w:rPr>
          <w:bCs/>
          <w:sz w:val="24"/>
          <w:lang w:val="en-US"/>
        </w:rPr>
        <w:instrText>ADDIN CSL_CITATION { "citationItems" : [ { "id" : "ITEM-1", "itemData" : { "DOI" : "10.1016/j.ejca.2010.01.021", "abstract" : "Quality of life, anxiety, and depression among persons diagnosed with cancer during adolescence up to 4 years after diagnosis, and in comparison with a reference group were investigated.", "author" : [ { "dropping-particle" : "", "family" : "Larsson", "given" : "Gunnel", "non-dropping-particle" : "", "parse-names" : false, "suffix" : "" }, { "dropping-particle" : "", "family" : "Mattsson", "given" : "Elisabet", "non-dropping-particle" : "", "parse-names" : false, "suffix" : "" }, { "dropping-particle" : "", "family" : "Essen", "given" : "Louise", "non-dropping-particle" : "von", "parse-names" : false, "suffix" : "" } ], "container-title" : "European journal of cancer (Oxford, England : 1990)", "id" : "ITEM-1", "issue" : "6", "issued" : { "date-parts" : [ [ "2010", "4" ] ] }, "page" : "1062-8", "publisher" : "Elsevier Ltd", "title" : "Aspects of quality of life, anxiety, and depression among persons diagnosed with cancer during adolescence: a long-term follow-up study.", "type" : "article-journal", "volume" : "46" }, "uris" : [ "http://www.mendeley.com/documents/?uuid=557560c2-fc6a-4fd8-8dea-5297fdecbe1e" ] } ], "mendeley" : { "manualFormatting" : "Larsson et al., 2010", "previouslyFormattedCitation" : "(Larsson et al., 2010)" }, "properties" : { "noteIndex" : 0 }, "schema" : "https://github.com/citation-style-language/schema/raw/master/csl-citation.json" }</w:instrText>
      </w:r>
      <w:r w:rsidR="008B4B3B" w:rsidRPr="008B7E48">
        <w:rPr>
          <w:bCs/>
          <w:sz w:val="24"/>
          <w:lang w:val="en-US"/>
        </w:rPr>
        <w:fldChar w:fldCharType="separate"/>
      </w:r>
      <w:r w:rsidRPr="008B7E48">
        <w:rPr>
          <w:bCs/>
          <w:noProof/>
          <w:sz w:val="24"/>
          <w:lang w:val="en-US"/>
        </w:rPr>
        <w:t>Larsson et al., 2010</w:t>
      </w:r>
      <w:r w:rsidR="008B4B3B" w:rsidRPr="008B7E48">
        <w:rPr>
          <w:bCs/>
          <w:sz w:val="24"/>
          <w:lang w:val="en-US"/>
        </w:rPr>
        <w:fldChar w:fldCharType="end"/>
      </w:r>
      <w:r w:rsidRPr="008B7E48">
        <w:rPr>
          <w:bCs/>
          <w:sz w:val="24"/>
          <w:lang w:val="en-US"/>
        </w:rPr>
        <w:t>;</w:t>
      </w:r>
      <w:r w:rsidR="008B4B3B" w:rsidRPr="008B7E48">
        <w:rPr>
          <w:bCs/>
          <w:sz w:val="24"/>
          <w:lang w:val="en-US"/>
        </w:rPr>
        <w:fldChar w:fldCharType="begin" w:fldLock="1"/>
      </w:r>
      <w:r w:rsidRPr="008B7E48">
        <w:rPr>
          <w:bCs/>
          <w:sz w:val="24"/>
          <w:lang w:val="en-US"/>
        </w:rPr>
        <w:instrText>ADDIN CSL_CITATION { "citationItems" : [ { "id" : "ITEM-1", "itemData" : { "DOI" : "10.1016/j.ejca.2007.09.015", "ISBN" : "7866501769", "abstract" : "This paper compares parent- and self-report health-related quality of life (HRQL) in children aged 2-16 years with brain tumours, one, six and twelve months after diagnosis with matched normal controls. HRQL was assessed using the PedsQL generic core scales. 37 tumour patients and 42 controls were included in analysis of parent-report, and 27 patients and 31 controls in self-report HRQL. Parent-report scores were significantly lower in patients than controls for all PedsQL scores at all time points (max p=0.002). Differences in self-report PedsQL between patients and controls were variable. The relationship between self- and parent-report in patients and controls was inconsistent; varied over time; and did not consistently correlate with parental depressive symptoms, suggesting parents and their children do not regard HRQL in a similar way. Prospective, longitudinal assessment of HRQL is important, but should be supplemented with other outcome measures such as health status and behaviour in this population.", "author" : [ { "dropping-particle" : "", "family" : "Penn", "given" : "Anthony", "non-dropping-particle" : "", "parse-names" : false, "suffix" : "" }, { "dropping-particle" : "", "family" : "Lowis", "given" : "Stephen P", "non-dropping-particle" : "", "parse-names" : false, "suffix" : "" }, { "dropping-particle" : "", "family" : "Hunt", "given" : "Linda P", "non-dropping-particle" : "", "parse-names" : false, "suffix" : "" }, { "dropping-particle" : "", "family" : "Shortman", "given" : "Robert I", "non-dropping-particle" : "", "parse-names" : false, "suffix" : "" }, { "dropping-particle" : "", "family" : "Stevens", "given" : "Michael C G", "non-dropping-particle" : "", "parse-names" : false, "suffix" : "" }, { "dropping-particle" : "", "family" : "McCarter", "given" : "Renee L", "non-dropping-particle" : "", "parse-names" : false, "suffix" : "" }, { "dropping-particle" : "", "family" : "Curran", "given" : "Andrew L", "non-dropping-particle" : "", "parse-names" : false, "suffix" : "" }, { "dropping-particle" : "", "family" : "Sharples", "given" : "Peta M", "non-dropping-particle" : "", "parse-names" : false, "suffix" : "" } ], "container-title" : "European journal of cancer (Oxford, England : 1990)", "id" : "ITEM-1", "issue" : "9", "issued" : { "date-parts" : [ [ "2008", "6" ] ] }, "page" : "1243-52", "title" : "Health related quality of life in the first year after diagnosis in children with brain tumours compared with matched healthy controls; a prospective longitudinal study.", "type" : "article-journal", "volume" : "44" }, "uris" : [ "http://www.mendeley.com/documents/?uuid=3d051e4c-ae4a-4578-8aa2-95873a61884a" ] } ], "mendeley" : { "manualFormatting" : " Penn et al., 2008)", "previouslyFormattedCitation" : "(Penn et al., 2008)" }, "properties" : { "noteIndex" : 0 }, "schema" : "https://github.com/citation-style-language/schema/raw/master/csl-citation.json" }</w:instrText>
      </w:r>
      <w:r w:rsidR="008B4B3B" w:rsidRPr="008B7E48">
        <w:rPr>
          <w:bCs/>
          <w:sz w:val="24"/>
          <w:lang w:val="en-US"/>
        </w:rPr>
        <w:fldChar w:fldCharType="separate"/>
      </w:r>
      <w:r w:rsidRPr="008B7E48">
        <w:rPr>
          <w:bCs/>
          <w:noProof/>
          <w:sz w:val="24"/>
          <w:lang w:val="en-US"/>
        </w:rPr>
        <w:t xml:space="preserve"> Penn et al., 2008)</w:t>
      </w:r>
      <w:r w:rsidR="008B4B3B" w:rsidRPr="008B7E48">
        <w:rPr>
          <w:bCs/>
          <w:sz w:val="24"/>
          <w:lang w:val="en-US"/>
        </w:rPr>
        <w:fldChar w:fldCharType="end"/>
      </w:r>
      <w:r>
        <w:rPr>
          <w:bCs/>
          <w:sz w:val="24"/>
          <w:lang w:val="en-US"/>
        </w:rPr>
        <w:t>.</w:t>
      </w:r>
      <w:r w:rsidRPr="008B7E48" w:rsidDel="005C13B8">
        <w:rPr>
          <w:bCs/>
          <w:sz w:val="24"/>
          <w:lang w:val="en-US"/>
        </w:rPr>
        <w:t xml:space="preserve"> </w:t>
      </w:r>
      <w:r>
        <w:rPr>
          <w:bCs/>
          <w:sz w:val="24"/>
          <w:lang w:val="en-US"/>
        </w:rPr>
        <w:t xml:space="preserve"> </w:t>
      </w:r>
    </w:p>
    <w:p w:rsidR="00CD4C60" w:rsidRDefault="00CD4C60" w:rsidP="00CD4C60">
      <w:pPr>
        <w:spacing w:line="480" w:lineRule="auto"/>
        <w:contextualSpacing/>
        <w:jc w:val="left"/>
        <w:rPr>
          <w:sz w:val="24"/>
          <w:lang w:val="en-US"/>
        </w:rPr>
      </w:pPr>
      <w:r w:rsidRPr="005F79A0">
        <w:rPr>
          <w:bCs/>
          <w:sz w:val="24"/>
          <w:lang w:val="en-US"/>
        </w:rPr>
        <w:t>Regarding</w:t>
      </w:r>
      <w:r w:rsidRPr="005F79A0">
        <w:rPr>
          <w:sz w:val="24"/>
          <w:lang w:val="en-US"/>
        </w:rPr>
        <w:t xml:space="preserve"> psychological adjustment, some studies found that anxiety symptoms were common during pediatric cancer treatment (</w:t>
      </w:r>
      <w:r w:rsidRPr="005F79A0">
        <w:rPr>
          <w:noProof/>
          <w:sz w:val="24"/>
          <w:lang w:val="en-US"/>
        </w:rPr>
        <w:t>Wu, Sheen, Shu, Chang, &amp; Hsiao, 2013</w:t>
      </w:r>
      <w:r w:rsidRPr="005F79A0">
        <w:rPr>
          <w:sz w:val="24"/>
          <w:lang w:val="en-US"/>
        </w:rPr>
        <w:t>), due to</w:t>
      </w:r>
      <w:r w:rsidR="001130B8">
        <w:rPr>
          <w:sz w:val="24"/>
          <w:lang w:val="en-US"/>
        </w:rPr>
        <w:t>: restrictions on</w:t>
      </w:r>
      <w:r w:rsidRPr="005F79A0">
        <w:rPr>
          <w:sz w:val="24"/>
          <w:lang w:val="en-US"/>
        </w:rPr>
        <w:t xml:space="preserve"> freedom </w:t>
      </w:r>
      <w:r w:rsidR="001130B8">
        <w:rPr>
          <w:sz w:val="24"/>
          <w:lang w:val="en-US"/>
        </w:rPr>
        <w:t>action</w:t>
      </w:r>
      <w:r w:rsidR="001130B8" w:rsidRPr="005F79A0">
        <w:rPr>
          <w:sz w:val="24"/>
          <w:lang w:val="en-US"/>
        </w:rPr>
        <w:t xml:space="preserve"> </w:t>
      </w:r>
      <w:r w:rsidRPr="005F79A0">
        <w:rPr>
          <w:sz w:val="24"/>
          <w:lang w:val="en-US"/>
        </w:rPr>
        <w:t>(</w:t>
      </w:r>
      <w:proofErr w:type="spellStart"/>
      <w:r w:rsidRPr="005F79A0">
        <w:rPr>
          <w:iCs/>
          <w:sz w:val="24"/>
          <w:lang w:val="en-US"/>
        </w:rPr>
        <w:t>Hedstrom</w:t>
      </w:r>
      <w:proofErr w:type="spellEnd"/>
      <w:r w:rsidRPr="005F79A0">
        <w:rPr>
          <w:iCs/>
          <w:sz w:val="24"/>
          <w:lang w:val="en-US"/>
        </w:rPr>
        <w:t xml:space="preserve">, </w:t>
      </w:r>
      <w:proofErr w:type="spellStart"/>
      <w:r w:rsidRPr="005F79A0">
        <w:rPr>
          <w:iCs/>
          <w:sz w:val="24"/>
          <w:lang w:val="en-US"/>
        </w:rPr>
        <w:t>Ljungman</w:t>
      </w:r>
      <w:proofErr w:type="spellEnd"/>
      <w:r w:rsidRPr="005F79A0">
        <w:rPr>
          <w:iCs/>
          <w:sz w:val="24"/>
          <w:lang w:val="en-US"/>
        </w:rPr>
        <w:t xml:space="preserve">, &amp; Von Essen, </w:t>
      </w:r>
      <w:r w:rsidRPr="005F79A0">
        <w:rPr>
          <w:sz w:val="24"/>
          <w:lang w:val="en-US"/>
        </w:rPr>
        <w:t>2005), thoughts about having cancer, wondering “why” (</w:t>
      </w:r>
      <w:proofErr w:type="spellStart"/>
      <w:r w:rsidRPr="005F79A0">
        <w:rPr>
          <w:bCs/>
          <w:sz w:val="24"/>
          <w:lang w:val="en-US"/>
        </w:rPr>
        <w:t>Enskar</w:t>
      </w:r>
      <w:proofErr w:type="spellEnd"/>
      <w:r w:rsidRPr="005F79A0">
        <w:rPr>
          <w:bCs/>
          <w:sz w:val="24"/>
          <w:lang w:val="en-US"/>
        </w:rPr>
        <w:t xml:space="preserve"> &amp; Von Essen, 2007</w:t>
      </w:r>
      <w:r w:rsidRPr="005F79A0">
        <w:rPr>
          <w:sz w:val="24"/>
          <w:lang w:val="en-US"/>
        </w:rPr>
        <w:t>), and uncertainty about the future (</w:t>
      </w:r>
      <w:r>
        <w:rPr>
          <w:sz w:val="24"/>
          <w:lang w:val="en-US"/>
        </w:rPr>
        <w:t xml:space="preserve">e.g., </w:t>
      </w:r>
      <w:proofErr w:type="spellStart"/>
      <w:r w:rsidRPr="005F79A0">
        <w:rPr>
          <w:sz w:val="24"/>
          <w:lang w:val="en-US"/>
        </w:rPr>
        <w:t>Woodgate</w:t>
      </w:r>
      <w:proofErr w:type="spellEnd"/>
      <w:r w:rsidRPr="005F79A0">
        <w:rPr>
          <w:sz w:val="24"/>
          <w:lang w:val="en-US"/>
        </w:rPr>
        <w:t xml:space="preserve"> &amp; </w:t>
      </w:r>
      <w:proofErr w:type="spellStart"/>
      <w:r w:rsidRPr="005F79A0">
        <w:rPr>
          <w:sz w:val="24"/>
          <w:lang w:val="en-US"/>
        </w:rPr>
        <w:t>Degner</w:t>
      </w:r>
      <w:proofErr w:type="spellEnd"/>
      <w:r w:rsidRPr="005F79A0">
        <w:rPr>
          <w:sz w:val="24"/>
          <w:lang w:val="en-US"/>
        </w:rPr>
        <w:t>, 2002). However, other studies reported that children/adolescents’ anxiety levels did not significantly differ from their healthy peers (</w:t>
      </w:r>
      <w:proofErr w:type="spellStart"/>
      <w:r w:rsidRPr="005F79A0">
        <w:rPr>
          <w:sz w:val="24"/>
          <w:lang w:val="en-US"/>
        </w:rPr>
        <w:t>Eiser</w:t>
      </w:r>
      <w:proofErr w:type="spellEnd"/>
      <w:r w:rsidRPr="005F79A0">
        <w:rPr>
          <w:sz w:val="24"/>
          <w:lang w:val="en-US"/>
        </w:rPr>
        <w:t xml:space="preserve">, Hill, &amp; Vance, 2000; Elkin, Phipps, </w:t>
      </w:r>
      <w:proofErr w:type="spellStart"/>
      <w:r w:rsidRPr="005F79A0">
        <w:rPr>
          <w:sz w:val="24"/>
          <w:lang w:val="en-US"/>
        </w:rPr>
        <w:t>Mulhern</w:t>
      </w:r>
      <w:proofErr w:type="spellEnd"/>
      <w:r w:rsidRPr="005F79A0">
        <w:rPr>
          <w:sz w:val="24"/>
          <w:lang w:val="en-US"/>
        </w:rPr>
        <w:t xml:space="preserve">, &amp; </w:t>
      </w:r>
      <w:proofErr w:type="spellStart"/>
      <w:r w:rsidRPr="005F79A0">
        <w:rPr>
          <w:sz w:val="24"/>
          <w:lang w:val="en-US"/>
        </w:rPr>
        <w:t>Fairclough</w:t>
      </w:r>
      <w:proofErr w:type="spellEnd"/>
      <w:r w:rsidRPr="005F79A0">
        <w:rPr>
          <w:sz w:val="24"/>
          <w:lang w:val="en-US"/>
        </w:rPr>
        <w:t xml:space="preserve">, 1997; Neville, 1996; </w:t>
      </w:r>
      <w:proofErr w:type="spellStart"/>
      <w:r w:rsidRPr="005F79A0">
        <w:rPr>
          <w:sz w:val="24"/>
          <w:lang w:val="en-US"/>
        </w:rPr>
        <w:t>Zebrack</w:t>
      </w:r>
      <w:proofErr w:type="spellEnd"/>
      <w:r w:rsidRPr="005F79A0">
        <w:rPr>
          <w:sz w:val="24"/>
          <w:lang w:val="en-US"/>
        </w:rPr>
        <w:t xml:space="preserve"> &amp; </w:t>
      </w:r>
      <w:proofErr w:type="spellStart"/>
      <w:r w:rsidRPr="005F79A0">
        <w:rPr>
          <w:sz w:val="24"/>
          <w:lang w:val="en-US"/>
        </w:rPr>
        <w:t>Zeltzer</w:t>
      </w:r>
      <w:proofErr w:type="spellEnd"/>
      <w:r w:rsidRPr="005F79A0">
        <w:rPr>
          <w:sz w:val="24"/>
          <w:lang w:val="en-US"/>
        </w:rPr>
        <w:t>, 2003) or peers with other medical conditions (Noll, Reiter-</w:t>
      </w:r>
      <w:proofErr w:type="spellStart"/>
      <w:r w:rsidRPr="005F79A0">
        <w:rPr>
          <w:sz w:val="24"/>
          <w:lang w:val="en-US"/>
        </w:rPr>
        <w:t>Purtill</w:t>
      </w:r>
      <w:proofErr w:type="spellEnd"/>
      <w:r w:rsidRPr="005F79A0">
        <w:rPr>
          <w:sz w:val="24"/>
          <w:lang w:val="en-US"/>
        </w:rPr>
        <w:t xml:space="preserve">, </w:t>
      </w:r>
      <w:proofErr w:type="spellStart"/>
      <w:r w:rsidRPr="005F79A0">
        <w:rPr>
          <w:sz w:val="24"/>
          <w:lang w:val="en-US"/>
        </w:rPr>
        <w:t>Vannatta</w:t>
      </w:r>
      <w:proofErr w:type="spellEnd"/>
      <w:r w:rsidRPr="005F79A0">
        <w:rPr>
          <w:sz w:val="24"/>
          <w:lang w:val="en-US"/>
        </w:rPr>
        <w:t>, Gerhardt, &amp; Short, 2007; Noll et al., 2000).</w:t>
      </w:r>
      <w:r>
        <w:rPr>
          <w:sz w:val="24"/>
          <w:lang w:val="en-US"/>
        </w:rPr>
        <w:t xml:space="preserve"> </w:t>
      </w:r>
      <w:r w:rsidRPr="00065F87">
        <w:rPr>
          <w:sz w:val="24"/>
          <w:lang w:val="en-US"/>
        </w:rPr>
        <w:t xml:space="preserve"> </w:t>
      </w:r>
    </w:p>
    <w:p w:rsidR="008A3E9A" w:rsidRPr="00C059C7" w:rsidRDefault="00D7235F" w:rsidP="003503EB">
      <w:pPr>
        <w:spacing w:line="480" w:lineRule="auto"/>
        <w:contextualSpacing/>
        <w:jc w:val="left"/>
        <w:rPr>
          <w:sz w:val="24"/>
          <w:lang w:val="en-US"/>
        </w:rPr>
      </w:pPr>
      <w:r w:rsidRPr="00C059C7">
        <w:rPr>
          <w:sz w:val="24"/>
          <w:lang w:val="en-US"/>
        </w:rPr>
        <w:t>The identification of resources associated</w:t>
      </w:r>
      <w:r w:rsidR="0050236C" w:rsidRPr="00C059C7">
        <w:rPr>
          <w:sz w:val="24"/>
          <w:lang w:val="en-US"/>
        </w:rPr>
        <w:t xml:space="preserve"> with adaptation </w:t>
      </w:r>
      <w:r w:rsidRPr="00C059C7">
        <w:rPr>
          <w:sz w:val="24"/>
          <w:lang w:val="en-US"/>
        </w:rPr>
        <w:t>outcomes may clarify the</w:t>
      </w:r>
      <w:r w:rsidR="0050236C" w:rsidRPr="00C059C7">
        <w:rPr>
          <w:sz w:val="24"/>
          <w:lang w:val="en-US"/>
        </w:rPr>
        <w:t xml:space="preserve"> heterogeneity of the current</w:t>
      </w:r>
      <w:r w:rsidRPr="00C059C7">
        <w:rPr>
          <w:sz w:val="24"/>
          <w:lang w:val="en-US"/>
        </w:rPr>
        <w:t xml:space="preserve"> findings. Th</w:t>
      </w:r>
      <w:r w:rsidR="0050236C" w:rsidRPr="00C059C7">
        <w:rPr>
          <w:sz w:val="24"/>
          <w:lang w:val="en-US"/>
        </w:rPr>
        <w:t>e present</w:t>
      </w:r>
      <w:r w:rsidRPr="00C059C7">
        <w:rPr>
          <w:sz w:val="24"/>
          <w:lang w:val="en-US"/>
        </w:rPr>
        <w:t xml:space="preserve"> </w:t>
      </w:r>
      <w:r w:rsidR="0050236C" w:rsidRPr="00C059C7">
        <w:rPr>
          <w:sz w:val="24"/>
          <w:lang w:val="en-US"/>
        </w:rPr>
        <w:t>research</w:t>
      </w:r>
      <w:r w:rsidRPr="00C059C7">
        <w:rPr>
          <w:sz w:val="24"/>
          <w:lang w:val="en-US"/>
        </w:rPr>
        <w:t xml:space="preserve"> focus</w:t>
      </w:r>
      <w:r w:rsidR="0000028E" w:rsidRPr="00C059C7">
        <w:rPr>
          <w:sz w:val="24"/>
          <w:lang w:val="en-US"/>
        </w:rPr>
        <w:t>es</w:t>
      </w:r>
      <w:r w:rsidRPr="00C059C7">
        <w:rPr>
          <w:sz w:val="24"/>
          <w:lang w:val="en-US"/>
        </w:rPr>
        <w:t xml:space="preserve"> on a</w:t>
      </w:r>
      <w:r w:rsidR="0000028E" w:rsidRPr="00C059C7">
        <w:rPr>
          <w:sz w:val="24"/>
          <w:lang w:val="en-US"/>
        </w:rPr>
        <w:t xml:space="preserve">n </w:t>
      </w:r>
      <w:r w:rsidRPr="00C059C7">
        <w:rPr>
          <w:sz w:val="24"/>
          <w:lang w:val="en-US"/>
        </w:rPr>
        <w:t xml:space="preserve">understudied intrapersonal resource: self-reported hope. </w:t>
      </w:r>
    </w:p>
    <w:p w:rsidR="009F5BB1" w:rsidRDefault="00D7235F" w:rsidP="00B9784E">
      <w:pPr>
        <w:spacing w:line="480" w:lineRule="auto"/>
        <w:contextualSpacing/>
        <w:jc w:val="left"/>
        <w:rPr>
          <w:sz w:val="24"/>
          <w:lang w:val="en-US"/>
        </w:rPr>
      </w:pPr>
      <w:r w:rsidRPr="00C059C7">
        <w:rPr>
          <w:sz w:val="24"/>
          <w:lang w:val="en-US"/>
        </w:rPr>
        <w:t>Hope has recently gained a renewed focus of attention as a potential intrapersonal factor influencing adaptation</w:t>
      </w:r>
      <w:r w:rsidR="009F5BB1">
        <w:rPr>
          <w:sz w:val="24"/>
          <w:lang w:val="en-US"/>
        </w:rPr>
        <w:t xml:space="preserve"> to stressful conditions</w:t>
      </w:r>
      <w:r w:rsidRPr="00C059C7">
        <w:rPr>
          <w:sz w:val="24"/>
          <w:lang w:val="en-US"/>
        </w:rPr>
        <w:t xml:space="preserve">. </w:t>
      </w:r>
      <w:r w:rsidR="009F5BB1">
        <w:rPr>
          <w:sz w:val="24"/>
          <w:lang w:val="en-US"/>
        </w:rPr>
        <w:t xml:space="preserve">Snyder’s (1989) Hope Theory </w:t>
      </w:r>
      <w:r w:rsidR="009F5BB1">
        <w:rPr>
          <w:sz w:val="24"/>
          <w:lang w:val="en-US"/>
        </w:rPr>
        <w:lastRenderedPageBreak/>
        <w:t>provides a useful model. The theory associates hope with goal-setting and defines hope as “</w:t>
      </w:r>
      <w:r w:rsidRPr="00C059C7">
        <w:rPr>
          <w:sz w:val="24"/>
          <w:lang w:val="en-US"/>
        </w:rPr>
        <w:t xml:space="preserve">a cognitive set involving the beliefs in one's capability to produce workable routes to goals (the pathways component), as well as the self-related beliefs about initiating and sustaining movement toward those goals (the agency component)” (Snyder, 1997, p. 401). </w:t>
      </w:r>
    </w:p>
    <w:p w:rsidR="00C273CA" w:rsidRDefault="009F5BB1" w:rsidP="00B9784E">
      <w:pPr>
        <w:spacing w:line="480" w:lineRule="auto"/>
        <w:contextualSpacing/>
        <w:jc w:val="left"/>
        <w:rPr>
          <w:sz w:val="24"/>
          <w:lang w:val="en-US"/>
        </w:rPr>
      </w:pPr>
      <w:r>
        <w:rPr>
          <w:sz w:val="24"/>
          <w:lang w:val="en-US"/>
        </w:rPr>
        <w:t xml:space="preserve">Pediatric cancer is </w:t>
      </w:r>
      <w:r w:rsidR="0000028E" w:rsidRPr="00C059C7">
        <w:rPr>
          <w:sz w:val="24"/>
          <w:lang w:val="en-US"/>
        </w:rPr>
        <w:t>a</w:t>
      </w:r>
      <w:r w:rsidR="00D7235F" w:rsidRPr="00C059C7">
        <w:rPr>
          <w:sz w:val="24"/>
          <w:lang w:val="en-US"/>
        </w:rPr>
        <w:t xml:space="preserve"> condition that society still associates with </w:t>
      </w:r>
      <w:r>
        <w:rPr>
          <w:sz w:val="24"/>
          <w:lang w:val="en-US"/>
        </w:rPr>
        <w:t>the</w:t>
      </w:r>
      <w:r w:rsidRPr="00C059C7">
        <w:rPr>
          <w:sz w:val="24"/>
          <w:lang w:val="en-US"/>
        </w:rPr>
        <w:t xml:space="preserve"> </w:t>
      </w:r>
      <w:r w:rsidR="00D7235F" w:rsidRPr="00C059C7">
        <w:rPr>
          <w:sz w:val="24"/>
          <w:lang w:val="en-US"/>
        </w:rPr>
        <w:t xml:space="preserve">absence </w:t>
      </w:r>
      <w:r>
        <w:rPr>
          <w:sz w:val="24"/>
          <w:lang w:val="en-US"/>
        </w:rPr>
        <w:t xml:space="preserve">of hope </w:t>
      </w:r>
      <w:r w:rsidR="00D7235F" w:rsidRPr="00C059C7">
        <w:rPr>
          <w:sz w:val="24"/>
          <w:lang w:val="en-US"/>
        </w:rPr>
        <w:t>(</w:t>
      </w:r>
      <w:r w:rsidR="00604952" w:rsidRPr="00C059C7">
        <w:rPr>
          <w:sz w:val="24"/>
          <w:lang w:val="en-US"/>
        </w:rPr>
        <w:t>e.g.</w:t>
      </w:r>
      <w:r w:rsidR="00D7235F" w:rsidRPr="00C059C7">
        <w:rPr>
          <w:sz w:val="24"/>
          <w:lang w:val="en-US"/>
        </w:rPr>
        <w:t xml:space="preserve"> Snyder, 2000)</w:t>
      </w:r>
      <w:r>
        <w:rPr>
          <w:sz w:val="24"/>
          <w:lang w:val="en-US"/>
        </w:rPr>
        <w:t>, but</w:t>
      </w:r>
      <w:r w:rsidR="00D7235F" w:rsidRPr="00C059C7">
        <w:rPr>
          <w:sz w:val="24"/>
          <w:lang w:val="en-US"/>
        </w:rPr>
        <w:t xml:space="preserve"> empirical findings </w:t>
      </w:r>
      <w:r w:rsidR="00B66D59">
        <w:rPr>
          <w:sz w:val="24"/>
          <w:lang w:val="en-US"/>
        </w:rPr>
        <w:t>for</w:t>
      </w:r>
      <w:r w:rsidR="00B66D59" w:rsidRPr="00C059C7">
        <w:rPr>
          <w:sz w:val="24"/>
          <w:lang w:val="en-US"/>
        </w:rPr>
        <w:t xml:space="preserve"> </w:t>
      </w:r>
      <w:r w:rsidR="00D7235F" w:rsidRPr="00C059C7">
        <w:rPr>
          <w:sz w:val="24"/>
          <w:lang w:val="en-US"/>
        </w:rPr>
        <w:t>adult cancer patients show that hope</w:t>
      </w:r>
      <w:r w:rsidR="00B66D59">
        <w:rPr>
          <w:sz w:val="24"/>
          <w:lang w:val="en-US"/>
        </w:rPr>
        <w:t>:</w:t>
      </w:r>
      <w:r w:rsidR="00D7235F" w:rsidRPr="00C059C7">
        <w:rPr>
          <w:sz w:val="24"/>
          <w:lang w:val="en-US"/>
        </w:rPr>
        <w:t xml:space="preserve"> facilitates the coping process (</w:t>
      </w:r>
      <w:r w:rsidR="008B4B3B" w:rsidRPr="00C059C7">
        <w:rPr>
          <w:sz w:val="24"/>
          <w:lang w:val="en-US"/>
        </w:rPr>
        <w:fldChar w:fldCharType="begin" w:fldLock="1"/>
      </w:r>
      <w:r w:rsidR="00D7235F" w:rsidRPr="00C059C7">
        <w:rPr>
          <w:sz w:val="24"/>
          <w:lang w:val="en-US"/>
        </w:rPr>
        <w:instrText>ADDIN CSL_CITATION { "citationItems" : [ { "id" : "ITEM-1", "itemData" : { "DOI" : "10.1188/07.ONF.415-424", "abstract" : "To synthesize the literature, develop generalizations, and identify issues that should be evaluated in the future in regard to hope and patients with cancer.", "author" : [ { "dropping-particle" : "", "family" : "Chi", "given" : "Grace Chu-Hui-Lin", "non-dropping-particle" : "", "parse-names" : false, "suffix" : "" } ], "container-title" : "Oncology nursing forum", "id" : "ITEM-1", "issue" : "2", "issued" : { "date-parts" : [ [ "2007", "3" ] ] }, "page" : "415-24", "title" : "The role of hope in patients with cancer.", "type" : "article-journal", "volume" : "34" }, "uris" : [ "http://www.mendeley.com/documents/?uuid=7ac68e31-db10-478d-9463-f47d6905e970" ] } ], "mendeley" : { "manualFormatting" : "Chi, 2007", "previouslyFormattedCitation" : "(Chi, 2007)" }, "properties" : { "noteIndex" : 0 }, "schema" : "https://github.com/citation-style-language/schema/raw/master/csl-citation.json" }</w:instrText>
      </w:r>
      <w:r w:rsidR="008B4B3B" w:rsidRPr="00C059C7">
        <w:rPr>
          <w:sz w:val="24"/>
          <w:lang w:val="en-US"/>
        </w:rPr>
        <w:fldChar w:fldCharType="separate"/>
      </w:r>
      <w:r w:rsidR="00D7235F" w:rsidRPr="00C059C7">
        <w:rPr>
          <w:noProof/>
          <w:sz w:val="24"/>
          <w:lang w:val="en-US"/>
        </w:rPr>
        <w:t>Chi, 2007</w:t>
      </w:r>
      <w:r w:rsidR="008B4B3B" w:rsidRPr="00C059C7">
        <w:rPr>
          <w:sz w:val="24"/>
          <w:lang w:val="en-US"/>
        </w:rPr>
        <w:fldChar w:fldCharType="end"/>
      </w:r>
      <w:r w:rsidR="00DF660B">
        <w:rPr>
          <w:sz w:val="24"/>
          <w:lang w:val="en-US"/>
        </w:rPr>
        <w:t xml:space="preserve">; Elliott, </w:t>
      </w:r>
      <w:r w:rsidR="00DF660B" w:rsidRPr="00DF660B">
        <w:rPr>
          <w:sz w:val="24"/>
          <w:lang w:val="en-US"/>
        </w:rPr>
        <w:t xml:space="preserve">Witty, </w:t>
      </w:r>
      <w:r w:rsidR="00DF660B">
        <w:rPr>
          <w:sz w:val="24"/>
          <w:lang w:val="en-US"/>
        </w:rPr>
        <w:t>Herrick, &amp; Hoffman,</w:t>
      </w:r>
      <w:r w:rsidR="00D7235F" w:rsidRPr="00C059C7">
        <w:rPr>
          <w:sz w:val="24"/>
          <w:lang w:val="en-US"/>
        </w:rPr>
        <w:t xml:space="preserve"> 1991; </w:t>
      </w:r>
      <w:proofErr w:type="spellStart"/>
      <w:r w:rsidR="00D7235F" w:rsidRPr="00C059C7">
        <w:rPr>
          <w:sz w:val="24"/>
          <w:lang w:val="en-US"/>
        </w:rPr>
        <w:t>Herth</w:t>
      </w:r>
      <w:proofErr w:type="spellEnd"/>
      <w:r w:rsidR="00D7235F" w:rsidRPr="00C059C7">
        <w:rPr>
          <w:sz w:val="24"/>
          <w:lang w:val="en-US"/>
        </w:rPr>
        <w:t>, 1989)</w:t>
      </w:r>
      <w:r w:rsidR="00B66D59">
        <w:rPr>
          <w:sz w:val="24"/>
          <w:lang w:val="en-US"/>
        </w:rPr>
        <w:t>;</w:t>
      </w:r>
      <w:r w:rsidR="00D7235F" w:rsidRPr="00C059C7">
        <w:rPr>
          <w:sz w:val="24"/>
          <w:lang w:val="en-US"/>
        </w:rPr>
        <w:t xml:space="preserve"> enhances Q</w:t>
      </w:r>
      <w:r w:rsidR="008A5777" w:rsidRPr="00C059C7">
        <w:rPr>
          <w:sz w:val="24"/>
          <w:lang w:val="en-US"/>
        </w:rPr>
        <w:t xml:space="preserve">uality </w:t>
      </w:r>
      <w:r w:rsidR="00D7235F" w:rsidRPr="00C059C7">
        <w:rPr>
          <w:sz w:val="24"/>
          <w:lang w:val="en-US"/>
        </w:rPr>
        <w:t>o</w:t>
      </w:r>
      <w:r w:rsidR="008A5777" w:rsidRPr="00C059C7">
        <w:rPr>
          <w:sz w:val="24"/>
          <w:lang w:val="en-US"/>
        </w:rPr>
        <w:t xml:space="preserve">f </w:t>
      </w:r>
      <w:r w:rsidR="00D7235F" w:rsidRPr="00C059C7">
        <w:rPr>
          <w:sz w:val="24"/>
          <w:lang w:val="en-US"/>
        </w:rPr>
        <w:t>L</w:t>
      </w:r>
      <w:r w:rsidR="008A5777" w:rsidRPr="00C059C7">
        <w:rPr>
          <w:sz w:val="24"/>
          <w:lang w:val="en-US"/>
        </w:rPr>
        <w:t>ife</w:t>
      </w:r>
      <w:r w:rsidR="00D7235F" w:rsidRPr="00C059C7">
        <w:rPr>
          <w:sz w:val="24"/>
          <w:lang w:val="en-US"/>
        </w:rPr>
        <w:t xml:space="preserve"> (</w:t>
      </w:r>
      <w:proofErr w:type="spellStart"/>
      <w:r w:rsidR="008A5777" w:rsidRPr="00C059C7">
        <w:rPr>
          <w:sz w:val="24"/>
          <w:lang w:val="en-US"/>
        </w:rPr>
        <w:t>QoL</w:t>
      </w:r>
      <w:proofErr w:type="spellEnd"/>
      <w:r w:rsidR="008A5777" w:rsidRPr="00C059C7">
        <w:rPr>
          <w:sz w:val="24"/>
          <w:lang w:val="en-US"/>
        </w:rPr>
        <w:t xml:space="preserve">; </w:t>
      </w:r>
      <w:r w:rsidR="00D7235F" w:rsidRPr="00C059C7">
        <w:rPr>
          <w:sz w:val="24"/>
          <w:lang w:val="en-US"/>
        </w:rPr>
        <w:t xml:space="preserve">Felder, 2004; </w:t>
      </w:r>
      <w:proofErr w:type="spellStart"/>
      <w:r w:rsidR="00D7235F" w:rsidRPr="00C059C7">
        <w:rPr>
          <w:sz w:val="24"/>
          <w:lang w:val="en-US"/>
        </w:rPr>
        <w:t>Herth</w:t>
      </w:r>
      <w:proofErr w:type="spellEnd"/>
      <w:r w:rsidR="00D7235F" w:rsidRPr="00C059C7">
        <w:rPr>
          <w:sz w:val="24"/>
          <w:lang w:val="en-US"/>
        </w:rPr>
        <w:t xml:space="preserve"> &amp; </w:t>
      </w:r>
      <w:proofErr w:type="spellStart"/>
      <w:r w:rsidR="00D7235F" w:rsidRPr="00C059C7">
        <w:rPr>
          <w:sz w:val="24"/>
          <w:lang w:val="en-US"/>
        </w:rPr>
        <w:t>Cutcliffe</w:t>
      </w:r>
      <w:proofErr w:type="spellEnd"/>
      <w:r w:rsidR="00D7235F" w:rsidRPr="00C059C7">
        <w:rPr>
          <w:sz w:val="24"/>
          <w:lang w:val="en-US"/>
        </w:rPr>
        <w:t>, 2002a; Post-White et al., 1996)</w:t>
      </w:r>
      <w:r w:rsidR="00B66D59">
        <w:rPr>
          <w:sz w:val="24"/>
          <w:lang w:val="en-US"/>
        </w:rPr>
        <w:t>;</w:t>
      </w:r>
      <w:r w:rsidR="00D7235F" w:rsidRPr="00C059C7">
        <w:rPr>
          <w:sz w:val="24"/>
          <w:lang w:val="en-US"/>
        </w:rPr>
        <w:t xml:space="preserve"> and promotes adaptation to loss, uncertainty and suffering (</w:t>
      </w:r>
      <w:proofErr w:type="spellStart"/>
      <w:r w:rsidR="00D7235F" w:rsidRPr="00C059C7">
        <w:rPr>
          <w:sz w:val="24"/>
          <w:lang w:val="en-US"/>
        </w:rPr>
        <w:t>Herth</w:t>
      </w:r>
      <w:proofErr w:type="spellEnd"/>
      <w:r w:rsidR="00D7235F" w:rsidRPr="00C059C7">
        <w:rPr>
          <w:sz w:val="24"/>
          <w:lang w:val="en-US"/>
        </w:rPr>
        <w:t xml:space="preserve"> &amp; </w:t>
      </w:r>
      <w:proofErr w:type="spellStart"/>
      <w:r w:rsidR="00D7235F" w:rsidRPr="00C059C7">
        <w:rPr>
          <w:sz w:val="24"/>
          <w:lang w:val="en-US"/>
        </w:rPr>
        <w:t>Cutcliffe</w:t>
      </w:r>
      <w:proofErr w:type="spellEnd"/>
      <w:r w:rsidR="00D7235F" w:rsidRPr="00C059C7">
        <w:rPr>
          <w:sz w:val="24"/>
          <w:lang w:val="en-US"/>
        </w:rPr>
        <w:t>, 2002a; Lee, 2001). Despite the growing number of studies among adults, less research has been done in the context of pediatric health. Snyder (2000) considered that hope can help ill children/adolescents to deal with the impediments associated with health problems and focus upon new goals, look for novel ways to accomplish those goals and build the motivation needed to complete the often unpleasant medical regimes and treatment. Recently, one longitudinal observational study (</w:t>
      </w:r>
      <w:proofErr w:type="spellStart"/>
      <w:r w:rsidR="00D7235F" w:rsidRPr="00C059C7">
        <w:rPr>
          <w:sz w:val="24"/>
          <w:lang w:val="en-US"/>
        </w:rPr>
        <w:t>Germann</w:t>
      </w:r>
      <w:proofErr w:type="spellEnd"/>
      <w:r w:rsidR="00D7235F" w:rsidRPr="00C059C7">
        <w:rPr>
          <w:sz w:val="24"/>
          <w:lang w:val="en-US"/>
        </w:rPr>
        <w:t xml:space="preserve"> et al., 2012; </w:t>
      </w:r>
      <w:proofErr w:type="spellStart"/>
      <w:r w:rsidR="00D7235F" w:rsidRPr="00C059C7">
        <w:rPr>
          <w:sz w:val="24"/>
          <w:lang w:val="en-US"/>
        </w:rPr>
        <w:t>Leavey</w:t>
      </w:r>
      <w:proofErr w:type="spellEnd"/>
      <w:r w:rsidR="00D7235F" w:rsidRPr="00C059C7">
        <w:rPr>
          <w:sz w:val="24"/>
          <w:lang w:val="en-US"/>
        </w:rPr>
        <w:t xml:space="preserve"> et al., 2013) explored the relationships between hope, anxiety, depression and </w:t>
      </w:r>
      <w:proofErr w:type="spellStart"/>
      <w:r w:rsidR="008A5777" w:rsidRPr="00C059C7">
        <w:rPr>
          <w:sz w:val="24"/>
          <w:lang w:val="en-US"/>
        </w:rPr>
        <w:t>QoL</w:t>
      </w:r>
      <w:proofErr w:type="spellEnd"/>
      <w:r w:rsidR="00D7235F" w:rsidRPr="00C059C7">
        <w:rPr>
          <w:sz w:val="24"/>
          <w:lang w:val="en-US"/>
        </w:rPr>
        <w:t xml:space="preserve"> among children/adolescents newly diagnosed with cancer, who were followed for one year. </w:t>
      </w:r>
      <w:r w:rsidR="00604952" w:rsidRPr="00C059C7">
        <w:rPr>
          <w:sz w:val="24"/>
          <w:lang w:val="en-US"/>
        </w:rPr>
        <w:t>R</w:t>
      </w:r>
      <w:r w:rsidR="00D7235F" w:rsidRPr="00C059C7">
        <w:rPr>
          <w:sz w:val="24"/>
          <w:lang w:val="en-US"/>
        </w:rPr>
        <w:t xml:space="preserve">esults revealed that hope was positively associated with </w:t>
      </w:r>
      <w:proofErr w:type="spellStart"/>
      <w:r w:rsidR="00D7235F" w:rsidRPr="00C059C7">
        <w:rPr>
          <w:sz w:val="24"/>
          <w:lang w:val="en-US"/>
        </w:rPr>
        <w:t>QoL</w:t>
      </w:r>
      <w:proofErr w:type="spellEnd"/>
      <w:r w:rsidR="00604952" w:rsidRPr="00C059C7">
        <w:rPr>
          <w:sz w:val="24"/>
          <w:lang w:val="en-US"/>
        </w:rPr>
        <w:t xml:space="preserve"> one year later</w:t>
      </w:r>
      <w:r w:rsidR="00D7235F" w:rsidRPr="00C059C7">
        <w:rPr>
          <w:sz w:val="24"/>
          <w:lang w:val="en-US"/>
        </w:rPr>
        <w:t>, even after controlling for depression and anxiety (</w:t>
      </w:r>
      <w:proofErr w:type="spellStart"/>
      <w:r w:rsidR="00D7235F" w:rsidRPr="00C059C7">
        <w:rPr>
          <w:sz w:val="24"/>
          <w:lang w:val="en-US"/>
        </w:rPr>
        <w:t>Leavey</w:t>
      </w:r>
      <w:proofErr w:type="spellEnd"/>
      <w:r w:rsidR="00D7235F" w:rsidRPr="00C059C7">
        <w:rPr>
          <w:sz w:val="24"/>
          <w:lang w:val="en-US"/>
        </w:rPr>
        <w:t xml:space="preserve"> et al., 2013, May). To the best of our knowledge, </w:t>
      </w:r>
      <w:r w:rsidR="00604952" w:rsidRPr="00C059C7">
        <w:rPr>
          <w:sz w:val="24"/>
          <w:lang w:val="en-US"/>
        </w:rPr>
        <w:t xml:space="preserve">this </w:t>
      </w:r>
      <w:r w:rsidR="00B66D59">
        <w:rPr>
          <w:sz w:val="24"/>
          <w:lang w:val="en-US"/>
        </w:rPr>
        <w:t>is</w:t>
      </w:r>
      <w:r w:rsidR="00B66D59" w:rsidRPr="00C059C7">
        <w:rPr>
          <w:sz w:val="24"/>
          <w:lang w:val="en-US"/>
        </w:rPr>
        <w:t xml:space="preserve"> </w:t>
      </w:r>
      <w:r w:rsidR="00604952" w:rsidRPr="00C059C7">
        <w:rPr>
          <w:sz w:val="24"/>
          <w:lang w:val="en-US"/>
        </w:rPr>
        <w:t>the</w:t>
      </w:r>
      <w:r w:rsidR="00D7235F" w:rsidRPr="00C059C7">
        <w:rPr>
          <w:sz w:val="24"/>
          <w:lang w:val="en-US"/>
        </w:rPr>
        <w:t xml:space="preserve"> only study </w:t>
      </w:r>
      <w:r w:rsidR="00B66D59">
        <w:rPr>
          <w:sz w:val="24"/>
          <w:lang w:val="en-US"/>
        </w:rPr>
        <w:t xml:space="preserve">that has examined </w:t>
      </w:r>
      <w:r w:rsidR="00D7235F" w:rsidRPr="00C059C7">
        <w:rPr>
          <w:sz w:val="24"/>
          <w:lang w:val="en-US"/>
        </w:rPr>
        <w:t xml:space="preserve">the relationship between anxiety and </w:t>
      </w:r>
      <w:proofErr w:type="spellStart"/>
      <w:r w:rsidR="00D7235F" w:rsidRPr="00C059C7">
        <w:rPr>
          <w:sz w:val="24"/>
          <w:lang w:val="en-US"/>
        </w:rPr>
        <w:t>QoL</w:t>
      </w:r>
      <w:proofErr w:type="spellEnd"/>
      <w:r w:rsidR="00D7235F" w:rsidRPr="00C059C7">
        <w:rPr>
          <w:sz w:val="24"/>
          <w:lang w:val="en-US"/>
        </w:rPr>
        <w:t xml:space="preserve"> in pediatric cancer patients</w:t>
      </w:r>
      <w:r w:rsidR="00604952" w:rsidRPr="00C059C7">
        <w:rPr>
          <w:sz w:val="24"/>
          <w:lang w:val="en-US"/>
        </w:rPr>
        <w:t>.</w:t>
      </w:r>
      <w:r w:rsidR="008A5777" w:rsidRPr="00C059C7">
        <w:rPr>
          <w:sz w:val="24"/>
          <w:lang w:val="en-US"/>
        </w:rPr>
        <w:t xml:space="preserve"> </w:t>
      </w:r>
      <w:r w:rsidR="00D7235F" w:rsidRPr="00C059C7">
        <w:rPr>
          <w:sz w:val="24"/>
          <w:lang w:val="en-US"/>
        </w:rPr>
        <w:t xml:space="preserve">Studies with other pediatric health conditions </w:t>
      </w:r>
      <w:r w:rsidR="008A3776" w:rsidRPr="00C059C7">
        <w:rPr>
          <w:sz w:val="24"/>
          <w:lang w:val="en-US"/>
        </w:rPr>
        <w:t>demonstr</w:t>
      </w:r>
      <w:r w:rsidR="008A3776">
        <w:rPr>
          <w:sz w:val="24"/>
          <w:lang w:val="en-US"/>
        </w:rPr>
        <w:t>ate</w:t>
      </w:r>
      <w:r w:rsidR="008A3776" w:rsidRPr="00C059C7">
        <w:rPr>
          <w:sz w:val="24"/>
          <w:lang w:val="en-US"/>
        </w:rPr>
        <w:t xml:space="preserve"> </w:t>
      </w:r>
      <w:r w:rsidR="00D7235F" w:rsidRPr="00C059C7">
        <w:rPr>
          <w:sz w:val="24"/>
          <w:lang w:val="en-US"/>
        </w:rPr>
        <w:t xml:space="preserve">that anxiety is an important predictor of </w:t>
      </w:r>
      <w:proofErr w:type="spellStart"/>
      <w:r w:rsidR="00D7235F" w:rsidRPr="00C059C7">
        <w:rPr>
          <w:sz w:val="24"/>
          <w:lang w:val="en-US"/>
        </w:rPr>
        <w:t>HRQoL</w:t>
      </w:r>
      <w:proofErr w:type="spellEnd"/>
      <w:r w:rsidR="00D7235F" w:rsidRPr="00C059C7">
        <w:rPr>
          <w:sz w:val="24"/>
          <w:lang w:val="en-US"/>
        </w:rPr>
        <w:t xml:space="preserve"> (</w:t>
      </w:r>
      <w:proofErr w:type="spellStart"/>
      <w:r w:rsidR="008B4B3B" w:rsidRPr="00C059C7">
        <w:rPr>
          <w:sz w:val="24"/>
          <w:lang w:val="en-US"/>
        </w:rPr>
        <w:fldChar w:fldCharType="begin" w:fldLock="1"/>
      </w:r>
      <w:r w:rsidR="00D7235F" w:rsidRPr="00C059C7">
        <w:rPr>
          <w:sz w:val="24"/>
          <w:lang w:val="en-US"/>
        </w:rPr>
        <w:instrText>ADDIN CSL_CITATION { "citationItems" : [ { "id" : "ITEM-1", "itemData" : { "DOI" : "10.1111/j.1528-1167.2011.03133.x", "abstract" : "This study evaluated the effects of depression and anxiety disorder symptoms on the health-related quality of life (HRQOL) of children and adolescents with epilepsy. Sixty children and adolescents and their parents participated in the study. Symptoms of anxiety disorders were identified by the Screen for Child Anxiety Related Emotional Disorders questionnaire (SCARED) and symptoms of depression by the Mood and Feeling Questionnaire (MFQ). The Pediatric Quality of Life Inventory (PedsQL) was used for HRQOL assessments. A series of simple and partial correlations revealed that the levels of HRQOL significantly decrease as symptoms of depression or anxiety disorders increase and vice versa. Stepwise regression method of children's ratings resulted in a final model of school achievement and symptoms of generalized anxiety and separation anxiety disorder as predictors that explain 50.9% of the variation in HRQOL (F = 11.21, p &lt; 0.000). For parents' ratings, the final model included symptoms of depression and separation anxiety disorder as predictors that explain 38.4% of the variation in HRQOL (F = 10.82, p &lt; 0.000). In summary, symptoms of depression and generalized and separation anxiety disorders have the most significant impact on HRQOL.", "author" : [ { "dropping-particle" : "", "family" : "Stevanovic", "given" : "Dejan", "non-dropping-particle" : "", "parse-names" : false, "suffix" : "" }, { "dropping-particle" : "", "family" : "Jancic", "given" : "Jasna", "non-dropping-particle" : "", "parse-names" : false, "suffix" : "" }, { "dropping-particle" : "", "family" : "Lakic", "given" : "Aneta", "non-dropping-particle" : "", "parse-names" : false, "suffix" : "" } ], "container-title" : "Epilepsia", "id" : "ITEM-1", "issue" : "8", "issued" : { "date-parts" : [ [ "2011", "8" ] ] }, "page" : "e75-8", "title" : "The impact of depression and anxiety disorder symptoms on the health-related quality of life of children and adolescents with epilepsy.", "type" : "article-journal", "volume" : "52" }, "uris" : [ "http://www.mendeley.com/documents/?uuid=5be363e2-ba99-4267-8791-a9a88470ca39" ] } ], "mendeley" : { "manualFormatting" : "(Stevanovic, Jancic, &amp; Lakic, 2011; Adewuya &amp; Oseni, 2005)", "previouslyFormattedCitation" : "(Stevanovic, Jancic, &amp; Lakic, 2011)" }, "properties" : { "noteIndex" : 0 }, "schema" : "https://github.com/citation-style-language/schema/raw/master/csl-citation.json" }</w:instrText>
      </w:r>
      <w:r w:rsidR="008B4B3B" w:rsidRPr="00C059C7">
        <w:rPr>
          <w:sz w:val="24"/>
          <w:lang w:val="en-US"/>
        </w:rPr>
        <w:fldChar w:fldCharType="separate"/>
      </w:r>
      <w:r w:rsidR="00D7235F" w:rsidRPr="00C059C7">
        <w:rPr>
          <w:noProof/>
          <w:sz w:val="24"/>
          <w:lang w:val="en-US"/>
        </w:rPr>
        <w:t>Adewuya</w:t>
      </w:r>
      <w:proofErr w:type="spellEnd"/>
      <w:r w:rsidR="00D7235F" w:rsidRPr="00C059C7">
        <w:rPr>
          <w:noProof/>
          <w:sz w:val="24"/>
          <w:lang w:val="en-US"/>
        </w:rPr>
        <w:t xml:space="preserve"> &amp; Oseni, 2005; </w:t>
      </w:r>
      <w:r w:rsidR="00D7235F" w:rsidRPr="00C059C7">
        <w:rPr>
          <w:iCs/>
          <w:sz w:val="24"/>
          <w:lang w:val="en-US"/>
        </w:rPr>
        <w:t xml:space="preserve">Annett, Bender, Lapidus, DuHamel, &amp; Lincoln, 2001; </w:t>
      </w:r>
      <w:r w:rsidR="00D7235F" w:rsidRPr="00C059C7">
        <w:rPr>
          <w:noProof/>
          <w:sz w:val="24"/>
          <w:lang w:val="en-US"/>
        </w:rPr>
        <w:t>Stevanovic, Jancic, &amp; Lakic, 2011</w:t>
      </w:r>
      <w:r w:rsidR="008B4B3B" w:rsidRPr="00C059C7">
        <w:rPr>
          <w:sz w:val="24"/>
          <w:lang w:val="en-US"/>
        </w:rPr>
        <w:fldChar w:fldCharType="end"/>
      </w:r>
      <w:r w:rsidR="00D7235F" w:rsidRPr="00C059C7">
        <w:rPr>
          <w:sz w:val="24"/>
          <w:lang w:val="en-US"/>
        </w:rPr>
        <w:t xml:space="preserve">). Literature </w:t>
      </w:r>
      <w:r w:rsidR="00F7152D">
        <w:rPr>
          <w:sz w:val="24"/>
          <w:lang w:val="en-US"/>
        </w:rPr>
        <w:t>to date</w:t>
      </w:r>
      <w:r w:rsidR="00D7235F" w:rsidRPr="00C059C7">
        <w:rPr>
          <w:sz w:val="24"/>
          <w:lang w:val="en-US"/>
        </w:rPr>
        <w:t xml:space="preserve"> provides support for </w:t>
      </w:r>
      <w:r w:rsidR="00D7235F" w:rsidRPr="00C059C7">
        <w:rPr>
          <w:sz w:val="24"/>
          <w:lang w:val="en-US"/>
        </w:rPr>
        <w:lastRenderedPageBreak/>
        <w:t>considering hope as a ps</w:t>
      </w:r>
      <w:r w:rsidR="00DF660B">
        <w:rPr>
          <w:sz w:val="24"/>
          <w:lang w:val="en-US"/>
        </w:rPr>
        <w:t xml:space="preserve">ychological strength (Valle, Huebner, </w:t>
      </w:r>
      <w:r w:rsidR="00DF660B" w:rsidRPr="00DF660B">
        <w:rPr>
          <w:sz w:val="24"/>
          <w:lang w:val="en-US"/>
        </w:rPr>
        <w:t xml:space="preserve">&amp; </w:t>
      </w:r>
      <w:proofErr w:type="spellStart"/>
      <w:r w:rsidR="00DF660B" w:rsidRPr="00DF660B">
        <w:rPr>
          <w:sz w:val="24"/>
          <w:lang w:val="en-US"/>
        </w:rPr>
        <w:t>Suldo</w:t>
      </w:r>
      <w:proofErr w:type="spellEnd"/>
      <w:r w:rsidR="00DF660B" w:rsidRPr="00DF660B">
        <w:rPr>
          <w:sz w:val="24"/>
          <w:lang w:val="en-US"/>
        </w:rPr>
        <w:t xml:space="preserve">, </w:t>
      </w:r>
      <w:r w:rsidR="00D7235F" w:rsidRPr="00C059C7">
        <w:rPr>
          <w:sz w:val="24"/>
          <w:lang w:val="en-US"/>
        </w:rPr>
        <w:t>2006) in both normative and adverse conditions, such as illness. However, two main gaps remain: the examination of hope in different phases of pediatric cancer treatments</w:t>
      </w:r>
      <w:r w:rsidR="00604952" w:rsidRPr="00C059C7">
        <w:rPr>
          <w:sz w:val="24"/>
          <w:lang w:val="en-US"/>
        </w:rPr>
        <w:t>,</w:t>
      </w:r>
      <w:r w:rsidR="00D7235F" w:rsidRPr="00C059C7">
        <w:rPr>
          <w:sz w:val="24"/>
          <w:lang w:val="en-US"/>
        </w:rPr>
        <w:t xml:space="preserve"> as well as </w:t>
      </w:r>
      <w:r w:rsidR="00F7152D">
        <w:rPr>
          <w:sz w:val="24"/>
          <w:lang w:val="en-US"/>
        </w:rPr>
        <w:t>hope’s</w:t>
      </w:r>
      <w:r w:rsidR="00F7152D" w:rsidRPr="00C059C7">
        <w:rPr>
          <w:sz w:val="24"/>
          <w:lang w:val="en-US"/>
        </w:rPr>
        <w:t xml:space="preserve"> </w:t>
      </w:r>
      <w:r w:rsidR="00D7235F" w:rsidRPr="00C059C7">
        <w:rPr>
          <w:sz w:val="24"/>
          <w:lang w:val="en-US"/>
        </w:rPr>
        <w:t xml:space="preserve">association with adaptation outcomes such as </w:t>
      </w:r>
      <w:proofErr w:type="spellStart"/>
      <w:r w:rsidR="00D7235F" w:rsidRPr="00C059C7">
        <w:rPr>
          <w:sz w:val="24"/>
          <w:lang w:val="en-US"/>
        </w:rPr>
        <w:t>HRQoL</w:t>
      </w:r>
      <w:proofErr w:type="spellEnd"/>
      <w:r w:rsidR="00D7235F" w:rsidRPr="00C059C7">
        <w:rPr>
          <w:sz w:val="24"/>
          <w:lang w:val="en-US"/>
        </w:rPr>
        <w:t xml:space="preserve"> and anxiety in different clinical groups.</w:t>
      </w:r>
    </w:p>
    <w:p w:rsidR="00D7235F" w:rsidRDefault="00604952" w:rsidP="00D7235F">
      <w:pPr>
        <w:spacing w:line="480" w:lineRule="auto"/>
        <w:ind w:firstLine="0"/>
        <w:contextualSpacing/>
        <w:jc w:val="left"/>
        <w:rPr>
          <w:sz w:val="24"/>
          <w:lang w:val="en-US"/>
        </w:rPr>
      </w:pPr>
      <w:r>
        <w:rPr>
          <w:lang w:val="en-US"/>
        </w:rPr>
        <w:tab/>
      </w:r>
      <w:r w:rsidR="00A54A7B" w:rsidRPr="008B7E48">
        <w:rPr>
          <w:sz w:val="24"/>
          <w:lang w:val="en-US"/>
        </w:rPr>
        <w:t xml:space="preserve">The main aim of the present research was to examine associations among self-reported hope, anxiety and </w:t>
      </w:r>
      <w:proofErr w:type="spellStart"/>
      <w:r w:rsidR="00A54A7B" w:rsidRPr="008B7E48">
        <w:rPr>
          <w:sz w:val="24"/>
          <w:lang w:val="en-US"/>
        </w:rPr>
        <w:t>HRQoL</w:t>
      </w:r>
      <w:proofErr w:type="spellEnd"/>
      <w:r w:rsidR="00A54A7B" w:rsidRPr="008B7E48">
        <w:rPr>
          <w:sz w:val="24"/>
          <w:lang w:val="en-US"/>
        </w:rPr>
        <w:t xml:space="preserve"> in two clinical groups (on-treatment vs. off-treatment) of children/adolescents with cancer. We posed and tested three hypotheses</w:t>
      </w:r>
      <w:r w:rsidR="00B03267">
        <w:rPr>
          <w:sz w:val="24"/>
          <w:lang w:val="en-US"/>
        </w:rPr>
        <w:t xml:space="preserve"> based on theory and previous empirical research</w:t>
      </w:r>
      <w:r w:rsidR="00A54A7B" w:rsidRPr="008B7E48">
        <w:rPr>
          <w:sz w:val="24"/>
          <w:lang w:val="en-US"/>
        </w:rPr>
        <w:t xml:space="preserve">. </w:t>
      </w:r>
      <w:r w:rsidR="00591915">
        <w:rPr>
          <w:sz w:val="24"/>
          <w:lang w:val="en-US"/>
        </w:rPr>
        <w:t>First</w:t>
      </w:r>
      <w:r w:rsidR="00A54A7B" w:rsidRPr="007460F6">
        <w:rPr>
          <w:sz w:val="24"/>
          <w:lang w:val="en-US"/>
        </w:rPr>
        <w:t xml:space="preserve">, </w:t>
      </w:r>
      <w:r w:rsidR="00A54A7B" w:rsidRPr="008B7E48">
        <w:rPr>
          <w:sz w:val="24"/>
          <w:lang w:val="en-US"/>
        </w:rPr>
        <w:t xml:space="preserve">we expected that hope would be positively associated with </w:t>
      </w:r>
      <w:proofErr w:type="spellStart"/>
      <w:r w:rsidR="00A54A7B" w:rsidRPr="008B7E48">
        <w:rPr>
          <w:sz w:val="24"/>
          <w:lang w:val="en-US"/>
        </w:rPr>
        <w:t>HRQoL</w:t>
      </w:r>
      <w:proofErr w:type="spellEnd"/>
      <w:r w:rsidR="00A54A7B" w:rsidRPr="008B7E48">
        <w:rPr>
          <w:sz w:val="24"/>
          <w:lang w:val="en-US"/>
        </w:rPr>
        <w:t xml:space="preserve"> and negatively related with anxiety. </w:t>
      </w:r>
      <w:r w:rsidR="00591915">
        <w:rPr>
          <w:sz w:val="24"/>
          <w:lang w:val="en-US"/>
        </w:rPr>
        <w:t>Secondly</w:t>
      </w:r>
      <w:r w:rsidR="00A54A7B" w:rsidRPr="008B7E48">
        <w:rPr>
          <w:sz w:val="24"/>
          <w:lang w:val="en-US"/>
        </w:rPr>
        <w:t xml:space="preserve">, we hypothesized that the </w:t>
      </w:r>
      <w:r w:rsidR="00AD5BB0">
        <w:rPr>
          <w:sz w:val="24"/>
          <w:lang w:val="en-US"/>
        </w:rPr>
        <w:t>relationship</w:t>
      </w:r>
      <w:r w:rsidR="00AD5BB0" w:rsidRPr="008B7E48">
        <w:rPr>
          <w:sz w:val="24"/>
          <w:lang w:val="en-US"/>
        </w:rPr>
        <w:t xml:space="preserve"> </w:t>
      </w:r>
      <w:r w:rsidR="00A54A7B" w:rsidRPr="008B7E48">
        <w:rPr>
          <w:sz w:val="24"/>
          <w:lang w:val="en-US"/>
        </w:rPr>
        <w:t xml:space="preserve">between hope and </w:t>
      </w:r>
      <w:proofErr w:type="spellStart"/>
      <w:r w:rsidR="00A54A7B" w:rsidRPr="008B7E48">
        <w:rPr>
          <w:sz w:val="24"/>
          <w:lang w:val="en-US"/>
        </w:rPr>
        <w:t>HRQoL</w:t>
      </w:r>
      <w:proofErr w:type="spellEnd"/>
      <w:r w:rsidR="00A54A7B" w:rsidRPr="008B7E48">
        <w:rPr>
          <w:sz w:val="24"/>
          <w:lang w:val="en-US"/>
        </w:rPr>
        <w:t xml:space="preserve"> would be mediated by anxiety</w:t>
      </w:r>
      <w:r w:rsidR="007427B4" w:rsidRPr="008B7E48">
        <w:rPr>
          <w:sz w:val="24"/>
          <w:lang w:val="en-US"/>
        </w:rPr>
        <w:t>. Additionally</w:t>
      </w:r>
      <w:r w:rsidR="00A54A7B" w:rsidRPr="008B7E48">
        <w:rPr>
          <w:sz w:val="24"/>
          <w:lang w:val="en-US"/>
        </w:rPr>
        <w:t xml:space="preserve"> we aimed to examine if the mediation model was moderated by the child/adolescent’s treatment status. Given the absence of literature on the topic, we posed no specific hypothesis and addressed this goal as an exploratory research question.</w:t>
      </w:r>
    </w:p>
    <w:p w:rsidR="00A54A7B" w:rsidRPr="008B7E48" w:rsidRDefault="00A54A7B" w:rsidP="00A54A7B">
      <w:pPr>
        <w:spacing w:line="480" w:lineRule="auto"/>
        <w:ind w:firstLine="0"/>
        <w:contextualSpacing/>
        <w:jc w:val="center"/>
        <w:rPr>
          <w:b/>
          <w:sz w:val="24"/>
          <w:lang w:val="en-US"/>
        </w:rPr>
      </w:pPr>
      <w:r w:rsidRPr="008B7E48">
        <w:rPr>
          <w:b/>
          <w:sz w:val="24"/>
          <w:lang w:val="en-US"/>
        </w:rPr>
        <w:t>Method</w:t>
      </w:r>
    </w:p>
    <w:p w:rsidR="00A54A7B" w:rsidRPr="008B7E48" w:rsidRDefault="00A54A7B" w:rsidP="00A54A7B">
      <w:pPr>
        <w:spacing w:line="480" w:lineRule="auto"/>
        <w:ind w:firstLine="0"/>
        <w:contextualSpacing/>
        <w:jc w:val="left"/>
        <w:rPr>
          <w:b/>
          <w:sz w:val="24"/>
          <w:lang w:val="en-US"/>
        </w:rPr>
      </w:pPr>
      <w:r w:rsidRPr="008B7E48">
        <w:rPr>
          <w:b/>
          <w:sz w:val="24"/>
          <w:lang w:val="en-US"/>
        </w:rPr>
        <w:t>Participants</w:t>
      </w:r>
    </w:p>
    <w:p w:rsidR="00A54A7B" w:rsidRPr="008B7E48" w:rsidRDefault="00A54A7B" w:rsidP="00A54A7B">
      <w:pPr>
        <w:spacing w:line="480" w:lineRule="auto"/>
        <w:contextualSpacing/>
        <w:jc w:val="left"/>
        <w:rPr>
          <w:sz w:val="24"/>
          <w:lang w:val="en-US"/>
        </w:rPr>
      </w:pPr>
      <w:r w:rsidRPr="008B7E48">
        <w:rPr>
          <w:sz w:val="24"/>
          <w:lang w:val="en-US"/>
        </w:rPr>
        <w:t xml:space="preserve">The total sample comprised 211 children and adolescents with a diagnosis of malignant cancer who attended the oncology wards of two Portuguese public hospitals. </w:t>
      </w:r>
      <w:r w:rsidR="00712595">
        <w:rPr>
          <w:sz w:val="24"/>
          <w:lang w:val="en-US"/>
        </w:rPr>
        <w:t>O</w:t>
      </w:r>
      <w:r w:rsidR="00712595" w:rsidRPr="00712595">
        <w:rPr>
          <w:sz w:val="24"/>
          <w:lang w:val="en-US"/>
        </w:rPr>
        <w:t xml:space="preserve">f the 212 families we approached, only one declined </w:t>
      </w:r>
      <w:r w:rsidR="00010AE1">
        <w:rPr>
          <w:sz w:val="24"/>
          <w:lang w:val="en-US"/>
        </w:rPr>
        <w:t xml:space="preserve">to </w:t>
      </w:r>
      <w:r w:rsidR="00712595" w:rsidRPr="00712595">
        <w:rPr>
          <w:sz w:val="24"/>
          <w:lang w:val="en-US"/>
        </w:rPr>
        <w:t>provide data</w:t>
      </w:r>
      <w:r w:rsidR="00F7152D">
        <w:rPr>
          <w:sz w:val="24"/>
          <w:lang w:val="en-US"/>
        </w:rPr>
        <w:t>, a 99.5% response rate.</w:t>
      </w:r>
      <w:r w:rsidR="00712595" w:rsidRPr="00712595">
        <w:rPr>
          <w:sz w:val="24"/>
          <w:lang w:val="en-US"/>
        </w:rPr>
        <w:t xml:space="preserve"> The one family that declined participation indicated that they were not interested.</w:t>
      </w:r>
      <w:r w:rsidR="00F04CF4">
        <w:rPr>
          <w:sz w:val="24"/>
          <w:lang w:val="en-US"/>
        </w:rPr>
        <w:t xml:space="preserve"> </w:t>
      </w:r>
      <w:r w:rsidRPr="008B7E48">
        <w:rPr>
          <w:sz w:val="24"/>
          <w:lang w:val="en-US"/>
        </w:rPr>
        <w:t>Participants (112 boys and 99 girls) ranged from 8 to 19 years (</w:t>
      </w:r>
      <w:r w:rsidRPr="008B7E48">
        <w:rPr>
          <w:i/>
          <w:sz w:val="24"/>
          <w:lang w:val="en-US"/>
        </w:rPr>
        <w:t xml:space="preserve">M = </w:t>
      </w:r>
      <w:r w:rsidRPr="008B7E48">
        <w:rPr>
          <w:sz w:val="24"/>
          <w:lang w:val="en-US"/>
        </w:rPr>
        <w:t xml:space="preserve">13.29, </w:t>
      </w:r>
      <w:r w:rsidRPr="008B7E48">
        <w:rPr>
          <w:i/>
          <w:sz w:val="24"/>
          <w:lang w:val="en-US"/>
        </w:rPr>
        <w:t>SD</w:t>
      </w:r>
      <w:r w:rsidRPr="008B7E48">
        <w:rPr>
          <w:sz w:val="24"/>
          <w:lang w:val="en-US"/>
        </w:rPr>
        <w:t xml:space="preserve"> = 3.56) and had the following</w:t>
      </w:r>
      <w:r w:rsidR="00F7152D">
        <w:rPr>
          <w:sz w:val="24"/>
          <w:lang w:val="en-US"/>
        </w:rPr>
        <w:t xml:space="preserve"> </w:t>
      </w:r>
      <w:r w:rsidR="00F7152D" w:rsidRPr="008B7E48">
        <w:rPr>
          <w:sz w:val="24"/>
          <w:lang w:val="en-US"/>
        </w:rPr>
        <w:t>diagnos</w:t>
      </w:r>
      <w:r w:rsidR="00F7152D">
        <w:rPr>
          <w:sz w:val="24"/>
          <w:lang w:val="en-US"/>
        </w:rPr>
        <w:t>e</w:t>
      </w:r>
      <w:r w:rsidR="00F7152D" w:rsidRPr="008B7E48">
        <w:rPr>
          <w:sz w:val="24"/>
          <w:lang w:val="en-US"/>
        </w:rPr>
        <w:t>s</w:t>
      </w:r>
      <w:r w:rsidRPr="008B7E48">
        <w:rPr>
          <w:sz w:val="24"/>
          <w:lang w:val="en-US"/>
        </w:rPr>
        <w:t xml:space="preserve">: </w:t>
      </w:r>
      <w:proofErr w:type="spellStart"/>
      <w:r w:rsidRPr="008B7E48">
        <w:rPr>
          <w:sz w:val="24"/>
          <w:lang w:val="en-US"/>
        </w:rPr>
        <w:t>leukemias</w:t>
      </w:r>
      <w:proofErr w:type="spellEnd"/>
      <w:r w:rsidRPr="008B7E48">
        <w:rPr>
          <w:sz w:val="24"/>
          <w:lang w:val="en-US"/>
        </w:rPr>
        <w:t xml:space="preserve"> (40.7 %, </w:t>
      </w:r>
      <w:r w:rsidRPr="008B7E48">
        <w:rPr>
          <w:i/>
          <w:sz w:val="24"/>
          <w:lang w:val="en-US"/>
        </w:rPr>
        <w:t>n</w:t>
      </w:r>
      <w:r w:rsidRPr="008B7E48">
        <w:rPr>
          <w:sz w:val="24"/>
          <w:lang w:val="en-US"/>
        </w:rPr>
        <w:t xml:space="preserve"> = 86), lymphomas (27.0 %, </w:t>
      </w:r>
      <w:r w:rsidRPr="008B7E48">
        <w:rPr>
          <w:i/>
          <w:sz w:val="24"/>
          <w:lang w:val="en-US"/>
        </w:rPr>
        <w:t>n</w:t>
      </w:r>
      <w:r w:rsidRPr="008B7E48">
        <w:rPr>
          <w:sz w:val="24"/>
          <w:lang w:val="en-US"/>
        </w:rPr>
        <w:t xml:space="preserve"> = 57), bone sarcomas (15.2 %, </w:t>
      </w:r>
      <w:r w:rsidRPr="008B7E48">
        <w:rPr>
          <w:i/>
          <w:sz w:val="24"/>
          <w:lang w:val="en-US"/>
        </w:rPr>
        <w:t>n</w:t>
      </w:r>
      <w:r w:rsidRPr="008B7E48">
        <w:rPr>
          <w:sz w:val="24"/>
          <w:lang w:val="en-US"/>
        </w:rPr>
        <w:t xml:space="preserve"> = 32), brain cancers (2.8 %, </w:t>
      </w:r>
      <w:r w:rsidRPr="008B7E48">
        <w:rPr>
          <w:i/>
          <w:sz w:val="24"/>
          <w:lang w:val="en-US"/>
        </w:rPr>
        <w:t>n</w:t>
      </w:r>
      <w:r w:rsidRPr="008B7E48">
        <w:rPr>
          <w:sz w:val="24"/>
          <w:lang w:val="en-US"/>
        </w:rPr>
        <w:t xml:space="preserve"> = 6), soft tissue sarcomas (1.9 %, </w:t>
      </w:r>
      <w:r w:rsidRPr="008B7E48">
        <w:rPr>
          <w:i/>
          <w:sz w:val="24"/>
          <w:lang w:val="en-US"/>
        </w:rPr>
        <w:t>n</w:t>
      </w:r>
      <w:r w:rsidRPr="008B7E48">
        <w:rPr>
          <w:sz w:val="24"/>
          <w:lang w:val="en-US"/>
        </w:rPr>
        <w:t xml:space="preserve"> = 4), and others (12.4 %, </w:t>
      </w:r>
      <w:r w:rsidRPr="008B7E48">
        <w:rPr>
          <w:i/>
          <w:sz w:val="24"/>
          <w:lang w:val="en-US"/>
        </w:rPr>
        <w:t>n</w:t>
      </w:r>
      <w:r w:rsidRPr="008B7E48">
        <w:rPr>
          <w:sz w:val="24"/>
          <w:lang w:val="en-US"/>
        </w:rPr>
        <w:t xml:space="preserve"> = 26). Most of the patients’ families were from low </w:t>
      </w:r>
      <w:r w:rsidRPr="008B7E48">
        <w:rPr>
          <w:sz w:val="24"/>
          <w:lang w:val="en-US"/>
        </w:rPr>
        <w:lastRenderedPageBreak/>
        <w:t xml:space="preserve">(55.9 %, </w:t>
      </w:r>
      <w:r w:rsidRPr="008B7E48">
        <w:rPr>
          <w:i/>
          <w:sz w:val="24"/>
          <w:lang w:val="en-US"/>
        </w:rPr>
        <w:t xml:space="preserve">n = </w:t>
      </w:r>
      <w:r w:rsidRPr="008B7E48">
        <w:rPr>
          <w:sz w:val="24"/>
          <w:lang w:val="en-US"/>
        </w:rPr>
        <w:t xml:space="preserve">118) and middle (34.1 %, </w:t>
      </w:r>
      <w:r w:rsidRPr="008B7E48">
        <w:rPr>
          <w:i/>
          <w:sz w:val="24"/>
          <w:lang w:val="en-US"/>
        </w:rPr>
        <w:t>n</w:t>
      </w:r>
      <w:r w:rsidRPr="008B7E48">
        <w:rPr>
          <w:sz w:val="24"/>
          <w:lang w:val="en-US"/>
        </w:rPr>
        <w:t xml:space="preserve"> = 72) socio-economic backgrounds, assessed according to the classification system of </w:t>
      </w:r>
      <w:proofErr w:type="spellStart"/>
      <w:r w:rsidRPr="008B7E48">
        <w:rPr>
          <w:sz w:val="24"/>
          <w:lang w:val="en-US"/>
        </w:rPr>
        <w:t>Simões</w:t>
      </w:r>
      <w:proofErr w:type="spellEnd"/>
      <w:r w:rsidRPr="008B7E48">
        <w:rPr>
          <w:sz w:val="24"/>
          <w:lang w:val="en-US"/>
        </w:rPr>
        <w:t xml:space="preserve"> (1994) for the Portuguese context, which is based on parents’ professions and educational level. </w:t>
      </w:r>
    </w:p>
    <w:p w:rsidR="00A54A7B" w:rsidRDefault="00A54A7B" w:rsidP="00EF26A0">
      <w:pPr>
        <w:spacing w:line="480" w:lineRule="auto"/>
        <w:contextualSpacing/>
        <w:jc w:val="left"/>
        <w:rPr>
          <w:sz w:val="24"/>
          <w:lang w:val="en-US"/>
        </w:rPr>
      </w:pPr>
      <w:r w:rsidRPr="008B7E48">
        <w:rPr>
          <w:sz w:val="24"/>
          <w:lang w:val="en-US"/>
        </w:rPr>
        <w:t>Participants were divided into two clinical groups according to treatment status: on-treatment (</w:t>
      </w:r>
      <w:r w:rsidRPr="008B7E48">
        <w:rPr>
          <w:i/>
          <w:sz w:val="24"/>
          <w:lang w:val="en-US"/>
        </w:rPr>
        <w:t xml:space="preserve">n </w:t>
      </w:r>
      <w:r w:rsidRPr="008B7E48">
        <w:rPr>
          <w:sz w:val="24"/>
          <w:lang w:val="en-US"/>
        </w:rPr>
        <w:t>= 97) and off-treatment (</w:t>
      </w:r>
      <w:r w:rsidRPr="008B7E48">
        <w:rPr>
          <w:i/>
          <w:sz w:val="24"/>
          <w:lang w:val="en-US"/>
        </w:rPr>
        <w:t>n =</w:t>
      </w:r>
      <w:r w:rsidRPr="008B7E48">
        <w:rPr>
          <w:sz w:val="24"/>
          <w:lang w:val="en-US"/>
        </w:rPr>
        <w:t xml:space="preserve"> 114) samples. The first group was composed of children and adolescents </w:t>
      </w:r>
      <w:r w:rsidR="00254EC1">
        <w:rPr>
          <w:sz w:val="24"/>
          <w:lang w:val="en-US"/>
        </w:rPr>
        <w:t xml:space="preserve">receiving </w:t>
      </w:r>
      <w:r w:rsidR="00682C0C">
        <w:rPr>
          <w:sz w:val="24"/>
          <w:lang w:val="en-US"/>
        </w:rPr>
        <w:t xml:space="preserve">active or maintenance </w:t>
      </w:r>
      <w:r w:rsidRPr="008B7E48">
        <w:rPr>
          <w:sz w:val="24"/>
          <w:lang w:val="en-US"/>
        </w:rPr>
        <w:t>treatment during the assessment period</w:t>
      </w:r>
      <w:r w:rsidR="00682C0C">
        <w:rPr>
          <w:sz w:val="24"/>
          <w:lang w:val="en-US"/>
        </w:rPr>
        <w:t xml:space="preserve"> (e.g., chemotherapy</w:t>
      </w:r>
      <w:r w:rsidR="009A432A">
        <w:rPr>
          <w:sz w:val="24"/>
          <w:lang w:val="en-US"/>
        </w:rPr>
        <w:t>, radiation therapy</w:t>
      </w:r>
      <w:r w:rsidR="00682C0C">
        <w:rPr>
          <w:sz w:val="24"/>
          <w:lang w:val="en-US"/>
        </w:rPr>
        <w:t>)</w:t>
      </w:r>
      <w:r w:rsidR="002B090A">
        <w:rPr>
          <w:sz w:val="24"/>
          <w:lang w:val="en-US"/>
        </w:rPr>
        <w:t>.</w:t>
      </w:r>
      <w:r w:rsidRPr="008B7E48">
        <w:rPr>
          <w:sz w:val="24"/>
          <w:lang w:val="en-US"/>
        </w:rPr>
        <w:t xml:space="preserve"> </w:t>
      </w:r>
      <w:r w:rsidR="002B090A">
        <w:rPr>
          <w:sz w:val="24"/>
          <w:lang w:val="en-US"/>
        </w:rPr>
        <w:t xml:space="preserve">If children had completed </w:t>
      </w:r>
      <w:r w:rsidR="00254EC1">
        <w:rPr>
          <w:sz w:val="24"/>
          <w:lang w:val="en-US"/>
        </w:rPr>
        <w:t>antineoplastic therapy</w:t>
      </w:r>
      <w:r w:rsidR="00682C0C">
        <w:rPr>
          <w:sz w:val="24"/>
          <w:lang w:val="en-US"/>
        </w:rPr>
        <w:t xml:space="preserve"> within the previous 5 years</w:t>
      </w:r>
      <w:r w:rsidR="002B090A">
        <w:rPr>
          <w:sz w:val="24"/>
          <w:lang w:val="en-US"/>
        </w:rPr>
        <w:t xml:space="preserve"> they were </w:t>
      </w:r>
      <w:r w:rsidR="00170B49">
        <w:rPr>
          <w:sz w:val="24"/>
          <w:lang w:val="en-US"/>
        </w:rPr>
        <w:t xml:space="preserve">included in the off-treatment group. </w:t>
      </w:r>
      <w:r w:rsidR="0052173D">
        <w:rPr>
          <w:sz w:val="24"/>
          <w:lang w:val="en-US"/>
        </w:rPr>
        <w:t>In the</w:t>
      </w:r>
      <w:r w:rsidR="00C857DF">
        <w:rPr>
          <w:sz w:val="24"/>
          <w:lang w:val="en-US"/>
        </w:rPr>
        <w:t xml:space="preserve"> </w:t>
      </w:r>
      <w:r w:rsidR="005C01E3">
        <w:rPr>
          <w:sz w:val="24"/>
          <w:lang w:val="en-US"/>
        </w:rPr>
        <w:t>on-</w:t>
      </w:r>
      <w:r w:rsidR="00EF26A0" w:rsidRPr="00EF26A0">
        <w:rPr>
          <w:sz w:val="24"/>
          <w:lang w:val="en-US"/>
        </w:rPr>
        <w:t xml:space="preserve">treatment </w:t>
      </w:r>
      <w:r w:rsidR="0052173D">
        <w:rPr>
          <w:sz w:val="24"/>
          <w:lang w:val="en-US"/>
        </w:rPr>
        <w:t xml:space="preserve">sample, 20 participants (20.3%) completed </w:t>
      </w:r>
      <w:r w:rsidR="00EF26A0" w:rsidRPr="00EF26A0">
        <w:rPr>
          <w:sz w:val="24"/>
          <w:lang w:val="en-US"/>
        </w:rPr>
        <w:t>the assessment protocol in</w:t>
      </w:r>
      <w:r w:rsidR="0052173D">
        <w:rPr>
          <w:sz w:val="24"/>
          <w:lang w:val="en-US"/>
        </w:rPr>
        <w:t xml:space="preserve"> an</w:t>
      </w:r>
      <w:r w:rsidR="00EF26A0" w:rsidRPr="00EF26A0">
        <w:rPr>
          <w:sz w:val="24"/>
          <w:lang w:val="en-US"/>
        </w:rPr>
        <w:t xml:space="preserve"> inpatient setting </w:t>
      </w:r>
      <w:r w:rsidR="0052173D">
        <w:rPr>
          <w:sz w:val="24"/>
          <w:lang w:val="en-US"/>
        </w:rPr>
        <w:t>and</w:t>
      </w:r>
      <w:r w:rsidR="00010AE1" w:rsidRPr="00EF26A0">
        <w:rPr>
          <w:sz w:val="24"/>
          <w:lang w:val="en-US"/>
        </w:rPr>
        <w:t xml:space="preserve"> </w:t>
      </w:r>
      <w:r w:rsidR="005967A9">
        <w:rPr>
          <w:sz w:val="24"/>
          <w:lang w:val="en-US"/>
        </w:rPr>
        <w:t>77</w:t>
      </w:r>
      <w:r w:rsidR="00EF26A0" w:rsidRPr="00EF26A0">
        <w:rPr>
          <w:sz w:val="24"/>
          <w:lang w:val="en-US"/>
        </w:rPr>
        <w:t xml:space="preserve"> </w:t>
      </w:r>
      <w:r w:rsidR="0052173D">
        <w:rPr>
          <w:sz w:val="24"/>
          <w:lang w:val="en-US"/>
        </w:rPr>
        <w:t xml:space="preserve">participants </w:t>
      </w:r>
      <w:r w:rsidR="00EF26A0" w:rsidRPr="00EF26A0">
        <w:rPr>
          <w:sz w:val="24"/>
          <w:lang w:val="en-US"/>
        </w:rPr>
        <w:t>(</w:t>
      </w:r>
      <w:r w:rsidR="005C01E3">
        <w:rPr>
          <w:sz w:val="24"/>
          <w:lang w:val="en-US"/>
        </w:rPr>
        <w:t>79.7</w:t>
      </w:r>
      <w:r w:rsidR="005967A9">
        <w:rPr>
          <w:sz w:val="24"/>
          <w:lang w:val="en-US"/>
        </w:rPr>
        <w:t>%</w:t>
      </w:r>
      <w:r w:rsidR="00EF26A0" w:rsidRPr="00EF26A0">
        <w:rPr>
          <w:sz w:val="24"/>
          <w:lang w:val="en-US"/>
        </w:rPr>
        <w:t xml:space="preserve">) </w:t>
      </w:r>
      <w:r w:rsidR="0052173D">
        <w:rPr>
          <w:sz w:val="24"/>
          <w:lang w:val="en-US"/>
        </w:rPr>
        <w:t xml:space="preserve">did so </w:t>
      </w:r>
      <w:r w:rsidR="00EF26A0" w:rsidRPr="00EF26A0">
        <w:rPr>
          <w:sz w:val="24"/>
          <w:lang w:val="en-US"/>
        </w:rPr>
        <w:t xml:space="preserve">in </w:t>
      </w:r>
      <w:r w:rsidR="0052173D">
        <w:rPr>
          <w:sz w:val="24"/>
          <w:lang w:val="en-US"/>
        </w:rPr>
        <w:t xml:space="preserve">an </w:t>
      </w:r>
      <w:r w:rsidR="00EF26A0" w:rsidRPr="00EF26A0">
        <w:rPr>
          <w:sz w:val="24"/>
          <w:lang w:val="en-US"/>
        </w:rPr>
        <w:t>outpatient setting; for participants off</w:t>
      </w:r>
      <w:r w:rsidR="005C01E3">
        <w:rPr>
          <w:sz w:val="24"/>
          <w:lang w:val="en-US"/>
        </w:rPr>
        <w:t>-</w:t>
      </w:r>
      <w:r w:rsidR="00EF26A0" w:rsidRPr="00EF26A0">
        <w:rPr>
          <w:sz w:val="24"/>
          <w:lang w:val="en-US"/>
        </w:rPr>
        <w:t xml:space="preserve">treatment, </w:t>
      </w:r>
      <w:r w:rsidR="005967A9">
        <w:rPr>
          <w:sz w:val="24"/>
          <w:lang w:val="en-US"/>
        </w:rPr>
        <w:t xml:space="preserve">only one </w:t>
      </w:r>
      <w:r w:rsidR="0052173D">
        <w:rPr>
          <w:sz w:val="24"/>
          <w:lang w:val="en-US"/>
        </w:rPr>
        <w:t xml:space="preserve">individual </w:t>
      </w:r>
      <w:r w:rsidR="005967A9">
        <w:rPr>
          <w:sz w:val="24"/>
          <w:lang w:val="en-US"/>
        </w:rPr>
        <w:t>was in</w:t>
      </w:r>
      <w:r w:rsidR="00EF26A0" w:rsidRPr="00EF26A0">
        <w:rPr>
          <w:sz w:val="24"/>
          <w:lang w:val="en-US"/>
        </w:rPr>
        <w:t xml:space="preserve"> the </w:t>
      </w:r>
      <w:r w:rsidR="005967A9">
        <w:rPr>
          <w:sz w:val="24"/>
          <w:lang w:val="en-US"/>
        </w:rPr>
        <w:t>inpatien</w:t>
      </w:r>
      <w:r w:rsidR="005C01E3">
        <w:rPr>
          <w:sz w:val="24"/>
          <w:lang w:val="en-US"/>
        </w:rPr>
        <w:t>t setting</w:t>
      </w:r>
      <w:r w:rsidR="0052173D">
        <w:rPr>
          <w:sz w:val="24"/>
          <w:lang w:val="en-US"/>
        </w:rPr>
        <w:t>;</w:t>
      </w:r>
      <w:r w:rsidR="005C01E3">
        <w:rPr>
          <w:sz w:val="24"/>
          <w:lang w:val="en-US"/>
        </w:rPr>
        <w:t xml:space="preserve"> all others (99.1</w:t>
      </w:r>
      <w:r w:rsidR="005967A9">
        <w:rPr>
          <w:sz w:val="24"/>
          <w:lang w:val="en-US"/>
        </w:rPr>
        <w:t xml:space="preserve">%) completed the protocol in </w:t>
      </w:r>
      <w:r w:rsidR="0052173D">
        <w:rPr>
          <w:sz w:val="24"/>
          <w:lang w:val="en-US"/>
        </w:rPr>
        <w:t xml:space="preserve">an </w:t>
      </w:r>
      <w:r w:rsidR="00EF26A0" w:rsidRPr="00EF26A0">
        <w:rPr>
          <w:sz w:val="24"/>
          <w:lang w:val="en-US"/>
        </w:rPr>
        <w:t>outpatient setting</w:t>
      </w:r>
      <w:r w:rsidR="0052173D">
        <w:rPr>
          <w:sz w:val="24"/>
          <w:lang w:val="en-US"/>
        </w:rPr>
        <w:t>,</w:t>
      </w:r>
      <w:r w:rsidR="00EF26A0" w:rsidRPr="00EF26A0">
        <w:rPr>
          <w:sz w:val="24"/>
          <w:lang w:val="en-US"/>
        </w:rPr>
        <w:t xml:space="preserve"> o</w:t>
      </w:r>
      <w:r w:rsidR="005967A9">
        <w:rPr>
          <w:sz w:val="24"/>
          <w:lang w:val="en-US"/>
        </w:rPr>
        <w:t>r</w:t>
      </w:r>
      <w:r w:rsidR="00EF26A0" w:rsidRPr="00EF26A0">
        <w:rPr>
          <w:sz w:val="24"/>
          <w:lang w:val="en-US"/>
        </w:rPr>
        <w:t xml:space="preserve"> when they visited the hospital for their medical appointment. </w:t>
      </w:r>
      <w:r w:rsidRPr="008B7E48">
        <w:rPr>
          <w:sz w:val="24"/>
          <w:lang w:val="en-US"/>
        </w:rPr>
        <w:t xml:space="preserve">Socio-demographic and clinical characteristics of the two sample groups are shown in Table 1. Independent </w:t>
      </w:r>
      <w:r w:rsidR="0052173D">
        <w:rPr>
          <w:sz w:val="24"/>
          <w:lang w:val="en-US"/>
        </w:rPr>
        <w:t xml:space="preserve">samples </w:t>
      </w:r>
      <w:r w:rsidRPr="008B7E48">
        <w:rPr>
          <w:i/>
          <w:sz w:val="24"/>
          <w:lang w:val="en-US"/>
        </w:rPr>
        <w:t>t-</w:t>
      </w:r>
      <w:r w:rsidRPr="008B7E48">
        <w:rPr>
          <w:sz w:val="24"/>
          <w:lang w:val="en-US"/>
        </w:rPr>
        <w:t>tests and chi-square analyses were conducted to assess whether there were mean differences between the two clinical groups, and these revealed group differences only in time after diagnosis, due to the more recent diagnoses of children/adolescents on-treatment compared to those off-treatment (see Table 1).</w:t>
      </w:r>
    </w:p>
    <w:p w:rsidR="00A54A7B" w:rsidRDefault="00A54A7B" w:rsidP="00A54A7B">
      <w:pPr>
        <w:spacing w:line="480" w:lineRule="auto"/>
        <w:contextualSpacing/>
        <w:jc w:val="left"/>
        <w:rPr>
          <w:sz w:val="24"/>
          <w:lang w:val="en-US"/>
        </w:rPr>
      </w:pPr>
    </w:p>
    <w:p w:rsidR="00A54A7B" w:rsidRDefault="00A54A7B" w:rsidP="000B12FB">
      <w:pPr>
        <w:autoSpaceDE w:val="0"/>
        <w:autoSpaceDN w:val="0"/>
        <w:adjustRightInd w:val="0"/>
        <w:spacing w:line="480" w:lineRule="auto"/>
        <w:jc w:val="left"/>
        <w:rPr>
          <w:i/>
          <w:sz w:val="24"/>
          <w:lang w:val="en-US"/>
        </w:rPr>
      </w:pPr>
      <w:r>
        <w:rPr>
          <w:i/>
          <w:sz w:val="24"/>
          <w:lang w:val="en-US"/>
        </w:rPr>
        <w:t>Table 1 about here</w:t>
      </w:r>
    </w:p>
    <w:p w:rsidR="00DA6EC7" w:rsidRPr="008B7E48" w:rsidRDefault="00DA6EC7" w:rsidP="000B12FB">
      <w:pPr>
        <w:autoSpaceDE w:val="0"/>
        <w:autoSpaceDN w:val="0"/>
        <w:adjustRightInd w:val="0"/>
        <w:spacing w:line="480" w:lineRule="auto"/>
        <w:jc w:val="left"/>
        <w:rPr>
          <w:sz w:val="24"/>
          <w:lang w:val="en-US"/>
        </w:rPr>
      </w:pPr>
    </w:p>
    <w:p w:rsidR="00A54A7B" w:rsidRPr="008B7E48" w:rsidRDefault="00A54A7B" w:rsidP="00A54A7B">
      <w:pPr>
        <w:spacing w:line="480" w:lineRule="auto"/>
        <w:ind w:firstLine="0"/>
        <w:contextualSpacing/>
        <w:jc w:val="left"/>
        <w:rPr>
          <w:b/>
          <w:sz w:val="24"/>
          <w:lang w:val="en-US"/>
        </w:rPr>
      </w:pPr>
      <w:r w:rsidRPr="008B7E48">
        <w:rPr>
          <w:b/>
          <w:sz w:val="24"/>
          <w:lang w:val="en-US"/>
        </w:rPr>
        <w:t>Procedure</w:t>
      </w:r>
    </w:p>
    <w:p w:rsidR="00A54A7B" w:rsidRPr="008B7E48" w:rsidRDefault="00A54A7B" w:rsidP="00A54A7B">
      <w:pPr>
        <w:spacing w:line="480" w:lineRule="auto"/>
        <w:contextualSpacing/>
        <w:jc w:val="left"/>
        <w:rPr>
          <w:b/>
          <w:sz w:val="24"/>
          <w:lang w:val="en-US"/>
        </w:rPr>
      </w:pPr>
      <w:r w:rsidRPr="008B7E48">
        <w:rPr>
          <w:sz w:val="24"/>
          <w:lang w:val="en-US"/>
        </w:rPr>
        <w:t>The present study was approved by the Ethics Committees of</w:t>
      </w:r>
      <w:r w:rsidR="008866C3">
        <w:rPr>
          <w:sz w:val="24"/>
          <w:lang w:val="en-US"/>
        </w:rPr>
        <w:t xml:space="preserve"> </w:t>
      </w:r>
      <w:r w:rsidR="00952241">
        <w:rPr>
          <w:sz w:val="24"/>
          <w:lang w:val="en-US"/>
        </w:rPr>
        <w:t xml:space="preserve">two </w:t>
      </w:r>
      <w:r w:rsidRPr="00030670">
        <w:rPr>
          <w:sz w:val="24"/>
          <w:lang w:val="en-US"/>
        </w:rPr>
        <w:t xml:space="preserve">Portuguese </w:t>
      </w:r>
      <w:r w:rsidR="00952241">
        <w:rPr>
          <w:sz w:val="24"/>
          <w:lang w:val="en-US"/>
        </w:rPr>
        <w:t>state hospitals, namely, the Portuguese Institute of Oncology (IPO-Porto) and the Pediatric Unit-Coimbra Hospital and University Centre</w:t>
      </w:r>
      <w:r w:rsidR="00030670">
        <w:rPr>
          <w:sz w:val="24"/>
          <w:lang w:val="en-US"/>
        </w:rPr>
        <w:t xml:space="preserve">. </w:t>
      </w:r>
      <w:r w:rsidRPr="008B7E48">
        <w:rPr>
          <w:sz w:val="24"/>
          <w:lang w:val="en-US"/>
        </w:rPr>
        <w:t xml:space="preserve">Data collection took place between June </w:t>
      </w:r>
      <w:r w:rsidRPr="008B7E48">
        <w:rPr>
          <w:sz w:val="24"/>
          <w:lang w:val="en-US"/>
        </w:rPr>
        <w:lastRenderedPageBreak/>
        <w:t xml:space="preserve">2012 and January 2013.Within a consecutive sampling approach, all families who met the study’s inclusion criteria were invited to participate in the study. The inclusion criteria for participants in the sample were: (1) age between 8 and 19 years </w:t>
      </w:r>
      <w:r w:rsidR="0052173D">
        <w:rPr>
          <w:sz w:val="24"/>
          <w:lang w:val="en-US"/>
        </w:rPr>
        <w:t>of age</w:t>
      </w:r>
      <w:r w:rsidRPr="008B7E48">
        <w:rPr>
          <w:sz w:val="24"/>
          <w:lang w:val="en-US"/>
        </w:rPr>
        <w:t xml:space="preserve">; (2) clinical diagnosis of cancer for at least three months; (3) on-treatment or off-treatment status less than 5 years since the end of treatment; and (4) </w:t>
      </w:r>
      <w:r w:rsidR="00010AE1">
        <w:rPr>
          <w:sz w:val="24"/>
          <w:lang w:val="en-US"/>
        </w:rPr>
        <w:t xml:space="preserve">absence of </w:t>
      </w:r>
      <w:r w:rsidR="00F04CF4">
        <w:rPr>
          <w:sz w:val="24"/>
          <w:lang w:val="en-US"/>
        </w:rPr>
        <w:t xml:space="preserve">major developmental disorders (e.g., </w:t>
      </w:r>
      <w:r w:rsidR="005C01E3">
        <w:rPr>
          <w:sz w:val="24"/>
          <w:lang w:val="en-US"/>
        </w:rPr>
        <w:t xml:space="preserve">Down </w:t>
      </w:r>
      <w:r w:rsidR="002C66D4">
        <w:rPr>
          <w:sz w:val="24"/>
          <w:lang w:val="en-US"/>
        </w:rPr>
        <w:t>s</w:t>
      </w:r>
      <w:r w:rsidR="005C01E3">
        <w:rPr>
          <w:sz w:val="24"/>
          <w:lang w:val="en-US"/>
        </w:rPr>
        <w:t>yndrome</w:t>
      </w:r>
      <w:r w:rsidR="00F04CF4">
        <w:rPr>
          <w:sz w:val="24"/>
          <w:lang w:val="en-US"/>
        </w:rPr>
        <w:t>)</w:t>
      </w:r>
      <w:r w:rsidRPr="008B7E48">
        <w:rPr>
          <w:sz w:val="24"/>
          <w:lang w:val="en-US"/>
        </w:rPr>
        <w:t xml:space="preserve">. Children/adolescents who were in palliative care during the assessment were excluded from the sample. </w:t>
      </w:r>
      <w:r w:rsidR="001C1276">
        <w:rPr>
          <w:sz w:val="24"/>
          <w:lang w:val="en-US"/>
        </w:rPr>
        <w:t xml:space="preserve">Children/adolescents and their family caregiver were approached by a research assistant before or after their appointment or during hospitalization, who presented </w:t>
      </w:r>
      <w:r w:rsidR="001F0722">
        <w:rPr>
          <w:sz w:val="24"/>
          <w:lang w:val="en-US"/>
        </w:rPr>
        <w:t xml:space="preserve">them the study, informed them about its voluntary, confidentiality and anonymity nature, and requested their participation. Ethical procedures were followed with respect to obtaining informed consent from family caregivers of all children/adolescents who agreed to participate in the study. </w:t>
      </w:r>
      <w:r w:rsidRPr="008B7E48">
        <w:rPr>
          <w:sz w:val="24"/>
          <w:lang w:val="en-US"/>
        </w:rPr>
        <w:t xml:space="preserve">Formal informed consent forms were obtained from </w:t>
      </w:r>
      <w:r w:rsidR="001C1276">
        <w:rPr>
          <w:sz w:val="24"/>
          <w:lang w:val="en-US"/>
        </w:rPr>
        <w:t>adolescent participants</w:t>
      </w:r>
      <w:r w:rsidR="001C1276" w:rsidRPr="008B7E48">
        <w:rPr>
          <w:sz w:val="24"/>
          <w:lang w:val="en-US"/>
        </w:rPr>
        <w:t xml:space="preserve"> over 12 years old</w:t>
      </w:r>
      <w:r w:rsidR="001C1276">
        <w:rPr>
          <w:sz w:val="24"/>
          <w:lang w:val="en-US"/>
        </w:rPr>
        <w:t>, and from</w:t>
      </w:r>
      <w:r w:rsidR="001C1276" w:rsidRPr="008B7E48">
        <w:rPr>
          <w:sz w:val="24"/>
          <w:lang w:val="en-US"/>
        </w:rPr>
        <w:t xml:space="preserve"> </w:t>
      </w:r>
      <w:r w:rsidRPr="008B7E48">
        <w:rPr>
          <w:sz w:val="24"/>
          <w:lang w:val="en-US"/>
        </w:rPr>
        <w:t>one family caregiver</w:t>
      </w:r>
      <w:r w:rsidR="001F0722">
        <w:rPr>
          <w:sz w:val="24"/>
          <w:lang w:val="en-US"/>
        </w:rPr>
        <w:t xml:space="preserve"> of each children/adolescent who agreed to participated</w:t>
      </w:r>
      <w:r w:rsidR="001C1276">
        <w:rPr>
          <w:sz w:val="24"/>
          <w:lang w:val="en-US"/>
        </w:rPr>
        <w:t>;</w:t>
      </w:r>
      <w:r w:rsidRPr="008B7E48">
        <w:rPr>
          <w:sz w:val="24"/>
          <w:lang w:val="en-US"/>
        </w:rPr>
        <w:t xml:space="preserve"> children under 12 provided informal consent</w:t>
      </w:r>
      <w:r w:rsidR="001F0722">
        <w:rPr>
          <w:sz w:val="24"/>
          <w:lang w:val="en-US"/>
        </w:rPr>
        <w:t xml:space="preserve">, </w:t>
      </w:r>
      <w:r w:rsidR="001730D7">
        <w:rPr>
          <w:sz w:val="24"/>
          <w:lang w:val="en-US"/>
        </w:rPr>
        <w:t>expressing</w:t>
      </w:r>
      <w:r w:rsidR="001F0722">
        <w:rPr>
          <w:sz w:val="24"/>
          <w:lang w:val="en-US"/>
        </w:rPr>
        <w:t xml:space="preserve"> </w:t>
      </w:r>
      <w:r w:rsidR="001730D7">
        <w:rPr>
          <w:sz w:val="24"/>
          <w:lang w:val="en-US"/>
        </w:rPr>
        <w:t>orally</w:t>
      </w:r>
      <w:r w:rsidR="001F0722">
        <w:rPr>
          <w:sz w:val="24"/>
          <w:lang w:val="en-US"/>
        </w:rPr>
        <w:t xml:space="preserve"> their participation agreement</w:t>
      </w:r>
      <w:r w:rsidRPr="008B7E48">
        <w:rPr>
          <w:sz w:val="24"/>
          <w:lang w:val="en-US"/>
        </w:rPr>
        <w:t>. The youths completed the protocols while waiting for their medical appointments or during hospitalization</w:t>
      </w:r>
      <w:r w:rsidR="00DF76D3">
        <w:rPr>
          <w:sz w:val="24"/>
          <w:lang w:val="en-US"/>
        </w:rPr>
        <w:t>,</w:t>
      </w:r>
      <w:r w:rsidRPr="008B7E48">
        <w:rPr>
          <w:sz w:val="24"/>
          <w:lang w:val="en-US"/>
        </w:rPr>
        <w:t xml:space="preserve"> in a room without interruptions or distracting stimuli, in the presence of a researcher who was available to assist with the completion of the questionnaires when needed.</w:t>
      </w:r>
    </w:p>
    <w:p w:rsidR="00A54A7B" w:rsidRPr="008B7E48" w:rsidRDefault="00A54A7B" w:rsidP="00A54A7B">
      <w:pPr>
        <w:spacing w:line="480" w:lineRule="auto"/>
        <w:ind w:firstLine="0"/>
        <w:contextualSpacing/>
        <w:jc w:val="left"/>
        <w:rPr>
          <w:b/>
          <w:sz w:val="24"/>
          <w:lang w:val="en-US"/>
        </w:rPr>
      </w:pPr>
    </w:p>
    <w:p w:rsidR="00A54A7B" w:rsidRPr="008B7E48" w:rsidRDefault="00A54A7B" w:rsidP="00A54A7B">
      <w:pPr>
        <w:spacing w:line="480" w:lineRule="auto"/>
        <w:ind w:firstLine="0"/>
        <w:contextualSpacing/>
        <w:jc w:val="left"/>
        <w:rPr>
          <w:b/>
          <w:sz w:val="24"/>
          <w:lang w:val="en-US"/>
        </w:rPr>
      </w:pPr>
      <w:r w:rsidRPr="008B7E48">
        <w:rPr>
          <w:b/>
          <w:sz w:val="24"/>
          <w:lang w:val="en-US"/>
        </w:rPr>
        <w:t>Measures</w:t>
      </w:r>
    </w:p>
    <w:p w:rsidR="00910AA1" w:rsidRPr="00C650F3" w:rsidRDefault="00910AA1" w:rsidP="00910AA1">
      <w:pPr>
        <w:spacing w:line="480" w:lineRule="auto"/>
        <w:contextualSpacing/>
        <w:jc w:val="left"/>
        <w:rPr>
          <w:i/>
          <w:sz w:val="24"/>
          <w:lang w:val="en-US"/>
        </w:rPr>
      </w:pPr>
      <w:r w:rsidRPr="00C650F3">
        <w:rPr>
          <w:i/>
          <w:sz w:val="24"/>
          <w:lang w:val="en-US"/>
        </w:rPr>
        <w:t>Independent variable</w:t>
      </w:r>
    </w:p>
    <w:p w:rsidR="00DA6EC7" w:rsidRDefault="00A54A7B" w:rsidP="00A54A7B">
      <w:pPr>
        <w:spacing w:line="480" w:lineRule="auto"/>
        <w:contextualSpacing/>
        <w:jc w:val="left"/>
        <w:rPr>
          <w:b/>
          <w:sz w:val="24"/>
          <w:lang w:val="en-US"/>
        </w:rPr>
      </w:pPr>
      <w:r w:rsidRPr="008B7E48">
        <w:rPr>
          <w:b/>
          <w:sz w:val="24"/>
          <w:lang w:val="en-US"/>
        </w:rPr>
        <w:t>Children/adolescents’ hope</w:t>
      </w:r>
    </w:p>
    <w:p w:rsidR="00A54A7B" w:rsidRDefault="00A54A7B" w:rsidP="00A54A7B">
      <w:pPr>
        <w:spacing w:line="480" w:lineRule="auto"/>
        <w:contextualSpacing/>
        <w:jc w:val="left"/>
        <w:rPr>
          <w:sz w:val="24"/>
          <w:lang w:val="en-US"/>
        </w:rPr>
      </w:pPr>
      <w:r w:rsidRPr="008B7E48">
        <w:rPr>
          <w:sz w:val="24"/>
          <w:lang w:val="en-US"/>
        </w:rPr>
        <w:t>The Children’s Hope Scale (</w:t>
      </w:r>
      <w:r w:rsidR="00AE27F9">
        <w:rPr>
          <w:sz w:val="24"/>
          <w:lang w:val="en-US"/>
        </w:rPr>
        <w:t xml:space="preserve">CHS; </w:t>
      </w:r>
      <w:r w:rsidRPr="008B7E48">
        <w:rPr>
          <w:sz w:val="24"/>
          <w:lang w:val="en-US"/>
        </w:rPr>
        <w:t xml:space="preserve">Snyder et al., 1997; Portuguese version: Marques, </w:t>
      </w:r>
      <w:proofErr w:type="spellStart"/>
      <w:r w:rsidRPr="008B7E48">
        <w:rPr>
          <w:sz w:val="24"/>
          <w:lang w:val="en-US"/>
        </w:rPr>
        <w:t>Pais-Ribeiro</w:t>
      </w:r>
      <w:proofErr w:type="spellEnd"/>
      <w:r w:rsidRPr="008B7E48">
        <w:rPr>
          <w:sz w:val="24"/>
          <w:lang w:val="en-US"/>
        </w:rPr>
        <w:t xml:space="preserve">, &amp; Lopez, 2009) measures children/adolescents’ hope as a </w:t>
      </w:r>
      <w:r w:rsidRPr="008B7E48">
        <w:rPr>
          <w:sz w:val="24"/>
          <w:lang w:val="en-US"/>
        </w:rPr>
        <w:lastRenderedPageBreak/>
        <w:t>cognitive set involving positive and triumphant determination to initiate and sustain action (agency dimension</w:t>
      </w:r>
      <w:r w:rsidR="00EF0537">
        <w:rPr>
          <w:sz w:val="24"/>
          <w:lang w:val="en-US"/>
        </w:rPr>
        <w:t>:</w:t>
      </w:r>
      <w:r w:rsidR="00EF0537" w:rsidRPr="00EF0537">
        <w:rPr>
          <w:sz w:val="24"/>
          <w:lang w:val="en-US"/>
        </w:rPr>
        <w:t xml:space="preserve"> </w:t>
      </w:r>
      <w:r w:rsidR="00EF0537" w:rsidRPr="008B7E48">
        <w:rPr>
          <w:sz w:val="24"/>
          <w:lang w:val="en-US"/>
        </w:rPr>
        <w:t>“I think I am doing pretty well”</w:t>
      </w:r>
      <w:r w:rsidR="00EF0537">
        <w:rPr>
          <w:sz w:val="24"/>
          <w:lang w:val="en-US"/>
        </w:rPr>
        <w:t xml:space="preserve"> and “I am doing just as well as other kids my age”</w:t>
      </w:r>
      <w:r w:rsidRPr="008B7E48">
        <w:rPr>
          <w:sz w:val="24"/>
          <w:lang w:val="en-US"/>
        </w:rPr>
        <w:t>), as well as beliefs in their capability to outline and plan different ways to achieve their goals (pathways dimension</w:t>
      </w:r>
      <w:r w:rsidR="00EF0537">
        <w:rPr>
          <w:sz w:val="24"/>
          <w:lang w:val="en-US"/>
        </w:rPr>
        <w:t>: “I can think of many ways to get the things in life that are most important to me”</w:t>
      </w:r>
      <w:r w:rsidR="00EF0537" w:rsidRPr="008B7E48">
        <w:rPr>
          <w:sz w:val="24"/>
          <w:lang w:val="en-US"/>
        </w:rPr>
        <w:t xml:space="preserve"> </w:t>
      </w:r>
      <w:r w:rsidR="00EF0537">
        <w:rPr>
          <w:sz w:val="24"/>
          <w:lang w:val="en-US"/>
        </w:rPr>
        <w:t xml:space="preserve">and </w:t>
      </w:r>
      <w:r w:rsidR="00EF0537" w:rsidRPr="008B7E48">
        <w:rPr>
          <w:sz w:val="24"/>
          <w:lang w:val="en-US"/>
        </w:rPr>
        <w:t>“When I have a problem, I can come up with lots of ways to solve it”</w:t>
      </w:r>
      <w:r w:rsidRPr="008B7E48">
        <w:rPr>
          <w:sz w:val="24"/>
          <w:lang w:val="en-US"/>
        </w:rPr>
        <w:t xml:space="preserve">). These two dimensions can be combined to provide an overall hope score (Snyder et al., 1997) that </w:t>
      </w:r>
      <w:r w:rsidR="00EF0537">
        <w:rPr>
          <w:sz w:val="24"/>
          <w:lang w:val="en-US"/>
        </w:rPr>
        <w:t xml:space="preserve">is </w:t>
      </w:r>
      <w:r w:rsidRPr="008B7E48">
        <w:rPr>
          <w:sz w:val="24"/>
          <w:lang w:val="en-US"/>
        </w:rPr>
        <w:t>comprise</w:t>
      </w:r>
      <w:r w:rsidR="00EF0537">
        <w:rPr>
          <w:sz w:val="24"/>
          <w:lang w:val="en-US"/>
        </w:rPr>
        <w:t>d of</w:t>
      </w:r>
      <w:r w:rsidRPr="008B7E48">
        <w:rPr>
          <w:sz w:val="24"/>
          <w:lang w:val="en-US"/>
        </w:rPr>
        <w:t xml:space="preserve"> a total of six items</w:t>
      </w:r>
      <w:r w:rsidR="00EF0537">
        <w:rPr>
          <w:sz w:val="24"/>
          <w:lang w:val="en-US"/>
        </w:rPr>
        <w:t>, three for each dimension</w:t>
      </w:r>
      <w:r w:rsidRPr="008B7E48">
        <w:rPr>
          <w:sz w:val="24"/>
          <w:lang w:val="en-US"/>
        </w:rPr>
        <w:t xml:space="preserve">), with higher scores indicating higher levels of hope. </w:t>
      </w:r>
      <w:r w:rsidR="001B7EBD" w:rsidRPr="001B7EBD">
        <w:rPr>
          <w:sz w:val="24"/>
          <w:lang w:val="en-US"/>
        </w:rPr>
        <w:t xml:space="preserve">CHS asks participants to think </w:t>
      </w:r>
      <w:r w:rsidR="00F021A9">
        <w:rPr>
          <w:sz w:val="24"/>
          <w:lang w:val="en-US"/>
        </w:rPr>
        <w:t xml:space="preserve">about themselves and how do they do </w:t>
      </w:r>
      <w:r w:rsidR="00CF7CD4">
        <w:rPr>
          <w:sz w:val="24"/>
          <w:lang w:val="en-US"/>
        </w:rPr>
        <w:t>th</w:t>
      </w:r>
      <w:r w:rsidR="00F021A9">
        <w:rPr>
          <w:sz w:val="24"/>
          <w:lang w:val="en-US"/>
        </w:rPr>
        <w:t>ings in general</w:t>
      </w:r>
      <w:r w:rsidR="00CF7CD4">
        <w:rPr>
          <w:sz w:val="24"/>
          <w:lang w:val="en-US"/>
        </w:rPr>
        <w:t>.</w:t>
      </w:r>
      <w:r w:rsidR="001B7EBD">
        <w:rPr>
          <w:sz w:val="24"/>
          <w:lang w:val="en-US"/>
        </w:rPr>
        <w:t xml:space="preserve"> </w:t>
      </w:r>
      <w:r w:rsidRPr="008B7E48">
        <w:rPr>
          <w:sz w:val="24"/>
          <w:lang w:val="en-US"/>
        </w:rPr>
        <w:t xml:space="preserve">Participants answered the scale’s items on a six-point </w:t>
      </w:r>
      <w:proofErr w:type="spellStart"/>
      <w:r w:rsidRPr="008B7E48">
        <w:rPr>
          <w:sz w:val="24"/>
          <w:lang w:val="en-US"/>
        </w:rPr>
        <w:t>Likert</w:t>
      </w:r>
      <w:proofErr w:type="spellEnd"/>
      <w:r w:rsidRPr="008B7E48">
        <w:rPr>
          <w:sz w:val="24"/>
          <w:lang w:val="en-US"/>
        </w:rPr>
        <w:t xml:space="preserve"> scale ranging from </w:t>
      </w:r>
      <w:r w:rsidR="00FD0641">
        <w:rPr>
          <w:sz w:val="24"/>
          <w:lang w:val="en-US"/>
        </w:rPr>
        <w:t xml:space="preserve">1 = </w:t>
      </w:r>
      <w:r w:rsidRPr="008B7E48">
        <w:rPr>
          <w:i/>
          <w:sz w:val="24"/>
          <w:lang w:val="en-US"/>
        </w:rPr>
        <w:t>none of the time</w:t>
      </w:r>
      <w:r w:rsidRPr="008B7E48">
        <w:rPr>
          <w:sz w:val="24"/>
          <w:lang w:val="en-US"/>
        </w:rPr>
        <w:t xml:space="preserve"> to </w:t>
      </w:r>
      <w:r w:rsidR="00FD0641">
        <w:rPr>
          <w:sz w:val="24"/>
          <w:lang w:val="en-US"/>
        </w:rPr>
        <w:t xml:space="preserve">6 = </w:t>
      </w:r>
      <w:r w:rsidRPr="008B7E48">
        <w:rPr>
          <w:i/>
          <w:sz w:val="24"/>
          <w:lang w:val="en-US"/>
        </w:rPr>
        <w:t>all of the time</w:t>
      </w:r>
      <w:r w:rsidRPr="008B7E48">
        <w:rPr>
          <w:sz w:val="24"/>
          <w:lang w:val="en-US"/>
        </w:rPr>
        <w:t xml:space="preserve">. </w:t>
      </w:r>
      <w:r w:rsidR="001C5525">
        <w:rPr>
          <w:sz w:val="24"/>
          <w:lang w:val="en-US"/>
        </w:rPr>
        <w:t>An</w:t>
      </w:r>
      <w:r w:rsidR="001C5525" w:rsidRPr="00AC418C">
        <w:rPr>
          <w:sz w:val="24"/>
          <w:lang w:val="en-US"/>
        </w:rPr>
        <w:t xml:space="preserve"> adequate psychometric performance and construct validity ha</w:t>
      </w:r>
      <w:r w:rsidR="001C5525">
        <w:rPr>
          <w:sz w:val="24"/>
          <w:lang w:val="en-US"/>
        </w:rPr>
        <w:t>ve</w:t>
      </w:r>
      <w:r w:rsidR="001C5525" w:rsidRPr="00AC418C">
        <w:rPr>
          <w:sz w:val="24"/>
          <w:lang w:val="en-US"/>
        </w:rPr>
        <w:t xml:space="preserve"> been described for this scale in </w:t>
      </w:r>
      <w:r w:rsidR="00DF76D3">
        <w:rPr>
          <w:sz w:val="24"/>
          <w:lang w:val="en-US"/>
        </w:rPr>
        <w:t xml:space="preserve">Snyder’s (1989) </w:t>
      </w:r>
      <w:r w:rsidR="001C5525" w:rsidRPr="00AC418C">
        <w:rPr>
          <w:sz w:val="24"/>
          <w:lang w:val="en-US"/>
        </w:rPr>
        <w:t>original study</w:t>
      </w:r>
      <w:r w:rsidR="00DF76D3">
        <w:rPr>
          <w:sz w:val="24"/>
          <w:lang w:val="en-US"/>
        </w:rPr>
        <w:t>,</w:t>
      </w:r>
      <w:r w:rsidR="001C5525" w:rsidRPr="00AC418C">
        <w:rPr>
          <w:sz w:val="24"/>
          <w:lang w:val="en-US"/>
        </w:rPr>
        <w:t xml:space="preserve"> </w:t>
      </w:r>
      <w:r w:rsidR="00827F7C">
        <w:rPr>
          <w:sz w:val="24"/>
          <w:lang w:val="en-US"/>
        </w:rPr>
        <w:t xml:space="preserve">and in the </w:t>
      </w:r>
      <w:r w:rsidR="00827F7C" w:rsidRPr="002B6B92">
        <w:rPr>
          <w:color w:val="222222"/>
          <w:szCs w:val="22"/>
          <w:shd w:val="clear" w:color="auto" w:fill="FFFFFF"/>
          <w:lang w:val="en-US"/>
        </w:rPr>
        <w:t xml:space="preserve">overview of the available validation </w:t>
      </w:r>
      <w:r w:rsidR="00827F7C">
        <w:rPr>
          <w:color w:val="222222"/>
          <w:szCs w:val="22"/>
          <w:shd w:val="clear" w:color="auto" w:fill="FFFFFF"/>
          <w:lang w:val="en-US"/>
        </w:rPr>
        <w:t>of CHS</w:t>
      </w:r>
      <w:r w:rsidR="00827F7C">
        <w:rPr>
          <w:sz w:val="24"/>
          <w:lang w:val="en-US"/>
        </w:rPr>
        <w:t xml:space="preserve"> </w:t>
      </w:r>
      <w:r w:rsidR="001C5525" w:rsidRPr="00AC418C">
        <w:rPr>
          <w:sz w:val="24"/>
          <w:lang w:val="en-US"/>
        </w:rPr>
        <w:t>(Snyder, 2003), confirming that this instrument measures children/adolescents’ hope as defined by Hope Theory (Snyder, 1989).</w:t>
      </w:r>
      <w:r w:rsidR="001C5525">
        <w:rPr>
          <w:sz w:val="24"/>
          <w:lang w:val="en-US"/>
        </w:rPr>
        <w:t xml:space="preserve"> </w:t>
      </w:r>
      <w:r w:rsidR="00AC418C" w:rsidRPr="00AC418C">
        <w:rPr>
          <w:sz w:val="24"/>
          <w:lang w:val="en-US"/>
        </w:rPr>
        <w:t xml:space="preserve">Regarding Internal Consistency, </w:t>
      </w:r>
      <w:proofErr w:type="spellStart"/>
      <w:r w:rsidR="00AC418C" w:rsidRPr="00AC418C">
        <w:rPr>
          <w:sz w:val="24"/>
          <w:lang w:val="en-US"/>
        </w:rPr>
        <w:t>Cronbach</w:t>
      </w:r>
      <w:proofErr w:type="spellEnd"/>
      <w:r w:rsidR="00AC418C" w:rsidRPr="00AC418C">
        <w:rPr>
          <w:sz w:val="24"/>
          <w:lang w:val="en-US"/>
        </w:rPr>
        <w:t xml:space="preserve"> alphas for CHS scores ranged from.70 to a high of .86</w:t>
      </w:r>
      <w:r w:rsidR="001C5525">
        <w:rPr>
          <w:sz w:val="24"/>
          <w:lang w:val="en-US"/>
        </w:rPr>
        <w:t xml:space="preserve"> (Snyder, 2003)</w:t>
      </w:r>
      <w:r w:rsidR="00AC418C" w:rsidRPr="00AC418C">
        <w:rPr>
          <w:sz w:val="24"/>
          <w:lang w:val="en-US"/>
        </w:rPr>
        <w:t xml:space="preserve">. Temporal Stability was also established </w:t>
      </w:r>
      <w:r w:rsidR="001C5525">
        <w:rPr>
          <w:sz w:val="24"/>
          <w:lang w:val="en-US"/>
        </w:rPr>
        <w:t>(Snyder, 2003)</w:t>
      </w:r>
      <w:r w:rsidR="00AC418C" w:rsidRPr="00AC418C">
        <w:rPr>
          <w:sz w:val="24"/>
          <w:lang w:val="en-US"/>
        </w:rPr>
        <w:t>.</w:t>
      </w:r>
      <w:r w:rsidR="00AC418C">
        <w:rPr>
          <w:sz w:val="24"/>
          <w:lang w:val="en-US"/>
        </w:rPr>
        <w:t xml:space="preserve"> </w:t>
      </w:r>
      <w:r w:rsidR="006D3088">
        <w:rPr>
          <w:sz w:val="24"/>
          <w:lang w:val="en-US"/>
        </w:rPr>
        <w:t>This scale has been validated for</w:t>
      </w:r>
      <w:r w:rsidRPr="008B7E48">
        <w:rPr>
          <w:sz w:val="24"/>
          <w:lang w:val="en-US"/>
        </w:rPr>
        <w:t xml:space="preserve"> Portuguese </w:t>
      </w:r>
      <w:r w:rsidR="006D3088">
        <w:rPr>
          <w:sz w:val="24"/>
          <w:lang w:val="en-US"/>
        </w:rPr>
        <w:t xml:space="preserve">children with a </w:t>
      </w:r>
      <w:proofErr w:type="spellStart"/>
      <w:r w:rsidR="006D3088">
        <w:rPr>
          <w:sz w:val="24"/>
          <w:lang w:val="en-US"/>
        </w:rPr>
        <w:t>Cronbach’s</w:t>
      </w:r>
      <w:proofErr w:type="spellEnd"/>
      <w:r w:rsidR="006D3088">
        <w:rPr>
          <w:sz w:val="24"/>
          <w:lang w:val="en-US"/>
        </w:rPr>
        <w:t xml:space="preserve"> alpha of .81 for the total score </w:t>
      </w:r>
      <w:r w:rsidR="00DF660B">
        <w:rPr>
          <w:sz w:val="24"/>
          <w:lang w:val="en-US"/>
        </w:rPr>
        <w:t xml:space="preserve">(Marques et al., </w:t>
      </w:r>
      <w:r w:rsidRPr="008B7E48">
        <w:rPr>
          <w:sz w:val="24"/>
          <w:lang w:val="en-US"/>
        </w:rPr>
        <w:t>2009).</w:t>
      </w:r>
      <w:r w:rsidR="008A5777">
        <w:rPr>
          <w:sz w:val="24"/>
          <w:lang w:val="en-US"/>
        </w:rPr>
        <w:t xml:space="preserve"> </w:t>
      </w:r>
      <w:r w:rsidR="00880DCB">
        <w:rPr>
          <w:sz w:val="24"/>
          <w:lang w:val="en-US"/>
        </w:rPr>
        <w:t>To assure that the Portuguese CHC version were equivalent to the original one, the scale validation</w:t>
      </w:r>
      <w:r w:rsidR="00880DCB" w:rsidRPr="00880DCB">
        <w:rPr>
          <w:sz w:val="24"/>
          <w:lang w:val="en-US"/>
        </w:rPr>
        <w:t xml:space="preserve"> first step included translation, back-translation, inspection for lexical equivalence and content validity and cognitive debriefing</w:t>
      </w:r>
      <w:r w:rsidR="00880DCB">
        <w:rPr>
          <w:sz w:val="24"/>
          <w:lang w:val="en-US"/>
        </w:rPr>
        <w:t xml:space="preserve"> (Marques et al., </w:t>
      </w:r>
      <w:r w:rsidR="00880DCB" w:rsidRPr="008B7E48">
        <w:rPr>
          <w:sz w:val="24"/>
          <w:lang w:val="en-US"/>
        </w:rPr>
        <w:t>2009)</w:t>
      </w:r>
      <w:r w:rsidR="00880DCB" w:rsidRPr="00880DCB">
        <w:rPr>
          <w:sz w:val="24"/>
          <w:lang w:val="en-US"/>
        </w:rPr>
        <w:t xml:space="preserve">. </w:t>
      </w:r>
      <w:r w:rsidR="00880DCB">
        <w:rPr>
          <w:sz w:val="24"/>
          <w:lang w:val="en-US"/>
        </w:rPr>
        <w:t>The investigation on r</w:t>
      </w:r>
      <w:r w:rsidR="00880DCB" w:rsidRPr="00880DCB">
        <w:rPr>
          <w:sz w:val="24"/>
          <w:lang w:val="en-US"/>
        </w:rPr>
        <w:t>eliability (internal consistency and stability), factor structure</w:t>
      </w:r>
      <w:r w:rsidR="00880DCB">
        <w:rPr>
          <w:sz w:val="24"/>
          <w:lang w:val="en-US"/>
        </w:rPr>
        <w:t xml:space="preserve"> and criterion-related validity showed</w:t>
      </w:r>
      <w:r w:rsidR="00880DCB" w:rsidRPr="00880DCB">
        <w:rPr>
          <w:sz w:val="24"/>
          <w:lang w:val="en-US"/>
        </w:rPr>
        <w:t xml:space="preserve"> psychometric properties similar to the English language CHS, suggesting that </w:t>
      </w:r>
      <w:r w:rsidR="00880DCB">
        <w:rPr>
          <w:sz w:val="24"/>
          <w:lang w:val="en-US"/>
        </w:rPr>
        <w:t>“</w:t>
      </w:r>
      <w:r w:rsidR="00880DCB" w:rsidRPr="00880DCB">
        <w:rPr>
          <w:sz w:val="24"/>
          <w:lang w:val="en-US"/>
        </w:rPr>
        <w:t>it measures the same construct in the same way</w:t>
      </w:r>
      <w:r w:rsidR="00880DCB">
        <w:rPr>
          <w:sz w:val="24"/>
          <w:lang w:val="en-US"/>
        </w:rPr>
        <w:t xml:space="preserve">” (Marques et al., </w:t>
      </w:r>
      <w:r w:rsidR="00880DCB" w:rsidRPr="008B7E48">
        <w:rPr>
          <w:sz w:val="24"/>
          <w:lang w:val="en-US"/>
        </w:rPr>
        <w:t>2009)</w:t>
      </w:r>
      <w:r w:rsidR="00880DCB" w:rsidRPr="00880DCB">
        <w:rPr>
          <w:sz w:val="24"/>
          <w:lang w:val="en-US"/>
        </w:rPr>
        <w:t>. </w:t>
      </w:r>
      <w:r w:rsidR="007A36D9" w:rsidRPr="008850D4">
        <w:rPr>
          <w:sz w:val="24"/>
          <w:lang w:val="en-US"/>
        </w:rPr>
        <w:t>For the presen</w:t>
      </w:r>
      <w:r w:rsidR="007A36D9">
        <w:rPr>
          <w:sz w:val="24"/>
          <w:lang w:val="en-US"/>
        </w:rPr>
        <w:t>t study sample, the scale</w:t>
      </w:r>
      <w:r w:rsidR="00910AA1">
        <w:rPr>
          <w:sz w:val="24"/>
          <w:lang w:val="en-US"/>
        </w:rPr>
        <w:t xml:space="preserve"> scores presented</w:t>
      </w:r>
      <w:r w:rsidR="007A36D9">
        <w:rPr>
          <w:sz w:val="24"/>
          <w:lang w:val="en-US"/>
        </w:rPr>
        <w:t xml:space="preserve"> </w:t>
      </w:r>
      <w:proofErr w:type="spellStart"/>
      <w:r w:rsidR="007A36D9">
        <w:rPr>
          <w:sz w:val="24"/>
          <w:lang w:val="en-US"/>
        </w:rPr>
        <w:t>Cronbach’s</w:t>
      </w:r>
      <w:proofErr w:type="spellEnd"/>
      <w:r w:rsidR="007A36D9" w:rsidRPr="008850D4">
        <w:rPr>
          <w:sz w:val="24"/>
          <w:lang w:val="en-US"/>
        </w:rPr>
        <w:t xml:space="preserve"> alpha</w:t>
      </w:r>
      <w:r w:rsidR="007A36D9">
        <w:rPr>
          <w:sz w:val="24"/>
          <w:lang w:val="en-US"/>
        </w:rPr>
        <w:t xml:space="preserve">s of .76 and .79 for </w:t>
      </w:r>
      <w:r w:rsidR="007A36D9">
        <w:rPr>
          <w:sz w:val="24"/>
          <w:lang w:val="en-US"/>
        </w:rPr>
        <w:lastRenderedPageBreak/>
        <w:t>children/adolescents on-treatment and off-treatment, respectively.</w:t>
      </w:r>
      <w:r w:rsidR="00AC418C">
        <w:rPr>
          <w:sz w:val="24"/>
          <w:lang w:val="en-US"/>
        </w:rPr>
        <w:t xml:space="preserve"> </w:t>
      </w:r>
    </w:p>
    <w:p w:rsidR="00910AA1" w:rsidRDefault="00910AA1" w:rsidP="00A54A7B">
      <w:pPr>
        <w:spacing w:line="480" w:lineRule="auto"/>
        <w:contextualSpacing/>
        <w:jc w:val="left"/>
        <w:rPr>
          <w:i/>
          <w:sz w:val="24"/>
          <w:lang w:val="en-US"/>
        </w:rPr>
      </w:pPr>
      <w:r w:rsidRPr="00C650F3">
        <w:rPr>
          <w:i/>
          <w:sz w:val="24"/>
          <w:lang w:val="en-US"/>
        </w:rPr>
        <w:t>Mediator variable</w:t>
      </w:r>
    </w:p>
    <w:p w:rsidR="00DA6EC7" w:rsidRDefault="00A54A7B" w:rsidP="00A54A7B">
      <w:pPr>
        <w:spacing w:line="480" w:lineRule="auto"/>
        <w:contextualSpacing/>
        <w:jc w:val="left"/>
        <w:rPr>
          <w:b/>
          <w:sz w:val="24"/>
          <w:lang w:val="en-US"/>
        </w:rPr>
      </w:pPr>
      <w:r w:rsidRPr="008B7E48">
        <w:rPr>
          <w:b/>
          <w:sz w:val="24"/>
          <w:lang w:val="en-US"/>
        </w:rPr>
        <w:t>Anxiety</w:t>
      </w:r>
    </w:p>
    <w:p w:rsidR="00A54A7B" w:rsidRPr="008B7E48" w:rsidRDefault="00A54A7B" w:rsidP="00A54A7B">
      <w:pPr>
        <w:spacing w:line="480" w:lineRule="auto"/>
        <w:contextualSpacing/>
        <w:jc w:val="left"/>
        <w:rPr>
          <w:sz w:val="24"/>
          <w:lang w:val="en-US"/>
        </w:rPr>
      </w:pPr>
      <w:r w:rsidRPr="008B7E48">
        <w:rPr>
          <w:sz w:val="24"/>
          <w:lang w:val="en-US"/>
        </w:rPr>
        <w:t xml:space="preserve">In order to assess anxiety, we used the short-form of the Revised Children’s Manifest Anxiety Scale 2.0 (RCMAS-2; Reynolds </w:t>
      </w:r>
      <w:r w:rsidR="00DF660B">
        <w:rPr>
          <w:sz w:val="24"/>
          <w:lang w:val="en-US"/>
        </w:rPr>
        <w:t>&amp;</w:t>
      </w:r>
      <w:r w:rsidRPr="008B7E48">
        <w:rPr>
          <w:sz w:val="24"/>
          <w:lang w:val="en-US"/>
        </w:rPr>
        <w:t xml:space="preserve"> Richmond, 2008). The RCMAS-2 10-item index provided an overall anxiety score that encompasses physiological anxiety (e.g., “Often I feel sick in my stomach”), worry (e.g., “I often worry about something bad happening to me”) and social anxiety (e.g. “I fear other kids will laugh at me in class”). Participants answered </w:t>
      </w:r>
      <w:r w:rsidR="001B7EBD" w:rsidRPr="001B7EBD">
        <w:rPr>
          <w:sz w:val="24"/>
          <w:lang w:val="en-US"/>
        </w:rPr>
        <w:t xml:space="preserve">the question “Is this true about myself?” </w:t>
      </w:r>
      <w:r w:rsidR="00770AB7">
        <w:rPr>
          <w:sz w:val="24"/>
          <w:lang w:val="en-US"/>
        </w:rPr>
        <w:t xml:space="preserve">without time frame restriction </w:t>
      </w:r>
      <w:r w:rsidR="001B7EBD" w:rsidRPr="001B7EBD">
        <w:rPr>
          <w:sz w:val="24"/>
          <w:lang w:val="en-US"/>
        </w:rPr>
        <w:t>for each scale item</w:t>
      </w:r>
      <w:r w:rsidR="001B7EBD">
        <w:rPr>
          <w:sz w:val="24"/>
          <w:lang w:val="en-US"/>
        </w:rPr>
        <w:t xml:space="preserve">, </w:t>
      </w:r>
      <w:r w:rsidRPr="008B7E48">
        <w:rPr>
          <w:sz w:val="24"/>
          <w:lang w:val="en-US"/>
        </w:rPr>
        <w:t xml:space="preserve">using a dichotomous (yes/no) response format. Positive answers were summed with higher scores indicating higher levels of anxiety. </w:t>
      </w:r>
      <w:r w:rsidR="006E0DBA">
        <w:rPr>
          <w:sz w:val="24"/>
          <w:lang w:val="en-US"/>
        </w:rPr>
        <w:t>A</w:t>
      </w:r>
      <w:r w:rsidR="006E0DBA" w:rsidRPr="008B7E48">
        <w:rPr>
          <w:sz w:val="24"/>
          <w:lang w:val="en-US"/>
        </w:rPr>
        <w:t xml:space="preserve">dequate </w:t>
      </w:r>
      <w:r w:rsidRPr="008B7E48">
        <w:rPr>
          <w:sz w:val="24"/>
          <w:lang w:val="en-US"/>
        </w:rPr>
        <w:t xml:space="preserve">psychometric performance has been described for this scale in </w:t>
      </w:r>
      <w:r w:rsidR="006E0DBA">
        <w:rPr>
          <w:sz w:val="24"/>
          <w:lang w:val="en-US"/>
        </w:rPr>
        <w:t>the</w:t>
      </w:r>
      <w:r w:rsidR="006E0DBA" w:rsidRPr="008B7E48">
        <w:rPr>
          <w:sz w:val="24"/>
          <w:lang w:val="en-US"/>
        </w:rPr>
        <w:t xml:space="preserve"> </w:t>
      </w:r>
      <w:r w:rsidRPr="008B7E48">
        <w:rPr>
          <w:sz w:val="24"/>
          <w:lang w:val="en-US"/>
        </w:rPr>
        <w:t xml:space="preserve">original study (Reynolds </w:t>
      </w:r>
      <w:r w:rsidR="00A26396">
        <w:rPr>
          <w:sz w:val="24"/>
          <w:lang w:val="en-US"/>
        </w:rPr>
        <w:t xml:space="preserve">&amp; </w:t>
      </w:r>
      <w:r w:rsidRPr="008B7E48">
        <w:rPr>
          <w:sz w:val="24"/>
          <w:lang w:val="en-US"/>
        </w:rPr>
        <w:t>Richmond, 2008)</w:t>
      </w:r>
      <w:r w:rsidR="00910AA1">
        <w:rPr>
          <w:sz w:val="24"/>
          <w:lang w:val="en-US"/>
        </w:rPr>
        <w:t xml:space="preserve">; in our study the </w:t>
      </w:r>
      <w:proofErr w:type="spellStart"/>
      <w:r w:rsidR="007A36D9">
        <w:rPr>
          <w:sz w:val="24"/>
          <w:lang w:val="en-US"/>
        </w:rPr>
        <w:t>Cronbach’s</w:t>
      </w:r>
      <w:proofErr w:type="spellEnd"/>
      <w:r w:rsidR="007A36D9" w:rsidRPr="008850D4">
        <w:rPr>
          <w:sz w:val="24"/>
          <w:lang w:val="en-US"/>
        </w:rPr>
        <w:t xml:space="preserve"> alpha</w:t>
      </w:r>
      <w:r w:rsidR="007A36D9">
        <w:rPr>
          <w:sz w:val="24"/>
          <w:lang w:val="en-US"/>
        </w:rPr>
        <w:t>s</w:t>
      </w:r>
      <w:r w:rsidR="00752303">
        <w:rPr>
          <w:sz w:val="24"/>
          <w:lang w:val="en-US"/>
        </w:rPr>
        <w:t xml:space="preserve"> </w:t>
      </w:r>
      <w:r w:rsidR="00910AA1">
        <w:rPr>
          <w:sz w:val="24"/>
          <w:lang w:val="en-US"/>
        </w:rPr>
        <w:t>for the scale scores were</w:t>
      </w:r>
      <w:r w:rsidR="00665323">
        <w:rPr>
          <w:sz w:val="24"/>
          <w:lang w:val="en-US"/>
        </w:rPr>
        <w:t xml:space="preserve"> </w:t>
      </w:r>
      <w:r w:rsidR="007A36D9">
        <w:rPr>
          <w:sz w:val="24"/>
          <w:lang w:val="en-US"/>
        </w:rPr>
        <w:t>.63 and .64 for children/adolescents on-treatment and off-treatment, respectively</w:t>
      </w:r>
      <w:r w:rsidRPr="008B7E48">
        <w:rPr>
          <w:sz w:val="24"/>
          <w:lang w:val="en-US"/>
        </w:rPr>
        <w:t xml:space="preserve">. </w:t>
      </w:r>
    </w:p>
    <w:p w:rsidR="00910AA1" w:rsidRPr="00C650F3" w:rsidRDefault="00910AA1" w:rsidP="00910AA1">
      <w:pPr>
        <w:spacing w:line="480" w:lineRule="auto"/>
        <w:contextualSpacing/>
        <w:jc w:val="left"/>
        <w:rPr>
          <w:b/>
          <w:i/>
          <w:sz w:val="24"/>
          <w:lang w:val="en-US"/>
        </w:rPr>
      </w:pPr>
      <w:r w:rsidRPr="00C650F3">
        <w:rPr>
          <w:i/>
          <w:sz w:val="24"/>
          <w:lang w:val="en-US"/>
        </w:rPr>
        <w:t>Dependent variable</w:t>
      </w:r>
      <w:r w:rsidRPr="00C650F3">
        <w:rPr>
          <w:b/>
          <w:i/>
          <w:sz w:val="24"/>
          <w:lang w:val="en-US"/>
        </w:rPr>
        <w:t xml:space="preserve"> </w:t>
      </w:r>
    </w:p>
    <w:p w:rsidR="00DA6EC7" w:rsidRDefault="00AE27F9" w:rsidP="007A36D9">
      <w:pPr>
        <w:spacing w:line="480" w:lineRule="auto"/>
        <w:contextualSpacing/>
        <w:jc w:val="left"/>
        <w:rPr>
          <w:b/>
          <w:sz w:val="24"/>
          <w:lang w:val="en-US"/>
        </w:rPr>
      </w:pPr>
      <w:proofErr w:type="spellStart"/>
      <w:r>
        <w:rPr>
          <w:b/>
          <w:sz w:val="24"/>
          <w:lang w:val="en-US"/>
        </w:rPr>
        <w:t>HRQoL</w:t>
      </w:r>
      <w:proofErr w:type="spellEnd"/>
    </w:p>
    <w:p w:rsidR="00A54A7B" w:rsidRPr="008B7E48" w:rsidRDefault="00A54A7B" w:rsidP="00F43C7A">
      <w:pPr>
        <w:spacing w:line="480" w:lineRule="auto"/>
        <w:contextualSpacing/>
        <w:jc w:val="left"/>
        <w:rPr>
          <w:sz w:val="24"/>
          <w:lang w:val="en-US"/>
        </w:rPr>
      </w:pPr>
      <w:r w:rsidRPr="008B7E48">
        <w:rPr>
          <w:sz w:val="24"/>
          <w:lang w:val="en-US"/>
        </w:rPr>
        <w:t xml:space="preserve">The children/adolescents’ subjective perceptions of their </w:t>
      </w:r>
      <w:proofErr w:type="spellStart"/>
      <w:r w:rsidRPr="008B7E48">
        <w:rPr>
          <w:sz w:val="24"/>
          <w:lang w:val="en-US"/>
        </w:rPr>
        <w:t>HRQoL</w:t>
      </w:r>
      <w:proofErr w:type="spellEnd"/>
      <w:r w:rsidRPr="008B7E48">
        <w:rPr>
          <w:sz w:val="24"/>
          <w:lang w:val="en-US"/>
        </w:rPr>
        <w:t xml:space="preserve"> was measured with the first 10 items of </w:t>
      </w:r>
      <w:r w:rsidR="00F0117D" w:rsidRPr="00F0117D">
        <w:rPr>
          <w:sz w:val="24"/>
          <w:lang w:val="en-US"/>
        </w:rPr>
        <w:t>DISABKIDS Chronic Generic Measure</w:t>
      </w:r>
      <w:r w:rsidR="00F0117D">
        <w:rPr>
          <w:sz w:val="24"/>
          <w:lang w:val="en-US"/>
        </w:rPr>
        <w:t xml:space="preserve"> (</w:t>
      </w:r>
      <w:r w:rsidR="002066BB">
        <w:rPr>
          <w:sz w:val="24"/>
          <w:lang w:val="en-US"/>
        </w:rPr>
        <w:t>DCGM-12</w:t>
      </w:r>
      <w:r w:rsidR="006E0DBA">
        <w:rPr>
          <w:sz w:val="24"/>
          <w:lang w:val="en-US"/>
        </w:rPr>
        <w:t>)</w:t>
      </w:r>
      <w:r w:rsidR="002066BB">
        <w:rPr>
          <w:sz w:val="24"/>
          <w:lang w:val="en-US"/>
        </w:rPr>
        <w:t xml:space="preserve"> </w:t>
      </w:r>
      <w:r w:rsidRPr="008B7E48">
        <w:rPr>
          <w:sz w:val="24"/>
          <w:lang w:val="en-US"/>
        </w:rPr>
        <w:t xml:space="preserve">as suggested by </w:t>
      </w:r>
      <w:r w:rsidRPr="008B7E48">
        <w:rPr>
          <w:noProof/>
          <w:sz w:val="24"/>
          <w:lang w:val="en-US"/>
        </w:rPr>
        <w:t xml:space="preserve">Muehlan </w:t>
      </w:r>
      <w:r w:rsidR="006E0DBA">
        <w:rPr>
          <w:noProof/>
          <w:sz w:val="24"/>
          <w:lang w:val="en-US"/>
        </w:rPr>
        <w:t>(</w:t>
      </w:r>
      <w:r w:rsidRPr="008B7E48">
        <w:rPr>
          <w:noProof/>
          <w:sz w:val="24"/>
          <w:lang w:val="en-US"/>
        </w:rPr>
        <w:t>2010</w:t>
      </w:r>
      <w:r w:rsidRPr="008B7E48">
        <w:rPr>
          <w:sz w:val="24"/>
          <w:lang w:val="en-US"/>
        </w:rPr>
        <w:t xml:space="preserve">). This is a short version of the </w:t>
      </w:r>
      <w:r w:rsidR="00F0117D">
        <w:rPr>
          <w:sz w:val="24"/>
          <w:lang w:val="en-US"/>
        </w:rPr>
        <w:t>DCGM-12</w:t>
      </w:r>
      <w:r w:rsidR="002066BB">
        <w:rPr>
          <w:sz w:val="24"/>
          <w:lang w:val="en-US"/>
        </w:rPr>
        <w:t xml:space="preserve"> </w:t>
      </w:r>
      <w:r w:rsidRPr="008B7E48">
        <w:rPr>
          <w:sz w:val="24"/>
          <w:lang w:val="en-US"/>
        </w:rPr>
        <w:t xml:space="preserve">self-report questionnaire (European DISABKIDS Group, 2006; Portuguese version: </w:t>
      </w:r>
      <w:proofErr w:type="spellStart"/>
      <w:r w:rsidRPr="008B7E48">
        <w:rPr>
          <w:sz w:val="24"/>
          <w:lang w:val="en-US"/>
        </w:rPr>
        <w:t>Carona</w:t>
      </w:r>
      <w:proofErr w:type="spellEnd"/>
      <w:r w:rsidRPr="008B7E48">
        <w:rPr>
          <w:sz w:val="24"/>
          <w:lang w:val="en-US"/>
        </w:rPr>
        <w:t xml:space="preserve">, </w:t>
      </w:r>
      <w:proofErr w:type="spellStart"/>
      <w:r w:rsidRPr="008B7E48">
        <w:rPr>
          <w:sz w:val="24"/>
          <w:lang w:val="en-US"/>
        </w:rPr>
        <w:t>Bullinger</w:t>
      </w:r>
      <w:proofErr w:type="spellEnd"/>
      <w:r w:rsidRPr="008B7E48">
        <w:rPr>
          <w:sz w:val="24"/>
          <w:lang w:val="en-US"/>
        </w:rPr>
        <w:t xml:space="preserve">, &amp; </w:t>
      </w:r>
      <w:proofErr w:type="spellStart"/>
      <w:r w:rsidRPr="008B7E48">
        <w:rPr>
          <w:sz w:val="24"/>
          <w:lang w:val="en-US"/>
        </w:rPr>
        <w:t>Canavarro</w:t>
      </w:r>
      <w:proofErr w:type="spellEnd"/>
      <w:r w:rsidRPr="008B7E48">
        <w:rPr>
          <w:sz w:val="24"/>
          <w:lang w:val="en-US"/>
        </w:rPr>
        <w:t xml:space="preserve">, 2011) for children/adolescents with chronic health conditions. This measure has four items assessing each of the three </w:t>
      </w:r>
      <w:proofErr w:type="spellStart"/>
      <w:r w:rsidRPr="008B7E48">
        <w:rPr>
          <w:sz w:val="24"/>
          <w:lang w:val="en-US"/>
        </w:rPr>
        <w:t>HRQoL</w:t>
      </w:r>
      <w:proofErr w:type="spellEnd"/>
      <w:r w:rsidRPr="008B7E48">
        <w:rPr>
          <w:sz w:val="24"/>
          <w:lang w:val="en-US"/>
        </w:rPr>
        <w:t xml:space="preserve"> domains</w:t>
      </w:r>
      <w:r w:rsidR="002066BB">
        <w:rPr>
          <w:sz w:val="24"/>
          <w:lang w:val="en-US"/>
        </w:rPr>
        <w:t xml:space="preserve"> in the last four weeks</w:t>
      </w:r>
      <w:r w:rsidRPr="008B7E48">
        <w:rPr>
          <w:sz w:val="24"/>
          <w:lang w:val="en-US"/>
        </w:rPr>
        <w:t xml:space="preserve">: mental (e.g., “Do you feel like everyone else even though you have your condition?”), social (e.g., “Do you feel lonely because of your condition?”) and physical </w:t>
      </w:r>
      <w:r w:rsidRPr="008B7E48">
        <w:rPr>
          <w:sz w:val="24"/>
          <w:lang w:val="en-US"/>
        </w:rPr>
        <w:lastRenderedPageBreak/>
        <w:t xml:space="preserve">(e.g., “Do you think that you can do most things as well as other children/adolescents?”). The </w:t>
      </w:r>
      <w:r w:rsidR="007F4B39">
        <w:rPr>
          <w:sz w:val="24"/>
          <w:lang w:val="en-US"/>
        </w:rPr>
        <w:t xml:space="preserve">responses to these </w:t>
      </w:r>
      <w:r w:rsidRPr="008B7E48">
        <w:rPr>
          <w:sz w:val="24"/>
          <w:lang w:val="en-US"/>
        </w:rPr>
        <w:t xml:space="preserve">items were combined to provide a total </w:t>
      </w:r>
      <w:proofErr w:type="spellStart"/>
      <w:r w:rsidRPr="008B7E48">
        <w:rPr>
          <w:sz w:val="24"/>
          <w:lang w:val="en-US"/>
        </w:rPr>
        <w:t>HRQoL</w:t>
      </w:r>
      <w:proofErr w:type="spellEnd"/>
      <w:r w:rsidRPr="008B7E48">
        <w:rPr>
          <w:sz w:val="24"/>
          <w:lang w:val="en-US"/>
        </w:rPr>
        <w:t xml:space="preserve"> score. Participants answered items on a five-point </w:t>
      </w:r>
      <w:proofErr w:type="spellStart"/>
      <w:r w:rsidRPr="008B7E48">
        <w:rPr>
          <w:sz w:val="24"/>
          <w:lang w:val="en-US"/>
        </w:rPr>
        <w:t>Likert</w:t>
      </w:r>
      <w:proofErr w:type="spellEnd"/>
      <w:r w:rsidRPr="008B7E48">
        <w:rPr>
          <w:sz w:val="24"/>
          <w:lang w:val="en-US"/>
        </w:rPr>
        <w:t xml:space="preserve"> scale ranging from </w:t>
      </w:r>
      <w:r w:rsidR="007A36D9">
        <w:rPr>
          <w:sz w:val="24"/>
          <w:lang w:val="en-US"/>
        </w:rPr>
        <w:t xml:space="preserve">1 = </w:t>
      </w:r>
      <w:r w:rsidRPr="008B7E48">
        <w:rPr>
          <w:i/>
          <w:sz w:val="24"/>
          <w:lang w:val="en-US"/>
        </w:rPr>
        <w:t>never</w:t>
      </w:r>
      <w:r w:rsidRPr="008B7E48">
        <w:rPr>
          <w:sz w:val="24"/>
          <w:lang w:val="en-US"/>
        </w:rPr>
        <w:t xml:space="preserve"> to </w:t>
      </w:r>
      <w:r w:rsidR="007A36D9">
        <w:rPr>
          <w:sz w:val="24"/>
          <w:lang w:val="en-US"/>
        </w:rPr>
        <w:t xml:space="preserve">5 = </w:t>
      </w:r>
      <w:r w:rsidRPr="008B7E48">
        <w:rPr>
          <w:i/>
          <w:sz w:val="24"/>
          <w:lang w:val="en-US"/>
        </w:rPr>
        <w:t>always</w:t>
      </w:r>
      <w:r w:rsidRPr="008B7E48">
        <w:rPr>
          <w:sz w:val="24"/>
          <w:lang w:val="en-US"/>
        </w:rPr>
        <w:t xml:space="preserve">, with higher scores indicating better </w:t>
      </w:r>
      <w:proofErr w:type="spellStart"/>
      <w:r w:rsidRPr="008B7E48">
        <w:rPr>
          <w:sz w:val="24"/>
          <w:lang w:val="en-US"/>
        </w:rPr>
        <w:t>HRQoL</w:t>
      </w:r>
      <w:proofErr w:type="spellEnd"/>
      <w:r w:rsidRPr="008B7E48">
        <w:rPr>
          <w:sz w:val="24"/>
          <w:lang w:val="en-US"/>
        </w:rPr>
        <w:t xml:space="preserve">. </w:t>
      </w:r>
      <w:r w:rsidR="00665323">
        <w:rPr>
          <w:sz w:val="24"/>
          <w:lang w:val="en-US"/>
        </w:rPr>
        <w:t>In</w:t>
      </w:r>
      <w:r w:rsidR="00EA5A48">
        <w:rPr>
          <w:sz w:val="24"/>
          <w:lang w:val="en-US"/>
        </w:rPr>
        <w:t xml:space="preserve"> the original study (European DISABKIDS Group, 2006),</w:t>
      </w:r>
      <w:r w:rsidR="00665323">
        <w:rPr>
          <w:sz w:val="24"/>
          <w:lang w:val="en-US"/>
        </w:rPr>
        <w:t xml:space="preserve"> the </w:t>
      </w:r>
      <w:proofErr w:type="spellStart"/>
      <w:r w:rsidR="007A36D9">
        <w:rPr>
          <w:sz w:val="24"/>
          <w:lang w:val="en-US"/>
        </w:rPr>
        <w:t>Cro</w:t>
      </w:r>
      <w:r w:rsidR="00166530">
        <w:rPr>
          <w:sz w:val="24"/>
          <w:lang w:val="en-US"/>
        </w:rPr>
        <w:t>nbach’s</w:t>
      </w:r>
      <w:proofErr w:type="spellEnd"/>
      <w:r w:rsidR="00166530">
        <w:rPr>
          <w:sz w:val="24"/>
          <w:lang w:val="en-US"/>
        </w:rPr>
        <w:t xml:space="preserve"> alpha</w:t>
      </w:r>
      <w:r w:rsidR="00665323">
        <w:rPr>
          <w:sz w:val="24"/>
          <w:lang w:val="en-US"/>
        </w:rPr>
        <w:t xml:space="preserve"> for the short-form measure was </w:t>
      </w:r>
      <w:r w:rsidR="00166530">
        <w:rPr>
          <w:sz w:val="24"/>
          <w:lang w:val="en-US"/>
        </w:rPr>
        <w:t>.84</w:t>
      </w:r>
      <w:r w:rsidR="00FC4598">
        <w:rPr>
          <w:sz w:val="24"/>
          <w:lang w:val="en-US"/>
        </w:rPr>
        <w:t xml:space="preserve"> and the split-half reliability coefficient reaches values of .90.</w:t>
      </w:r>
      <w:r w:rsidR="00665323">
        <w:rPr>
          <w:sz w:val="24"/>
          <w:lang w:val="en-US"/>
        </w:rPr>
        <w:t xml:space="preserve"> </w:t>
      </w:r>
      <w:r w:rsidR="00FC4598">
        <w:rPr>
          <w:sz w:val="24"/>
          <w:lang w:val="en-US"/>
        </w:rPr>
        <w:t>C</w:t>
      </w:r>
      <w:r w:rsidR="00166530">
        <w:rPr>
          <w:sz w:val="24"/>
          <w:lang w:val="en-US"/>
        </w:rPr>
        <w:t xml:space="preserve">onvergent and </w:t>
      </w:r>
      <w:r w:rsidR="002066BB">
        <w:rPr>
          <w:sz w:val="24"/>
          <w:lang w:val="en-US"/>
        </w:rPr>
        <w:t>divergent</w:t>
      </w:r>
      <w:r w:rsidR="00166530">
        <w:rPr>
          <w:sz w:val="24"/>
          <w:lang w:val="en-US"/>
        </w:rPr>
        <w:t xml:space="preserve"> </w:t>
      </w:r>
      <w:r w:rsidRPr="008B7E48">
        <w:rPr>
          <w:sz w:val="24"/>
          <w:lang w:val="en-US"/>
        </w:rPr>
        <w:t>valid</w:t>
      </w:r>
      <w:r w:rsidR="00166530">
        <w:rPr>
          <w:sz w:val="24"/>
          <w:lang w:val="en-US"/>
        </w:rPr>
        <w:t>ity</w:t>
      </w:r>
      <w:r w:rsidRPr="008B7E48">
        <w:rPr>
          <w:sz w:val="24"/>
          <w:lang w:val="en-US"/>
        </w:rPr>
        <w:t xml:space="preserve"> were</w:t>
      </w:r>
      <w:r w:rsidR="00665323">
        <w:rPr>
          <w:sz w:val="24"/>
          <w:lang w:val="en-US"/>
        </w:rPr>
        <w:t xml:space="preserve"> also</w:t>
      </w:r>
      <w:r w:rsidRPr="008B7E48">
        <w:rPr>
          <w:sz w:val="24"/>
          <w:lang w:val="en-US"/>
        </w:rPr>
        <w:t xml:space="preserve"> demonstrated in the original validation studies</w:t>
      </w:r>
      <w:r w:rsidR="00F06A5F">
        <w:rPr>
          <w:sz w:val="24"/>
          <w:lang w:val="en-US"/>
        </w:rPr>
        <w:t>. C</w:t>
      </w:r>
      <w:r w:rsidR="00F06A5F" w:rsidRPr="00F43C7A">
        <w:rPr>
          <w:sz w:val="24"/>
          <w:lang w:val="en-US"/>
        </w:rPr>
        <w:t xml:space="preserve">onvergent </w:t>
      </w:r>
      <w:r w:rsidR="00F43C7A" w:rsidRPr="00F43C7A">
        <w:rPr>
          <w:sz w:val="24"/>
          <w:lang w:val="en-US"/>
        </w:rPr>
        <w:t>validity</w:t>
      </w:r>
      <w:r w:rsidR="00F43C7A" w:rsidRPr="00F43C7A">
        <w:rPr>
          <w:i/>
          <w:sz w:val="24"/>
          <w:lang w:val="en-US"/>
        </w:rPr>
        <w:t xml:space="preserve"> </w:t>
      </w:r>
      <w:r w:rsidR="00F43C7A" w:rsidRPr="00F43C7A">
        <w:rPr>
          <w:sz w:val="24"/>
          <w:lang w:val="en-US"/>
        </w:rPr>
        <w:t xml:space="preserve">was </w:t>
      </w:r>
      <w:r w:rsidR="00F06A5F">
        <w:rPr>
          <w:sz w:val="24"/>
          <w:lang w:val="en-US"/>
        </w:rPr>
        <w:t xml:space="preserve">confirmed by significant correlations between the present study’s </w:t>
      </w:r>
      <w:proofErr w:type="spellStart"/>
      <w:r w:rsidR="00F06A5F">
        <w:rPr>
          <w:sz w:val="24"/>
          <w:lang w:val="en-US"/>
        </w:rPr>
        <w:t>HRQoL</w:t>
      </w:r>
      <w:proofErr w:type="spellEnd"/>
      <w:r w:rsidR="00F06A5F">
        <w:rPr>
          <w:sz w:val="24"/>
          <w:lang w:val="en-US"/>
        </w:rPr>
        <w:t xml:space="preserve"> measures and other measures of </w:t>
      </w:r>
      <w:proofErr w:type="spellStart"/>
      <w:r w:rsidR="00F06A5F">
        <w:rPr>
          <w:sz w:val="24"/>
          <w:lang w:val="en-US"/>
        </w:rPr>
        <w:t>HRQoL</w:t>
      </w:r>
      <w:proofErr w:type="spellEnd"/>
      <w:r w:rsidR="00F06A5F">
        <w:rPr>
          <w:sz w:val="24"/>
          <w:lang w:val="en-US"/>
        </w:rPr>
        <w:t xml:space="preserve">, e. g., with </w:t>
      </w:r>
      <w:r w:rsidR="00F43C7A" w:rsidRPr="00F43C7A">
        <w:rPr>
          <w:sz w:val="24"/>
          <w:lang w:val="en-US"/>
        </w:rPr>
        <w:t>KINDL-R (</w:t>
      </w:r>
      <w:r w:rsidR="00F43C7A" w:rsidRPr="00F43C7A">
        <w:rPr>
          <w:i/>
          <w:sz w:val="24"/>
          <w:lang w:val="en-US"/>
        </w:rPr>
        <w:t>r</w:t>
      </w:r>
      <w:r w:rsidR="00F43C7A" w:rsidRPr="00F43C7A">
        <w:rPr>
          <w:sz w:val="24"/>
          <w:lang w:val="en-US"/>
        </w:rPr>
        <w:t xml:space="preserve"> = .60, p &lt; .05)</w:t>
      </w:r>
      <w:r w:rsidR="00F06A5F">
        <w:rPr>
          <w:sz w:val="24"/>
          <w:lang w:val="en-US"/>
        </w:rPr>
        <w:t xml:space="preserve">, a widely used measure of </w:t>
      </w:r>
      <w:proofErr w:type="spellStart"/>
      <w:r w:rsidR="00F06A5F">
        <w:rPr>
          <w:sz w:val="24"/>
          <w:lang w:val="en-US"/>
        </w:rPr>
        <w:t>HRQoL</w:t>
      </w:r>
      <w:proofErr w:type="spellEnd"/>
      <w:r w:rsidR="00F06A5F">
        <w:rPr>
          <w:sz w:val="24"/>
          <w:lang w:val="en-US"/>
        </w:rPr>
        <w:t xml:space="preserve"> among children and adolescents (</w:t>
      </w:r>
      <w:proofErr w:type="spellStart"/>
      <w:r w:rsidR="002854EF" w:rsidRPr="002854EF">
        <w:rPr>
          <w:sz w:val="24"/>
          <w:lang w:val="en-US"/>
        </w:rPr>
        <w:t>Bullinger</w:t>
      </w:r>
      <w:proofErr w:type="spellEnd"/>
      <w:r w:rsidR="002854EF" w:rsidRPr="002854EF">
        <w:rPr>
          <w:sz w:val="24"/>
          <w:lang w:val="en-US"/>
        </w:rPr>
        <w:t xml:space="preserve">, </w:t>
      </w:r>
      <w:proofErr w:type="spellStart"/>
      <w:r w:rsidR="002854EF" w:rsidRPr="002854EF">
        <w:rPr>
          <w:sz w:val="24"/>
          <w:lang w:val="en-US"/>
        </w:rPr>
        <w:t>Brütt</w:t>
      </w:r>
      <w:proofErr w:type="spellEnd"/>
      <w:r w:rsidR="002854EF" w:rsidRPr="002854EF">
        <w:rPr>
          <w:sz w:val="24"/>
          <w:lang w:val="en-US"/>
        </w:rPr>
        <w:t xml:space="preserve">, </w:t>
      </w:r>
      <w:proofErr w:type="spellStart"/>
      <w:r w:rsidR="002854EF" w:rsidRPr="002854EF">
        <w:rPr>
          <w:sz w:val="24"/>
          <w:lang w:val="en-US"/>
        </w:rPr>
        <w:t>Erhart</w:t>
      </w:r>
      <w:proofErr w:type="spellEnd"/>
      <w:r w:rsidR="002854EF" w:rsidRPr="002854EF">
        <w:rPr>
          <w:sz w:val="24"/>
          <w:lang w:val="en-US"/>
        </w:rPr>
        <w:t>, &amp; Ravens-</w:t>
      </w:r>
      <w:proofErr w:type="spellStart"/>
      <w:r w:rsidR="002854EF" w:rsidRPr="002854EF">
        <w:rPr>
          <w:sz w:val="24"/>
          <w:lang w:val="en-US"/>
        </w:rPr>
        <w:t>Sieberer</w:t>
      </w:r>
      <w:proofErr w:type="spellEnd"/>
      <w:r w:rsidR="002854EF" w:rsidRPr="002854EF">
        <w:rPr>
          <w:sz w:val="24"/>
          <w:lang w:val="en-US"/>
        </w:rPr>
        <w:t>, 2008</w:t>
      </w:r>
      <w:r w:rsidR="00F06A5F">
        <w:rPr>
          <w:sz w:val="24"/>
          <w:lang w:val="en-US"/>
        </w:rPr>
        <w:t>).</w:t>
      </w:r>
      <w:r w:rsidR="00F43C7A">
        <w:rPr>
          <w:sz w:val="24"/>
          <w:lang w:val="en-US"/>
        </w:rPr>
        <w:t xml:space="preserve"> </w:t>
      </w:r>
      <w:r w:rsidR="00F06A5F">
        <w:rPr>
          <w:sz w:val="24"/>
          <w:lang w:val="en-US"/>
        </w:rPr>
        <w:t>D</w:t>
      </w:r>
      <w:r w:rsidR="00F43C7A" w:rsidRPr="00F43C7A">
        <w:rPr>
          <w:sz w:val="24"/>
          <w:lang w:val="en-US"/>
        </w:rPr>
        <w:t>iscriminant validity</w:t>
      </w:r>
      <w:r w:rsidR="00F06A5F">
        <w:rPr>
          <w:sz w:val="24"/>
          <w:lang w:val="en-US"/>
        </w:rPr>
        <w:t xml:space="preserve"> of the present study’s </w:t>
      </w:r>
      <w:proofErr w:type="spellStart"/>
      <w:r w:rsidR="00F06A5F">
        <w:rPr>
          <w:sz w:val="24"/>
          <w:lang w:val="en-US"/>
        </w:rPr>
        <w:t>HRQoL</w:t>
      </w:r>
      <w:proofErr w:type="spellEnd"/>
      <w:r w:rsidR="00F06A5F">
        <w:rPr>
          <w:sz w:val="24"/>
          <w:lang w:val="en-US"/>
        </w:rPr>
        <w:t xml:space="preserve"> measure has been confirmed by</w:t>
      </w:r>
      <w:r w:rsidR="00F43C7A" w:rsidRPr="00F43C7A">
        <w:rPr>
          <w:i/>
          <w:sz w:val="24"/>
          <w:lang w:val="en-US"/>
        </w:rPr>
        <w:t xml:space="preserve"> </w:t>
      </w:r>
      <w:r w:rsidR="00F43C7A" w:rsidRPr="00F43C7A">
        <w:rPr>
          <w:sz w:val="24"/>
          <w:lang w:val="en-US"/>
        </w:rPr>
        <w:t xml:space="preserve">comparing </w:t>
      </w:r>
      <w:proofErr w:type="spellStart"/>
      <w:r w:rsidR="00F43C7A" w:rsidRPr="00F43C7A">
        <w:rPr>
          <w:sz w:val="24"/>
          <w:lang w:val="en-US"/>
        </w:rPr>
        <w:t>HRQoL</w:t>
      </w:r>
      <w:proofErr w:type="spellEnd"/>
      <w:r w:rsidR="00F43C7A" w:rsidRPr="00F43C7A">
        <w:rPr>
          <w:sz w:val="24"/>
          <w:lang w:val="en-US"/>
        </w:rPr>
        <w:t xml:space="preserve"> in children and adolescents wi</w:t>
      </w:r>
      <w:r w:rsidR="005435FD">
        <w:rPr>
          <w:sz w:val="24"/>
          <w:lang w:val="en-US"/>
        </w:rPr>
        <w:t xml:space="preserve">th different chronic conditions </w:t>
      </w:r>
      <w:r w:rsidR="00F43C7A">
        <w:rPr>
          <w:sz w:val="24"/>
          <w:lang w:val="en-US"/>
        </w:rPr>
        <w:t>(European DISABKIDS Group, 2006)</w:t>
      </w:r>
      <w:r w:rsidR="00F43C7A" w:rsidRPr="00F43C7A">
        <w:rPr>
          <w:sz w:val="24"/>
          <w:lang w:val="en-US"/>
        </w:rPr>
        <w:t>.</w:t>
      </w:r>
      <w:r w:rsidR="00F43C7A">
        <w:rPr>
          <w:sz w:val="24"/>
          <w:lang w:val="en-US"/>
        </w:rPr>
        <w:t xml:space="preserve"> </w:t>
      </w:r>
      <w:r w:rsidR="00453E09">
        <w:rPr>
          <w:sz w:val="24"/>
          <w:lang w:val="en-US"/>
        </w:rPr>
        <w:t>To assure that the Portuguese DISABKIDS version were equivalent to the original one, the scale validation</w:t>
      </w:r>
      <w:r w:rsidR="00453E09" w:rsidRPr="00880DCB">
        <w:rPr>
          <w:sz w:val="24"/>
          <w:lang w:val="en-US"/>
        </w:rPr>
        <w:t xml:space="preserve"> included translation, ba</w:t>
      </w:r>
      <w:r w:rsidR="00453E09">
        <w:rPr>
          <w:sz w:val="24"/>
          <w:lang w:val="en-US"/>
        </w:rPr>
        <w:t>ck-translation, inspection for semantically</w:t>
      </w:r>
      <w:r w:rsidR="00453E09" w:rsidRPr="00880DCB">
        <w:rPr>
          <w:sz w:val="24"/>
          <w:lang w:val="en-US"/>
        </w:rPr>
        <w:t xml:space="preserve"> equivalence </w:t>
      </w:r>
      <w:r w:rsidR="00453E09">
        <w:rPr>
          <w:sz w:val="24"/>
          <w:lang w:val="en-US"/>
        </w:rPr>
        <w:t xml:space="preserve">and </w:t>
      </w:r>
      <w:r w:rsidR="00453E09" w:rsidRPr="00453E09">
        <w:rPr>
          <w:sz w:val="24"/>
          <w:lang w:val="en-US"/>
        </w:rPr>
        <w:t>psychometric performance e</w:t>
      </w:r>
      <w:r w:rsidR="00453E09">
        <w:rPr>
          <w:sz w:val="24"/>
          <w:lang w:val="en-US"/>
        </w:rPr>
        <w:t xml:space="preserve">xploration </w:t>
      </w:r>
      <w:r w:rsidR="00453E09" w:rsidRPr="00453E09">
        <w:rPr>
          <w:sz w:val="24"/>
          <w:lang w:val="en-US"/>
        </w:rPr>
        <w:t xml:space="preserve">in a pilot study </w:t>
      </w:r>
      <w:r w:rsidR="00453E09">
        <w:rPr>
          <w:sz w:val="24"/>
          <w:lang w:val="en-US"/>
        </w:rPr>
        <w:t>(</w:t>
      </w:r>
      <w:proofErr w:type="spellStart"/>
      <w:r w:rsidR="00453E09">
        <w:rPr>
          <w:sz w:val="24"/>
          <w:lang w:val="en-US"/>
        </w:rPr>
        <w:t>Carona</w:t>
      </w:r>
      <w:proofErr w:type="spellEnd"/>
      <w:r w:rsidR="00453E09">
        <w:rPr>
          <w:sz w:val="24"/>
          <w:lang w:val="en-US"/>
        </w:rPr>
        <w:t xml:space="preserve"> et al., </w:t>
      </w:r>
      <w:r w:rsidR="00453E09" w:rsidRPr="008B7E48">
        <w:rPr>
          <w:sz w:val="24"/>
          <w:lang w:val="en-US"/>
        </w:rPr>
        <w:t>20</w:t>
      </w:r>
      <w:r w:rsidR="00453E09">
        <w:rPr>
          <w:sz w:val="24"/>
          <w:lang w:val="en-US"/>
        </w:rPr>
        <w:t>11</w:t>
      </w:r>
      <w:r w:rsidR="00453E09" w:rsidRPr="008B7E48">
        <w:rPr>
          <w:sz w:val="24"/>
          <w:lang w:val="en-US"/>
        </w:rPr>
        <w:t>)</w:t>
      </w:r>
      <w:r w:rsidR="00453E09" w:rsidRPr="00880DCB">
        <w:rPr>
          <w:sz w:val="24"/>
          <w:lang w:val="en-US"/>
        </w:rPr>
        <w:t xml:space="preserve">. </w:t>
      </w:r>
      <w:r w:rsidR="00587ECE">
        <w:rPr>
          <w:sz w:val="24"/>
          <w:lang w:val="en-US"/>
        </w:rPr>
        <w:t xml:space="preserve">In the present study, </w:t>
      </w:r>
      <w:r w:rsidR="00A271F3">
        <w:rPr>
          <w:sz w:val="24"/>
          <w:lang w:val="en-US"/>
        </w:rPr>
        <w:t>the scale</w:t>
      </w:r>
      <w:r w:rsidR="00665323">
        <w:rPr>
          <w:sz w:val="24"/>
          <w:lang w:val="en-US"/>
        </w:rPr>
        <w:t xml:space="preserve"> scores</w:t>
      </w:r>
      <w:r w:rsidR="00A271F3">
        <w:rPr>
          <w:sz w:val="24"/>
          <w:lang w:val="en-US"/>
        </w:rPr>
        <w:t xml:space="preserve"> for children/adolescents on-treatment and off-treatment</w:t>
      </w:r>
      <w:r w:rsidR="00665323">
        <w:rPr>
          <w:sz w:val="24"/>
          <w:lang w:val="en-US"/>
        </w:rPr>
        <w:t xml:space="preserve"> </w:t>
      </w:r>
      <w:r w:rsidR="00364404">
        <w:rPr>
          <w:sz w:val="24"/>
          <w:lang w:val="en-US"/>
        </w:rPr>
        <w:t xml:space="preserve">demonstrated </w:t>
      </w:r>
      <w:proofErr w:type="spellStart"/>
      <w:r w:rsidR="00A271F3">
        <w:rPr>
          <w:sz w:val="24"/>
          <w:lang w:val="en-US"/>
        </w:rPr>
        <w:t>Cronbach’s</w:t>
      </w:r>
      <w:proofErr w:type="spellEnd"/>
      <w:r w:rsidR="00A271F3" w:rsidRPr="008850D4">
        <w:rPr>
          <w:sz w:val="24"/>
          <w:lang w:val="en-US"/>
        </w:rPr>
        <w:t xml:space="preserve"> alpha</w:t>
      </w:r>
      <w:r w:rsidR="00A271F3">
        <w:rPr>
          <w:sz w:val="24"/>
          <w:lang w:val="en-US"/>
        </w:rPr>
        <w:t>s of .83 and .81, respectively</w:t>
      </w:r>
      <w:r w:rsidR="00A271F3" w:rsidRPr="008B7E48">
        <w:rPr>
          <w:sz w:val="24"/>
          <w:lang w:val="en-US"/>
        </w:rPr>
        <w:t>.</w:t>
      </w:r>
    </w:p>
    <w:p w:rsidR="00A54A7B" w:rsidRPr="008B7E48" w:rsidRDefault="00A54A7B" w:rsidP="00A54A7B">
      <w:pPr>
        <w:spacing w:line="480" w:lineRule="auto"/>
        <w:contextualSpacing/>
        <w:jc w:val="left"/>
        <w:rPr>
          <w:b/>
          <w:sz w:val="24"/>
          <w:lang w:val="en-US"/>
        </w:rPr>
      </w:pPr>
      <w:r w:rsidRPr="008B7E48">
        <w:rPr>
          <w:b/>
          <w:sz w:val="24"/>
          <w:lang w:val="en-US"/>
        </w:rPr>
        <w:t>Treatment intensity</w:t>
      </w:r>
    </w:p>
    <w:p w:rsidR="00A271F3" w:rsidRDefault="00A54A7B" w:rsidP="00C076D6">
      <w:pPr>
        <w:spacing w:line="480" w:lineRule="auto"/>
        <w:ind w:firstLine="0"/>
        <w:contextualSpacing/>
        <w:jc w:val="left"/>
        <w:rPr>
          <w:b/>
          <w:sz w:val="24"/>
          <w:lang w:val="en-US"/>
        </w:rPr>
      </w:pPr>
      <w:r w:rsidRPr="008B7E48">
        <w:rPr>
          <w:sz w:val="24"/>
          <w:lang w:val="en-US"/>
        </w:rPr>
        <w:t>Clinicians classified treatment intensity using four levels, from level 1 (</w:t>
      </w:r>
      <w:r w:rsidRPr="008B7E48">
        <w:rPr>
          <w:i/>
          <w:sz w:val="24"/>
          <w:lang w:val="en-US"/>
        </w:rPr>
        <w:t>Least intensive treatment</w:t>
      </w:r>
      <w:r w:rsidRPr="008B7E48">
        <w:rPr>
          <w:sz w:val="24"/>
          <w:lang w:val="en-US"/>
        </w:rPr>
        <w:t>) to level 4 (</w:t>
      </w:r>
      <w:r w:rsidRPr="008B7E48">
        <w:rPr>
          <w:i/>
          <w:sz w:val="24"/>
          <w:lang w:val="en-US"/>
        </w:rPr>
        <w:t>Most intensive treatment</w:t>
      </w:r>
      <w:r w:rsidRPr="008B7E48">
        <w:rPr>
          <w:sz w:val="24"/>
          <w:lang w:val="en-US"/>
        </w:rPr>
        <w:t xml:space="preserve">), of the Intensity of Treatment Rating Scale 3.0 (Kazak et al., 2011; Portuguese version: Santos, </w:t>
      </w:r>
      <w:proofErr w:type="spellStart"/>
      <w:r w:rsidRPr="008B7E48">
        <w:rPr>
          <w:sz w:val="24"/>
          <w:lang w:val="en-US"/>
        </w:rPr>
        <w:t>Crespo</w:t>
      </w:r>
      <w:proofErr w:type="spellEnd"/>
      <w:r w:rsidRPr="008B7E48">
        <w:rPr>
          <w:sz w:val="24"/>
          <w:lang w:val="en-US"/>
        </w:rPr>
        <w:t xml:space="preserve">, </w:t>
      </w:r>
      <w:proofErr w:type="spellStart"/>
      <w:r w:rsidRPr="008B7E48">
        <w:rPr>
          <w:sz w:val="24"/>
          <w:lang w:val="en-US"/>
        </w:rPr>
        <w:t>Canavarro</w:t>
      </w:r>
      <w:proofErr w:type="spellEnd"/>
      <w:r w:rsidRPr="008B7E48">
        <w:rPr>
          <w:sz w:val="24"/>
          <w:lang w:val="en-US"/>
        </w:rPr>
        <w:t>, &amp; Pinto</w:t>
      </w:r>
      <w:r w:rsidRPr="008B7E48">
        <w:rPr>
          <w:i/>
          <w:sz w:val="24"/>
          <w:lang w:val="en-US"/>
        </w:rPr>
        <w:t>,</w:t>
      </w:r>
      <w:r w:rsidR="000B3243">
        <w:rPr>
          <w:i/>
          <w:sz w:val="24"/>
          <w:lang w:val="en-US"/>
        </w:rPr>
        <w:t xml:space="preserve"> </w:t>
      </w:r>
      <w:r w:rsidR="00A271F3">
        <w:rPr>
          <w:sz w:val="24"/>
          <w:lang w:val="en-US"/>
        </w:rPr>
        <w:t>2014</w:t>
      </w:r>
      <w:r w:rsidRPr="008B7E48">
        <w:rPr>
          <w:sz w:val="24"/>
          <w:lang w:val="en-US"/>
        </w:rPr>
        <w:t xml:space="preserve">). </w:t>
      </w:r>
      <w:r w:rsidR="00C06230">
        <w:rPr>
          <w:sz w:val="24"/>
          <w:lang w:val="en-US"/>
        </w:rPr>
        <w:t>Clinicians are asked to read several medical criteria that present diagnosis</w:t>
      </w:r>
      <w:r w:rsidR="00127FAD">
        <w:rPr>
          <w:sz w:val="24"/>
          <w:lang w:val="en-US"/>
        </w:rPr>
        <w:t xml:space="preserve"> (e.g., brain tumor, leukemia)</w:t>
      </w:r>
      <w:r w:rsidR="00C06230">
        <w:rPr>
          <w:sz w:val="24"/>
          <w:lang w:val="en-US"/>
        </w:rPr>
        <w:t xml:space="preserve">, stage/risk </w:t>
      </w:r>
      <w:r w:rsidR="00127FAD">
        <w:rPr>
          <w:sz w:val="24"/>
          <w:lang w:val="en-US"/>
        </w:rPr>
        <w:t>(e.g. stadium 1</w:t>
      </w:r>
      <w:r w:rsidR="00252B58">
        <w:rPr>
          <w:sz w:val="24"/>
          <w:lang w:val="en-US"/>
        </w:rPr>
        <w:t>, 2, 3 or 4, based on medical classification</w:t>
      </w:r>
      <w:r w:rsidR="00127FAD">
        <w:rPr>
          <w:sz w:val="24"/>
          <w:lang w:val="en-US"/>
        </w:rPr>
        <w:t xml:space="preserve">) </w:t>
      </w:r>
      <w:r w:rsidR="00C06230">
        <w:rPr>
          <w:sz w:val="24"/>
          <w:lang w:val="en-US"/>
        </w:rPr>
        <w:t xml:space="preserve">and treatment modality </w:t>
      </w:r>
      <w:r w:rsidR="00127FAD">
        <w:rPr>
          <w:sz w:val="24"/>
          <w:lang w:val="en-US"/>
        </w:rPr>
        <w:t>(e.g., surgery, chemotherapy, radiology</w:t>
      </w:r>
      <w:r w:rsidR="00252B58">
        <w:rPr>
          <w:sz w:val="24"/>
          <w:lang w:val="en-US"/>
        </w:rPr>
        <w:t xml:space="preserve">, </w:t>
      </w:r>
      <w:r w:rsidR="00252B58">
        <w:rPr>
          <w:sz w:val="24"/>
          <w:lang w:val="en-US"/>
        </w:rPr>
        <w:lastRenderedPageBreak/>
        <w:t>transplants</w:t>
      </w:r>
      <w:r w:rsidR="00127FAD">
        <w:rPr>
          <w:sz w:val="24"/>
          <w:lang w:val="en-US"/>
        </w:rPr>
        <w:t xml:space="preserve">) </w:t>
      </w:r>
      <w:r w:rsidR="00C06230">
        <w:rPr>
          <w:sz w:val="24"/>
          <w:lang w:val="en-US"/>
        </w:rPr>
        <w:t xml:space="preserve">examples for each of the four treatment intensity levels. </w:t>
      </w:r>
      <w:r w:rsidR="002E3426">
        <w:rPr>
          <w:sz w:val="24"/>
          <w:lang w:val="en-US"/>
        </w:rPr>
        <w:t xml:space="preserve">It was explained to clinicians that </w:t>
      </w:r>
      <w:r w:rsidR="002E3426" w:rsidRPr="002E3426">
        <w:rPr>
          <w:sz w:val="24"/>
          <w:lang w:val="en-US"/>
        </w:rPr>
        <w:t>the intensity of the treatment consisted in their perception of the duration of treatments,</w:t>
      </w:r>
      <w:r w:rsidR="003B79D0">
        <w:rPr>
          <w:sz w:val="24"/>
          <w:lang w:val="en-US"/>
        </w:rPr>
        <w:t xml:space="preserve"> second medical effects profile,</w:t>
      </w:r>
      <w:r w:rsidR="002E3426" w:rsidRPr="002E3426">
        <w:rPr>
          <w:sz w:val="24"/>
          <w:lang w:val="en-US"/>
        </w:rPr>
        <w:t xml:space="preserve"> </w:t>
      </w:r>
      <w:r w:rsidR="003B79D0">
        <w:rPr>
          <w:sz w:val="24"/>
          <w:lang w:val="en-US"/>
        </w:rPr>
        <w:t xml:space="preserve">complications risks or relapses, </w:t>
      </w:r>
      <w:r w:rsidR="002E3426" w:rsidRPr="002E3426">
        <w:rPr>
          <w:sz w:val="24"/>
          <w:lang w:val="en-US"/>
        </w:rPr>
        <w:t>number of agents, treatment</w:t>
      </w:r>
      <w:r w:rsidR="003B79D0">
        <w:rPr>
          <w:sz w:val="24"/>
          <w:lang w:val="en-US"/>
        </w:rPr>
        <w:t xml:space="preserve"> modalities, and </w:t>
      </w:r>
      <w:r w:rsidR="00FA2B31">
        <w:rPr>
          <w:sz w:val="24"/>
          <w:lang w:val="en-US"/>
        </w:rPr>
        <w:t>treatment setting</w:t>
      </w:r>
      <w:r w:rsidR="003B79D0">
        <w:rPr>
          <w:sz w:val="24"/>
          <w:lang w:val="en-US"/>
        </w:rPr>
        <w:t xml:space="preserve"> (i.e., inpatient or outpatient)</w:t>
      </w:r>
      <w:r w:rsidR="002E3426" w:rsidRPr="002E3426">
        <w:rPr>
          <w:sz w:val="24"/>
          <w:lang w:val="en-US"/>
        </w:rPr>
        <w:t>.</w:t>
      </w:r>
      <w:r w:rsidR="002E3426">
        <w:rPr>
          <w:sz w:val="24"/>
          <w:lang w:val="en-US"/>
        </w:rPr>
        <w:t xml:space="preserve"> </w:t>
      </w:r>
      <w:r w:rsidR="00127FAD">
        <w:rPr>
          <w:sz w:val="24"/>
          <w:lang w:val="en-US"/>
        </w:rPr>
        <w:t xml:space="preserve">For instant, since it requires a more aggressive treatment, a relapse treatment corresponds mostly to level 4 </w:t>
      </w:r>
      <w:r w:rsidR="00127FAD" w:rsidRPr="008B7E48">
        <w:rPr>
          <w:sz w:val="24"/>
          <w:lang w:val="en-US"/>
        </w:rPr>
        <w:t>(</w:t>
      </w:r>
      <w:r w:rsidR="00127FAD" w:rsidRPr="008B7E48">
        <w:rPr>
          <w:i/>
          <w:sz w:val="24"/>
          <w:lang w:val="en-US"/>
        </w:rPr>
        <w:t>Most intensive treatment</w:t>
      </w:r>
      <w:r w:rsidR="00127FAD" w:rsidRPr="008B7E48">
        <w:rPr>
          <w:sz w:val="24"/>
          <w:lang w:val="en-US"/>
        </w:rPr>
        <w:t>)</w:t>
      </w:r>
      <w:r w:rsidR="00127FAD">
        <w:rPr>
          <w:sz w:val="24"/>
          <w:lang w:val="en-US"/>
        </w:rPr>
        <w:t xml:space="preserve">. </w:t>
      </w:r>
      <w:r w:rsidR="00252B58">
        <w:rPr>
          <w:sz w:val="24"/>
          <w:lang w:val="en-US"/>
        </w:rPr>
        <w:t xml:space="preserve">Illness most reserve prognosis or multimodal therapy that </w:t>
      </w:r>
      <w:r w:rsidR="00252B58" w:rsidRPr="008B7E48">
        <w:rPr>
          <w:sz w:val="24"/>
          <w:lang w:val="en-US"/>
        </w:rPr>
        <w:t>include</w:t>
      </w:r>
      <w:r w:rsidR="00252B58">
        <w:rPr>
          <w:sz w:val="24"/>
          <w:lang w:val="en-US"/>
        </w:rPr>
        <w:t xml:space="preserve"> simultaneous </w:t>
      </w:r>
      <w:r w:rsidR="00252B58" w:rsidRPr="008B7E48">
        <w:rPr>
          <w:sz w:val="24"/>
          <w:lang w:val="en-US"/>
        </w:rPr>
        <w:t xml:space="preserve">surgery, chemotherapy, radiation therapy </w:t>
      </w:r>
      <w:r w:rsidR="00252B58">
        <w:rPr>
          <w:sz w:val="24"/>
          <w:lang w:val="en-US"/>
        </w:rPr>
        <w:t>or/</w:t>
      </w:r>
      <w:r w:rsidR="00252B58" w:rsidRPr="008B7E48">
        <w:rPr>
          <w:sz w:val="24"/>
          <w:lang w:val="en-US"/>
        </w:rPr>
        <w:t>and transplantation</w:t>
      </w:r>
      <w:r w:rsidR="00252B58">
        <w:rPr>
          <w:sz w:val="24"/>
          <w:lang w:val="en-US"/>
        </w:rPr>
        <w:t xml:space="preserve"> are often classified in level 4. </w:t>
      </w:r>
      <w:r w:rsidR="00127FAD">
        <w:rPr>
          <w:sz w:val="24"/>
          <w:lang w:val="en-US"/>
        </w:rPr>
        <w:t>Based on th</w:t>
      </w:r>
      <w:r w:rsidR="00252B58">
        <w:rPr>
          <w:sz w:val="24"/>
          <w:lang w:val="en-US"/>
        </w:rPr>
        <w:t>e scale classification and examples</w:t>
      </w:r>
      <w:r w:rsidR="002E3426">
        <w:rPr>
          <w:sz w:val="24"/>
          <w:lang w:val="en-US"/>
        </w:rPr>
        <w:t xml:space="preserve"> and on medical history of their patients</w:t>
      </w:r>
      <w:r w:rsidR="00252B58">
        <w:rPr>
          <w:sz w:val="24"/>
          <w:lang w:val="en-US"/>
        </w:rPr>
        <w:t>,</w:t>
      </w:r>
      <w:r w:rsidR="002E3426">
        <w:rPr>
          <w:sz w:val="24"/>
          <w:lang w:val="en-US"/>
        </w:rPr>
        <w:t xml:space="preserve"> </w:t>
      </w:r>
      <w:r w:rsidR="00252B58">
        <w:rPr>
          <w:sz w:val="24"/>
          <w:lang w:val="en-US"/>
        </w:rPr>
        <w:t>clinicians attribute the treatment</w:t>
      </w:r>
      <w:r w:rsidR="00FA2B31">
        <w:rPr>
          <w:sz w:val="24"/>
          <w:lang w:val="en-US"/>
        </w:rPr>
        <w:t xml:space="preserve"> intensity</w:t>
      </w:r>
      <w:r w:rsidR="00252B58">
        <w:rPr>
          <w:sz w:val="24"/>
          <w:lang w:val="en-US"/>
        </w:rPr>
        <w:t xml:space="preserve"> level for each patient. </w:t>
      </w:r>
      <w:r w:rsidR="0075465E">
        <w:rPr>
          <w:sz w:val="24"/>
          <w:lang w:val="en-US"/>
        </w:rPr>
        <w:t>Like in original validation studies (</w:t>
      </w:r>
      <w:r w:rsidR="0075465E" w:rsidRPr="008B7E48">
        <w:rPr>
          <w:sz w:val="24"/>
          <w:lang w:val="en-US"/>
        </w:rPr>
        <w:t>Kazak et al., 2011</w:t>
      </w:r>
      <w:r w:rsidR="0075465E">
        <w:rPr>
          <w:sz w:val="24"/>
          <w:lang w:val="en-US"/>
        </w:rPr>
        <w:t xml:space="preserve">), the Portuguese version </w:t>
      </w:r>
      <w:r w:rsidR="002021E0">
        <w:rPr>
          <w:sz w:val="24"/>
          <w:lang w:val="en-US"/>
        </w:rPr>
        <w:t>was traduced and validated using backward translation and applicability and content clarity request</w:t>
      </w:r>
      <w:r w:rsidR="00FA2B31">
        <w:rPr>
          <w:sz w:val="24"/>
          <w:lang w:val="en-US"/>
        </w:rPr>
        <w:t>s</w:t>
      </w:r>
      <w:r w:rsidR="002021E0">
        <w:rPr>
          <w:sz w:val="24"/>
          <w:lang w:val="en-US"/>
        </w:rPr>
        <w:t xml:space="preserve"> from three pediatric oncologists from two Portuguese hospitals, independently. </w:t>
      </w:r>
      <w:r w:rsidR="00587ECE">
        <w:rPr>
          <w:sz w:val="24"/>
          <w:lang w:val="en-US"/>
        </w:rPr>
        <w:t xml:space="preserve">In a prior study with a Portuguese sample, inter-rater </w:t>
      </w:r>
      <w:r w:rsidRPr="008B7E48">
        <w:rPr>
          <w:sz w:val="24"/>
          <w:lang w:val="en-US"/>
        </w:rPr>
        <w:t>reliability was excellent</w:t>
      </w:r>
      <w:r w:rsidR="00587ECE">
        <w:rPr>
          <w:sz w:val="24"/>
          <w:lang w:val="en-US"/>
        </w:rPr>
        <w:t>,</w:t>
      </w:r>
      <w:r w:rsidRPr="008B7E48">
        <w:rPr>
          <w:sz w:val="24"/>
          <w:lang w:val="en-US"/>
        </w:rPr>
        <w:t xml:space="preserve"> </w:t>
      </w:r>
      <w:r w:rsidRPr="008B7E48">
        <w:rPr>
          <w:i/>
          <w:sz w:val="24"/>
          <w:lang w:val="en-US"/>
        </w:rPr>
        <w:t>kappa</w:t>
      </w:r>
      <w:r w:rsidRPr="008B7E48">
        <w:rPr>
          <w:sz w:val="24"/>
          <w:lang w:val="en-US"/>
        </w:rPr>
        <w:t xml:space="preserve">=.97; </w:t>
      </w:r>
      <w:r w:rsidRPr="008B7E48">
        <w:rPr>
          <w:i/>
          <w:sz w:val="24"/>
          <w:lang w:val="en-US"/>
        </w:rPr>
        <w:t>p</w:t>
      </w:r>
      <w:r w:rsidR="00587ECE">
        <w:rPr>
          <w:sz w:val="24"/>
          <w:lang w:val="en-US"/>
        </w:rPr>
        <w:t>&lt;</w:t>
      </w:r>
      <w:r w:rsidR="00587ECE" w:rsidRPr="008B7E48">
        <w:rPr>
          <w:sz w:val="24"/>
          <w:lang w:val="en-US"/>
        </w:rPr>
        <w:t>.</w:t>
      </w:r>
      <w:r w:rsidRPr="008B7E48">
        <w:rPr>
          <w:sz w:val="24"/>
          <w:lang w:val="en-US"/>
        </w:rPr>
        <w:t>001 (Santos et al.,</w:t>
      </w:r>
      <w:r w:rsidR="00A271F3">
        <w:rPr>
          <w:sz w:val="24"/>
          <w:lang w:val="en-US"/>
        </w:rPr>
        <w:t xml:space="preserve"> 2014</w:t>
      </w:r>
      <w:r w:rsidRPr="008B7E48">
        <w:rPr>
          <w:i/>
          <w:sz w:val="24"/>
          <w:lang w:val="en-US"/>
        </w:rPr>
        <w:t>).</w:t>
      </w:r>
    </w:p>
    <w:p w:rsidR="00C076D6" w:rsidRPr="008B7E48" w:rsidRDefault="00A827A3" w:rsidP="00C076D6">
      <w:pPr>
        <w:spacing w:line="480" w:lineRule="auto"/>
        <w:ind w:firstLine="0"/>
        <w:contextualSpacing/>
        <w:jc w:val="left"/>
        <w:rPr>
          <w:b/>
          <w:sz w:val="24"/>
          <w:lang w:val="en-US"/>
        </w:rPr>
      </w:pPr>
      <w:r>
        <w:rPr>
          <w:b/>
          <w:sz w:val="24"/>
          <w:lang w:val="en-US"/>
        </w:rPr>
        <w:t>Statistical analysis</w:t>
      </w:r>
    </w:p>
    <w:p w:rsidR="00010E40" w:rsidRDefault="00A271F3" w:rsidP="00010E40">
      <w:pPr>
        <w:spacing w:line="480" w:lineRule="auto"/>
        <w:contextualSpacing/>
        <w:jc w:val="left"/>
        <w:rPr>
          <w:rFonts w:eastAsia="AdvTimes"/>
          <w:sz w:val="24"/>
          <w:lang w:val="en-US"/>
        </w:rPr>
      </w:pPr>
      <w:r w:rsidRPr="00603D83">
        <w:rPr>
          <w:sz w:val="24"/>
          <w:lang w:val="en-US"/>
        </w:rPr>
        <w:t xml:space="preserve">Analyses were performed with Statistical Package for Social Sciences, version 20 (SPSS, Inc., Chicago, IL). First, we conducted descriptive statistics. </w:t>
      </w:r>
      <w:r w:rsidR="00C822AB">
        <w:rPr>
          <w:sz w:val="24"/>
          <w:lang w:val="en-US"/>
        </w:rPr>
        <w:t xml:space="preserve">Separate </w:t>
      </w:r>
      <w:proofErr w:type="spellStart"/>
      <w:r w:rsidRPr="00603D83">
        <w:rPr>
          <w:sz w:val="24"/>
          <w:lang w:val="en-US"/>
        </w:rPr>
        <w:t>Cronbach’s</w:t>
      </w:r>
      <w:proofErr w:type="spellEnd"/>
      <w:r w:rsidRPr="00603D83">
        <w:rPr>
          <w:sz w:val="24"/>
          <w:lang w:val="en-US"/>
        </w:rPr>
        <w:t xml:space="preserve"> alphas and </w:t>
      </w:r>
      <w:r w:rsidR="00C822AB">
        <w:rPr>
          <w:sz w:val="24"/>
          <w:lang w:val="en-US"/>
        </w:rPr>
        <w:t xml:space="preserve">bivariate </w:t>
      </w:r>
      <w:r w:rsidR="002C66D4">
        <w:rPr>
          <w:sz w:val="24"/>
          <w:lang w:val="en-US"/>
        </w:rPr>
        <w:t>correlation</w:t>
      </w:r>
      <w:r w:rsidR="00C822AB">
        <w:rPr>
          <w:sz w:val="24"/>
          <w:lang w:val="en-US"/>
        </w:rPr>
        <w:t>s</w:t>
      </w:r>
      <w:r w:rsidRPr="00603D83">
        <w:rPr>
          <w:sz w:val="24"/>
          <w:lang w:val="en-US"/>
        </w:rPr>
        <w:t xml:space="preserve"> were </w:t>
      </w:r>
      <w:r w:rsidR="00C822AB">
        <w:rPr>
          <w:sz w:val="24"/>
          <w:lang w:val="en-US"/>
        </w:rPr>
        <w:t>calculated</w:t>
      </w:r>
      <w:r w:rsidR="00C822AB" w:rsidRPr="00603D83">
        <w:rPr>
          <w:sz w:val="24"/>
          <w:lang w:val="en-US"/>
        </w:rPr>
        <w:t xml:space="preserve"> </w:t>
      </w:r>
      <w:r w:rsidRPr="00603D83">
        <w:rPr>
          <w:sz w:val="24"/>
          <w:lang w:val="en-US"/>
        </w:rPr>
        <w:t>for</w:t>
      </w:r>
      <w:r w:rsidR="00C822AB">
        <w:rPr>
          <w:sz w:val="24"/>
          <w:lang w:val="en-US"/>
        </w:rPr>
        <w:t xml:space="preserve"> each of</w:t>
      </w:r>
      <w:r w:rsidRPr="00603D83">
        <w:rPr>
          <w:sz w:val="24"/>
          <w:lang w:val="en-US"/>
        </w:rPr>
        <w:t xml:space="preserve"> the two clinical groups</w:t>
      </w:r>
      <w:r w:rsidR="00C822AB">
        <w:rPr>
          <w:sz w:val="24"/>
          <w:lang w:val="en-US"/>
        </w:rPr>
        <w:t>.</w:t>
      </w:r>
      <w:r w:rsidRPr="00603D83">
        <w:rPr>
          <w:sz w:val="24"/>
          <w:lang w:val="en-US"/>
        </w:rPr>
        <w:t xml:space="preserve"> Second, </w:t>
      </w:r>
      <w:r w:rsidR="000016E2">
        <w:rPr>
          <w:sz w:val="24"/>
          <w:lang w:val="en-US"/>
        </w:rPr>
        <w:t xml:space="preserve">we conducted a MANOVA </w:t>
      </w:r>
      <w:r w:rsidR="00C822AB">
        <w:rPr>
          <w:sz w:val="24"/>
          <w:lang w:val="en-US"/>
        </w:rPr>
        <w:t xml:space="preserve">to determine whether </w:t>
      </w:r>
      <w:r w:rsidRPr="00603D83">
        <w:rPr>
          <w:sz w:val="24"/>
          <w:lang w:val="en-US"/>
        </w:rPr>
        <w:t xml:space="preserve">children/adolescents on-treatment differed </w:t>
      </w:r>
      <w:r w:rsidR="00C822AB">
        <w:rPr>
          <w:sz w:val="24"/>
          <w:lang w:val="en-US"/>
        </w:rPr>
        <w:t xml:space="preserve">from </w:t>
      </w:r>
      <w:proofErr w:type="gramStart"/>
      <w:r w:rsidR="00C822AB">
        <w:rPr>
          <w:sz w:val="24"/>
          <w:lang w:val="en-US"/>
        </w:rPr>
        <w:t>those off-treatment</w:t>
      </w:r>
      <w:proofErr w:type="gramEnd"/>
      <w:r w:rsidR="00C822AB">
        <w:rPr>
          <w:sz w:val="24"/>
          <w:lang w:val="en-US"/>
        </w:rPr>
        <w:t xml:space="preserve"> with regard to </w:t>
      </w:r>
      <w:r w:rsidRPr="00603D83">
        <w:rPr>
          <w:sz w:val="24"/>
          <w:lang w:val="en-US"/>
        </w:rPr>
        <w:t>hope, anxiety</w:t>
      </w:r>
      <w:r w:rsidR="00C822AB">
        <w:rPr>
          <w:sz w:val="24"/>
          <w:lang w:val="en-US"/>
        </w:rPr>
        <w:t>,</w:t>
      </w:r>
      <w:r w:rsidRPr="00603D83">
        <w:rPr>
          <w:sz w:val="24"/>
          <w:lang w:val="en-US"/>
        </w:rPr>
        <w:t xml:space="preserve"> and </w:t>
      </w:r>
      <w:proofErr w:type="spellStart"/>
      <w:r w:rsidRPr="00603D83">
        <w:rPr>
          <w:sz w:val="24"/>
          <w:lang w:val="en-US"/>
        </w:rPr>
        <w:t>HRQoL</w:t>
      </w:r>
      <w:proofErr w:type="spellEnd"/>
      <w:r w:rsidRPr="00603D83">
        <w:rPr>
          <w:sz w:val="24"/>
          <w:lang w:val="en-US"/>
        </w:rPr>
        <w:t xml:space="preserve"> </w:t>
      </w:r>
      <w:r w:rsidR="00722F07">
        <w:rPr>
          <w:sz w:val="24"/>
          <w:lang w:val="en-US"/>
        </w:rPr>
        <w:t>(</w:t>
      </w:r>
      <w:proofErr w:type="spellStart"/>
      <w:r w:rsidR="00722F07">
        <w:rPr>
          <w:sz w:val="24"/>
          <w:lang w:val="en-US"/>
        </w:rPr>
        <w:t>Pallant</w:t>
      </w:r>
      <w:proofErr w:type="spellEnd"/>
      <w:r w:rsidR="00722F07">
        <w:rPr>
          <w:sz w:val="24"/>
          <w:lang w:val="en-US"/>
        </w:rPr>
        <w:t>, 200</w:t>
      </w:r>
      <w:r w:rsidR="00952241">
        <w:rPr>
          <w:sz w:val="24"/>
          <w:lang w:val="en-US"/>
        </w:rPr>
        <w:t>7</w:t>
      </w:r>
      <w:r w:rsidR="00722F07">
        <w:rPr>
          <w:sz w:val="24"/>
          <w:lang w:val="en-US"/>
        </w:rPr>
        <w:t>)</w:t>
      </w:r>
      <w:r w:rsidRPr="00603D83">
        <w:rPr>
          <w:sz w:val="24"/>
          <w:lang w:val="en-US"/>
        </w:rPr>
        <w:t xml:space="preserve">. Clinical group membership was entered as the between-subjects factor and </w:t>
      </w:r>
      <w:r w:rsidRPr="006D5959">
        <w:rPr>
          <w:sz w:val="24"/>
          <w:lang w:val="en-US"/>
        </w:rPr>
        <w:t>hope</w:t>
      </w:r>
      <w:r w:rsidRPr="00603D83">
        <w:rPr>
          <w:sz w:val="24"/>
          <w:lang w:val="en-US"/>
        </w:rPr>
        <w:t xml:space="preserve">, anxiety and </w:t>
      </w:r>
      <w:proofErr w:type="spellStart"/>
      <w:r w:rsidRPr="00603D83">
        <w:rPr>
          <w:sz w:val="24"/>
          <w:lang w:val="en-US"/>
        </w:rPr>
        <w:t>HRQoL</w:t>
      </w:r>
      <w:proofErr w:type="spellEnd"/>
      <w:r w:rsidRPr="00603D83">
        <w:rPr>
          <w:sz w:val="24"/>
          <w:lang w:val="en-US"/>
        </w:rPr>
        <w:t xml:space="preserve"> as dependent variables. Then, to examine the mediation role of anxiety levels in the relationship between hope and </w:t>
      </w:r>
      <w:proofErr w:type="spellStart"/>
      <w:r w:rsidRPr="00603D83">
        <w:rPr>
          <w:sz w:val="24"/>
          <w:lang w:val="en-US"/>
        </w:rPr>
        <w:t>HRQoL</w:t>
      </w:r>
      <w:proofErr w:type="spellEnd"/>
      <w:r w:rsidRPr="00603D83">
        <w:rPr>
          <w:sz w:val="24"/>
          <w:lang w:val="en-US"/>
        </w:rPr>
        <w:t xml:space="preserve">, and </w:t>
      </w:r>
      <w:r w:rsidR="008142A0">
        <w:rPr>
          <w:sz w:val="24"/>
          <w:lang w:val="en-US"/>
        </w:rPr>
        <w:t xml:space="preserve">to determine whether </w:t>
      </w:r>
      <w:r w:rsidRPr="00603D83">
        <w:rPr>
          <w:sz w:val="24"/>
          <w:lang w:val="en-US"/>
        </w:rPr>
        <w:t>this mediation model would be different for children/adolescents on</w:t>
      </w:r>
      <w:r w:rsidR="008142A0">
        <w:rPr>
          <w:sz w:val="24"/>
          <w:lang w:val="en-US"/>
        </w:rPr>
        <w:t xml:space="preserve">-treatment as compared to </w:t>
      </w:r>
      <w:proofErr w:type="gramStart"/>
      <w:r w:rsidR="008142A0">
        <w:rPr>
          <w:sz w:val="24"/>
          <w:lang w:val="en-US"/>
        </w:rPr>
        <w:t xml:space="preserve">those </w:t>
      </w:r>
      <w:r w:rsidRPr="00603D83">
        <w:rPr>
          <w:sz w:val="24"/>
          <w:lang w:val="en-US"/>
        </w:rPr>
        <w:t>off-treatment</w:t>
      </w:r>
      <w:proofErr w:type="gramEnd"/>
      <w:r w:rsidR="008142A0">
        <w:rPr>
          <w:sz w:val="24"/>
          <w:lang w:val="en-US"/>
        </w:rPr>
        <w:t>,</w:t>
      </w:r>
      <w:r w:rsidRPr="00603D83">
        <w:rPr>
          <w:sz w:val="24"/>
          <w:lang w:val="en-US"/>
        </w:rPr>
        <w:t xml:space="preserve"> we performed</w:t>
      </w:r>
      <w:r w:rsidR="008826E0">
        <w:rPr>
          <w:sz w:val="24"/>
          <w:lang w:val="en-US"/>
        </w:rPr>
        <w:t xml:space="preserve"> a</w:t>
      </w:r>
      <w:r w:rsidRPr="00603D83">
        <w:rPr>
          <w:sz w:val="24"/>
          <w:lang w:val="en-US"/>
        </w:rPr>
        <w:t xml:space="preserve"> moderated mediation </w:t>
      </w:r>
      <w:r w:rsidRPr="00603D83">
        <w:rPr>
          <w:sz w:val="24"/>
          <w:lang w:val="en-US"/>
        </w:rPr>
        <w:lastRenderedPageBreak/>
        <w:t>analysis.</w:t>
      </w:r>
      <w:r w:rsidRPr="00603D83">
        <w:rPr>
          <w:rFonts w:eastAsia="AdvTimes"/>
          <w:sz w:val="24"/>
          <w:lang w:val="en-US"/>
        </w:rPr>
        <w:t xml:space="preserve"> </w:t>
      </w:r>
      <w:r w:rsidRPr="00603D83">
        <w:rPr>
          <w:sz w:val="24"/>
          <w:lang w:val="en-US"/>
        </w:rPr>
        <w:t>W</w:t>
      </w:r>
      <w:r w:rsidRPr="00603D83">
        <w:rPr>
          <w:rFonts w:eastAsia="AdvTimes"/>
          <w:sz w:val="24"/>
          <w:lang w:val="en-US"/>
        </w:rPr>
        <w:t xml:space="preserve">e used the SPSS macros PROCESS </w:t>
      </w:r>
      <w:r w:rsidR="00FD3B2B">
        <w:rPr>
          <w:rFonts w:eastAsia="AdvTimes"/>
          <w:sz w:val="24"/>
          <w:lang w:val="en-US"/>
        </w:rPr>
        <w:t>to test Hayes’ (2013) proposed model number 59</w:t>
      </w:r>
      <w:r w:rsidR="00807581">
        <w:rPr>
          <w:rFonts w:eastAsia="AdvTimes"/>
          <w:sz w:val="24"/>
          <w:lang w:val="en-US"/>
        </w:rPr>
        <w:t>.</w:t>
      </w:r>
    </w:p>
    <w:p w:rsidR="00A54A7B" w:rsidRPr="00010E40" w:rsidRDefault="00A271F3" w:rsidP="00010E40">
      <w:pPr>
        <w:spacing w:line="480" w:lineRule="auto"/>
        <w:contextualSpacing/>
        <w:jc w:val="left"/>
        <w:rPr>
          <w:rFonts w:eastAsia="AdvTimes"/>
          <w:sz w:val="24"/>
          <w:lang w:val="en-US"/>
        </w:rPr>
      </w:pPr>
      <w:r w:rsidRPr="00603D83">
        <w:rPr>
          <w:rFonts w:eastAsia="AdvTimes"/>
          <w:sz w:val="24"/>
          <w:lang w:val="en-US"/>
        </w:rPr>
        <w:t xml:space="preserve">The </w:t>
      </w:r>
      <w:r w:rsidRPr="00603D83">
        <w:rPr>
          <w:sz w:val="24"/>
          <w:lang w:val="en-US"/>
        </w:rPr>
        <w:t>analyses were regression-based and performed with bootstrapping procedures (</w:t>
      </w:r>
      <w:r w:rsidRPr="00603D83">
        <w:rPr>
          <w:rFonts w:eastAsia="AdvTimes"/>
          <w:sz w:val="24"/>
          <w:lang w:val="en-US"/>
        </w:rPr>
        <w:t>Hayes, 2013).</w:t>
      </w:r>
      <w:r w:rsidRPr="00603D83">
        <w:rPr>
          <w:sz w:val="24"/>
          <w:lang w:val="en-US"/>
        </w:rPr>
        <w:t xml:space="preserve"> </w:t>
      </w:r>
      <w:r w:rsidRPr="00603D83">
        <w:rPr>
          <w:rFonts w:eastAsia="AdvTimes"/>
          <w:sz w:val="24"/>
          <w:lang w:val="en-US"/>
        </w:rPr>
        <w:t xml:space="preserve">Indirect effects were calculated based on a point estimate and </w:t>
      </w:r>
      <w:r w:rsidRPr="00603D83">
        <w:rPr>
          <w:sz w:val="24"/>
          <w:lang w:val="en-US"/>
        </w:rPr>
        <w:t>bias-corrected and accelerated confidence intervals (</w:t>
      </w:r>
      <w:proofErr w:type="spellStart"/>
      <w:r w:rsidRPr="00603D83">
        <w:rPr>
          <w:sz w:val="24"/>
          <w:lang w:val="en-US"/>
        </w:rPr>
        <w:t>BCa</w:t>
      </w:r>
      <w:proofErr w:type="spellEnd"/>
      <w:r w:rsidRPr="00603D83">
        <w:rPr>
          <w:sz w:val="24"/>
          <w:lang w:val="en-US"/>
        </w:rPr>
        <w:t xml:space="preserve"> 95% CI) with a 10,000 bootstrap samples procedure</w:t>
      </w:r>
      <w:r w:rsidRPr="00603D83">
        <w:rPr>
          <w:rFonts w:eastAsia="AdvTimes"/>
          <w:sz w:val="24"/>
          <w:lang w:val="en-US"/>
        </w:rPr>
        <w:t>; an indirect effect</w:t>
      </w:r>
      <w:r w:rsidR="00010E40">
        <w:rPr>
          <w:rFonts w:eastAsia="AdvTimes"/>
          <w:sz w:val="24"/>
          <w:lang w:val="en-US"/>
        </w:rPr>
        <w:t xml:space="preserve"> was</w:t>
      </w:r>
      <w:r w:rsidRPr="00603D83">
        <w:rPr>
          <w:rFonts w:eastAsia="AdvTimes"/>
          <w:sz w:val="24"/>
          <w:lang w:val="en-US"/>
        </w:rPr>
        <w:t xml:space="preserve"> considered significant if the respective confidence interval d</w:t>
      </w:r>
      <w:r w:rsidR="00010E40">
        <w:rPr>
          <w:rFonts w:eastAsia="AdvTimes"/>
          <w:sz w:val="24"/>
          <w:lang w:val="en-US"/>
        </w:rPr>
        <w:t>id</w:t>
      </w:r>
      <w:r w:rsidRPr="00603D83">
        <w:rPr>
          <w:rFonts w:eastAsia="AdvTimes"/>
          <w:sz w:val="24"/>
          <w:lang w:val="en-US"/>
        </w:rPr>
        <w:t xml:space="preserve"> not include</w:t>
      </w:r>
      <w:r w:rsidR="00283632">
        <w:rPr>
          <w:rFonts w:eastAsia="AdvTimes"/>
          <w:sz w:val="24"/>
          <w:lang w:val="en-US"/>
        </w:rPr>
        <w:t xml:space="preserve"> zero</w:t>
      </w:r>
      <w:r w:rsidRPr="00603D83">
        <w:rPr>
          <w:rFonts w:eastAsia="AdvTimes"/>
          <w:sz w:val="24"/>
          <w:lang w:val="en-US"/>
        </w:rPr>
        <w:t>.</w:t>
      </w:r>
      <w:r w:rsidR="00ED6A83">
        <w:rPr>
          <w:rFonts w:eastAsia="AdvTimes"/>
          <w:sz w:val="24"/>
          <w:lang w:val="en-US"/>
        </w:rPr>
        <w:t xml:space="preserve"> </w:t>
      </w:r>
    </w:p>
    <w:p w:rsidR="00A271F3" w:rsidRDefault="00A271F3" w:rsidP="00A54A7B">
      <w:pPr>
        <w:spacing w:line="480" w:lineRule="auto"/>
        <w:ind w:firstLine="0"/>
        <w:contextualSpacing/>
        <w:jc w:val="center"/>
        <w:rPr>
          <w:b/>
          <w:sz w:val="24"/>
          <w:lang w:val="en-US"/>
        </w:rPr>
      </w:pPr>
    </w:p>
    <w:p w:rsidR="00A54A7B" w:rsidRPr="008B7E48" w:rsidRDefault="00A54A7B" w:rsidP="00A54A7B">
      <w:pPr>
        <w:spacing w:line="480" w:lineRule="auto"/>
        <w:ind w:firstLine="0"/>
        <w:contextualSpacing/>
        <w:jc w:val="center"/>
        <w:rPr>
          <w:b/>
          <w:sz w:val="24"/>
          <w:lang w:val="en-US"/>
        </w:rPr>
      </w:pPr>
      <w:r w:rsidRPr="008B7E48">
        <w:rPr>
          <w:b/>
          <w:sz w:val="24"/>
          <w:lang w:val="en-US"/>
        </w:rPr>
        <w:t>Results</w:t>
      </w:r>
    </w:p>
    <w:p w:rsidR="00A54A7B" w:rsidRPr="008B7E48" w:rsidRDefault="00A54A7B" w:rsidP="00A54A7B">
      <w:pPr>
        <w:spacing w:line="480" w:lineRule="auto"/>
        <w:ind w:firstLine="0"/>
        <w:contextualSpacing/>
        <w:jc w:val="left"/>
        <w:rPr>
          <w:b/>
          <w:sz w:val="24"/>
          <w:lang w:val="en-US"/>
        </w:rPr>
      </w:pPr>
      <w:r w:rsidRPr="008B7E48">
        <w:rPr>
          <w:b/>
          <w:sz w:val="24"/>
          <w:lang w:val="en-US"/>
        </w:rPr>
        <w:t>Descriptive Analyses and Correlations</w:t>
      </w:r>
    </w:p>
    <w:p w:rsidR="00A54A7B" w:rsidRDefault="00A54A7B" w:rsidP="00991BC4">
      <w:pPr>
        <w:autoSpaceDE w:val="0"/>
        <w:autoSpaceDN w:val="0"/>
        <w:adjustRightInd w:val="0"/>
        <w:spacing w:line="480" w:lineRule="auto"/>
        <w:jc w:val="left"/>
        <w:rPr>
          <w:sz w:val="24"/>
          <w:lang w:val="en-US"/>
        </w:rPr>
      </w:pPr>
      <w:r w:rsidRPr="008B7E48">
        <w:rPr>
          <w:sz w:val="24"/>
          <w:lang w:val="en-US"/>
        </w:rPr>
        <w:t xml:space="preserve">Descriptive statistics, </w:t>
      </w:r>
      <w:proofErr w:type="spellStart"/>
      <w:r w:rsidRPr="008B7E48">
        <w:rPr>
          <w:sz w:val="24"/>
          <w:lang w:val="en-US"/>
        </w:rPr>
        <w:t>Cronbach’s</w:t>
      </w:r>
      <w:proofErr w:type="spellEnd"/>
      <w:r w:rsidRPr="008B7E48">
        <w:rPr>
          <w:sz w:val="24"/>
          <w:lang w:val="en-US"/>
        </w:rPr>
        <w:t xml:space="preserve"> alphas and correlations</w:t>
      </w:r>
      <w:r w:rsidR="008142A0">
        <w:rPr>
          <w:sz w:val="24"/>
          <w:lang w:val="en-US"/>
        </w:rPr>
        <w:t>,</w:t>
      </w:r>
      <w:r w:rsidRPr="008B7E48">
        <w:rPr>
          <w:sz w:val="24"/>
          <w:lang w:val="en-US"/>
        </w:rPr>
        <w:t xml:space="preserve"> for both clinical gr</w:t>
      </w:r>
      <w:r>
        <w:rPr>
          <w:sz w:val="24"/>
          <w:lang w:val="en-US"/>
        </w:rPr>
        <w:t>oups are presented in T</w:t>
      </w:r>
      <w:r w:rsidR="00DA6EC7">
        <w:rPr>
          <w:sz w:val="24"/>
          <w:lang w:val="en-US"/>
        </w:rPr>
        <w:t>able 2.</w:t>
      </w:r>
    </w:p>
    <w:p w:rsidR="00DA6EC7" w:rsidRDefault="00DA6EC7" w:rsidP="00991BC4">
      <w:pPr>
        <w:autoSpaceDE w:val="0"/>
        <w:autoSpaceDN w:val="0"/>
        <w:adjustRightInd w:val="0"/>
        <w:spacing w:line="480" w:lineRule="auto"/>
        <w:jc w:val="left"/>
        <w:rPr>
          <w:sz w:val="24"/>
          <w:lang w:val="en-US"/>
        </w:rPr>
      </w:pPr>
    </w:p>
    <w:p w:rsidR="00A54A7B" w:rsidRDefault="00A54A7B" w:rsidP="00991BC4">
      <w:pPr>
        <w:autoSpaceDE w:val="0"/>
        <w:autoSpaceDN w:val="0"/>
        <w:adjustRightInd w:val="0"/>
        <w:spacing w:line="480" w:lineRule="auto"/>
        <w:jc w:val="left"/>
        <w:rPr>
          <w:i/>
          <w:sz w:val="24"/>
          <w:lang w:val="en-US"/>
        </w:rPr>
      </w:pPr>
      <w:r>
        <w:rPr>
          <w:i/>
          <w:sz w:val="24"/>
          <w:lang w:val="en-US"/>
        </w:rPr>
        <w:t>Table 2 about here</w:t>
      </w:r>
    </w:p>
    <w:p w:rsidR="00DA6EC7" w:rsidRPr="008B7E48" w:rsidRDefault="00DA6EC7" w:rsidP="00991BC4">
      <w:pPr>
        <w:autoSpaceDE w:val="0"/>
        <w:autoSpaceDN w:val="0"/>
        <w:adjustRightInd w:val="0"/>
        <w:spacing w:line="480" w:lineRule="auto"/>
        <w:jc w:val="left"/>
        <w:rPr>
          <w:sz w:val="24"/>
          <w:lang w:val="en-US"/>
        </w:rPr>
      </w:pPr>
    </w:p>
    <w:p w:rsidR="009D27F2" w:rsidRDefault="000E7E61" w:rsidP="009D27F2">
      <w:pPr>
        <w:spacing w:line="480" w:lineRule="auto"/>
        <w:contextualSpacing/>
        <w:jc w:val="left"/>
        <w:rPr>
          <w:sz w:val="24"/>
          <w:lang w:val="en-US"/>
        </w:rPr>
      </w:pPr>
      <w:r>
        <w:rPr>
          <w:sz w:val="24"/>
          <w:lang w:val="en-US"/>
        </w:rPr>
        <w:t xml:space="preserve">We performed a MANOVA to assess if the two clinical groups differed regarding </w:t>
      </w:r>
      <w:r w:rsidR="005A257C">
        <w:rPr>
          <w:sz w:val="24"/>
          <w:lang w:val="en-US"/>
        </w:rPr>
        <w:t xml:space="preserve">hope, anxiety and </w:t>
      </w:r>
      <w:proofErr w:type="spellStart"/>
      <w:r>
        <w:rPr>
          <w:sz w:val="24"/>
          <w:lang w:val="en-US"/>
        </w:rPr>
        <w:t>HRQoL</w:t>
      </w:r>
      <w:proofErr w:type="spellEnd"/>
      <w:r w:rsidR="005A257C">
        <w:rPr>
          <w:sz w:val="24"/>
          <w:lang w:val="en-US"/>
        </w:rPr>
        <w:t>.</w:t>
      </w:r>
      <w:r w:rsidR="00507156">
        <w:rPr>
          <w:sz w:val="24"/>
          <w:lang w:val="en-US"/>
        </w:rPr>
        <w:t xml:space="preserve"> The independent variable was clinical group (on</w:t>
      </w:r>
      <w:r w:rsidR="008142A0">
        <w:rPr>
          <w:sz w:val="24"/>
          <w:lang w:val="en-US"/>
        </w:rPr>
        <w:t>-treatment</w:t>
      </w:r>
      <w:r w:rsidR="00507156">
        <w:rPr>
          <w:sz w:val="24"/>
          <w:lang w:val="en-US"/>
        </w:rPr>
        <w:t xml:space="preserve"> vs. off-treatment group)</w:t>
      </w:r>
      <w:r w:rsidR="008142A0">
        <w:rPr>
          <w:sz w:val="24"/>
          <w:lang w:val="en-US"/>
        </w:rPr>
        <w:t>,</w:t>
      </w:r>
      <w:r w:rsidR="00507156">
        <w:rPr>
          <w:sz w:val="24"/>
          <w:lang w:val="en-US"/>
        </w:rPr>
        <w:t xml:space="preserve"> </w:t>
      </w:r>
      <w:r w:rsidR="00AB3CA1">
        <w:rPr>
          <w:sz w:val="24"/>
          <w:lang w:val="en-US"/>
        </w:rPr>
        <w:t xml:space="preserve">and </w:t>
      </w:r>
      <w:r w:rsidR="00507156">
        <w:rPr>
          <w:sz w:val="24"/>
          <w:lang w:val="en-US"/>
        </w:rPr>
        <w:t xml:space="preserve">three dependent variables were used: hope, anxiety and </w:t>
      </w:r>
      <w:proofErr w:type="spellStart"/>
      <w:r w:rsidR="00507156">
        <w:rPr>
          <w:sz w:val="24"/>
          <w:lang w:val="en-US"/>
        </w:rPr>
        <w:t>HRQoL</w:t>
      </w:r>
      <w:proofErr w:type="spellEnd"/>
      <w:r w:rsidR="00507156">
        <w:rPr>
          <w:sz w:val="24"/>
          <w:lang w:val="en-US"/>
        </w:rPr>
        <w:t xml:space="preserve">. </w:t>
      </w:r>
      <w:r w:rsidR="005A257C">
        <w:rPr>
          <w:sz w:val="24"/>
          <w:lang w:val="en-US"/>
        </w:rPr>
        <w:t xml:space="preserve"> A</w:t>
      </w:r>
      <w:r w:rsidR="00991BC4">
        <w:rPr>
          <w:sz w:val="24"/>
          <w:lang w:val="en-US"/>
        </w:rPr>
        <w:t xml:space="preserve"> </w:t>
      </w:r>
      <w:r w:rsidR="00A54A7B" w:rsidRPr="008B7E48">
        <w:rPr>
          <w:sz w:val="24"/>
          <w:lang w:val="en-US"/>
        </w:rPr>
        <w:t>significant multiv</w:t>
      </w:r>
      <w:r w:rsidR="00A54A7B">
        <w:rPr>
          <w:sz w:val="24"/>
          <w:lang w:val="en-US"/>
        </w:rPr>
        <w:t>ariate effect</w:t>
      </w:r>
      <w:r w:rsidR="00010E40">
        <w:rPr>
          <w:sz w:val="24"/>
          <w:lang w:val="en-US"/>
        </w:rPr>
        <w:t xml:space="preserve"> according to clinical group</w:t>
      </w:r>
      <w:r w:rsidR="005A257C">
        <w:rPr>
          <w:sz w:val="24"/>
          <w:lang w:val="en-US"/>
        </w:rPr>
        <w:t xml:space="preserve"> was found</w:t>
      </w:r>
      <w:r w:rsidR="00A54A7B">
        <w:rPr>
          <w:sz w:val="24"/>
          <w:lang w:val="en-US"/>
        </w:rPr>
        <w:t xml:space="preserve">, </w:t>
      </w:r>
      <w:proofErr w:type="spellStart"/>
      <w:r w:rsidR="00A54A7B">
        <w:rPr>
          <w:sz w:val="24"/>
          <w:lang w:val="en-US"/>
        </w:rPr>
        <w:t>Wilks</w:t>
      </w:r>
      <w:proofErr w:type="spellEnd"/>
      <w:r w:rsidR="00A54A7B">
        <w:rPr>
          <w:sz w:val="24"/>
          <w:lang w:val="en-US"/>
        </w:rPr>
        <w:t xml:space="preserve">’ </w:t>
      </w:r>
      <w:r w:rsidR="00A54A7B" w:rsidRPr="008B7E48">
        <w:rPr>
          <w:sz w:val="24"/>
          <w:lang w:val="en-US"/>
        </w:rPr>
        <w:t>Lambda = .92,</w:t>
      </w:r>
      <w:r w:rsidR="00A54A7B" w:rsidRPr="008B7E48">
        <w:rPr>
          <w:i/>
          <w:sz w:val="24"/>
          <w:lang w:val="en-US"/>
        </w:rPr>
        <w:t xml:space="preserve"> </w:t>
      </w:r>
      <w:proofErr w:type="gramStart"/>
      <w:r w:rsidR="00A54A7B" w:rsidRPr="008B7E48">
        <w:rPr>
          <w:i/>
          <w:sz w:val="24"/>
          <w:lang w:val="en-US"/>
        </w:rPr>
        <w:t>F</w:t>
      </w:r>
      <w:r w:rsidR="00A54A7B" w:rsidRPr="008B7E48">
        <w:rPr>
          <w:sz w:val="24"/>
          <w:lang w:val="en-US"/>
        </w:rPr>
        <w:t>(</w:t>
      </w:r>
      <w:proofErr w:type="gramEnd"/>
      <w:r w:rsidR="00A54A7B" w:rsidRPr="008B7E48">
        <w:rPr>
          <w:sz w:val="24"/>
          <w:lang w:val="en-US"/>
        </w:rPr>
        <w:t xml:space="preserve">3, 207) = 6.29, </w:t>
      </w:r>
      <w:r w:rsidR="00A54A7B" w:rsidRPr="008B7E48">
        <w:rPr>
          <w:i/>
          <w:sz w:val="24"/>
          <w:lang w:val="en-US"/>
        </w:rPr>
        <w:t>p</w:t>
      </w:r>
      <w:r w:rsidR="00A54A7B" w:rsidRPr="008B7E48">
        <w:rPr>
          <w:sz w:val="24"/>
          <w:lang w:val="en-US"/>
        </w:rPr>
        <w:t xml:space="preserve"> &lt; .001, partial </w:t>
      </w:r>
      <w:r w:rsidR="009D27F2" w:rsidRPr="000160F1">
        <w:rPr>
          <w:rFonts w:ascii="Symbol" w:hAnsi="Symbol"/>
          <w:szCs w:val="22"/>
          <w:lang w:eastAsia="pt-PT"/>
        </w:rPr>
        <w:t></w:t>
      </w:r>
      <w:r w:rsidR="009D27F2" w:rsidRPr="000160F1">
        <w:rPr>
          <w:szCs w:val="22"/>
          <w:vertAlign w:val="superscript"/>
          <w:lang w:val="en-US" w:eastAsia="pt-PT"/>
        </w:rPr>
        <w:t>2</w:t>
      </w:r>
      <w:r w:rsidR="00A54A7B" w:rsidRPr="008B7E48">
        <w:rPr>
          <w:sz w:val="24"/>
          <w:lang w:val="en-US"/>
        </w:rPr>
        <w:t xml:space="preserve"> = .08. The </w:t>
      </w:r>
      <w:proofErr w:type="spellStart"/>
      <w:r w:rsidR="00A54A7B" w:rsidRPr="008B7E48">
        <w:rPr>
          <w:sz w:val="24"/>
          <w:lang w:val="en-US"/>
        </w:rPr>
        <w:t>univariate</w:t>
      </w:r>
      <w:proofErr w:type="spellEnd"/>
      <w:r w:rsidR="00A54A7B" w:rsidRPr="008B7E48">
        <w:rPr>
          <w:sz w:val="24"/>
          <w:lang w:val="en-US"/>
        </w:rPr>
        <w:t xml:space="preserve"> analyses </w:t>
      </w:r>
      <w:r w:rsidR="00E14777">
        <w:rPr>
          <w:sz w:val="24"/>
          <w:lang w:val="en-US"/>
        </w:rPr>
        <w:t>demonstrated</w:t>
      </w:r>
      <w:r w:rsidR="00E14777" w:rsidRPr="008B7E48">
        <w:rPr>
          <w:sz w:val="24"/>
          <w:lang w:val="en-US"/>
        </w:rPr>
        <w:t xml:space="preserve"> </w:t>
      </w:r>
      <w:r w:rsidR="00A54A7B" w:rsidRPr="008B7E48">
        <w:rPr>
          <w:sz w:val="24"/>
          <w:lang w:val="en-US"/>
        </w:rPr>
        <w:t xml:space="preserve">that groups only differed in </w:t>
      </w:r>
      <w:proofErr w:type="spellStart"/>
      <w:r w:rsidR="00A54A7B" w:rsidRPr="008B7E48">
        <w:rPr>
          <w:sz w:val="24"/>
          <w:lang w:val="en-US"/>
        </w:rPr>
        <w:t>HRQoL</w:t>
      </w:r>
      <w:proofErr w:type="spellEnd"/>
      <w:r w:rsidR="00A54A7B" w:rsidRPr="008B7E48">
        <w:rPr>
          <w:sz w:val="24"/>
          <w:lang w:val="en-US"/>
        </w:rPr>
        <w:t xml:space="preserve">, </w:t>
      </w:r>
      <w:proofErr w:type="gramStart"/>
      <w:r w:rsidR="00A54A7B" w:rsidRPr="008B7E48">
        <w:rPr>
          <w:i/>
          <w:sz w:val="24"/>
          <w:lang w:val="en-US"/>
        </w:rPr>
        <w:t>F</w:t>
      </w:r>
      <w:r w:rsidR="00A54A7B" w:rsidRPr="008B7E48">
        <w:rPr>
          <w:sz w:val="24"/>
          <w:lang w:val="en-US"/>
        </w:rPr>
        <w:t>(</w:t>
      </w:r>
      <w:proofErr w:type="gramEnd"/>
      <w:r w:rsidR="00A54A7B" w:rsidRPr="008B7E48">
        <w:rPr>
          <w:sz w:val="24"/>
          <w:lang w:val="en-US"/>
        </w:rPr>
        <w:t xml:space="preserve">1, 209) = 15.31, </w:t>
      </w:r>
      <w:r w:rsidR="00A54A7B" w:rsidRPr="008B7E48">
        <w:rPr>
          <w:i/>
          <w:sz w:val="24"/>
          <w:lang w:val="en-US"/>
        </w:rPr>
        <w:t>p</w:t>
      </w:r>
      <w:r w:rsidR="00A54A7B" w:rsidRPr="008B7E48">
        <w:rPr>
          <w:sz w:val="24"/>
          <w:lang w:val="en-US"/>
        </w:rPr>
        <w:t xml:space="preserve"> &lt; .001, partial </w:t>
      </w:r>
      <w:r w:rsidR="009D27F2" w:rsidRPr="000160F1">
        <w:rPr>
          <w:rFonts w:ascii="Symbol" w:hAnsi="Symbol"/>
          <w:szCs w:val="22"/>
          <w:lang w:eastAsia="pt-PT"/>
        </w:rPr>
        <w:t></w:t>
      </w:r>
      <w:r w:rsidR="009D27F2" w:rsidRPr="000160F1">
        <w:rPr>
          <w:szCs w:val="22"/>
          <w:vertAlign w:val="superscript"/>
          <w:lang w:val="en-US" w:eastAsia="pt-PT"/>
        </w:rPr>
        <w:t>2</w:t>
      </w:r>
      <w:r w:rsidR="009D27F2" w:rsidRPr="008B7E48">
        <w:rPr>
          <w:sz w:val="24"/>
          <w:lang w:val="en-US"/>
        </w:rPr>
        <w:t xml:space="preserve"> </w:t>
      </w:r>
      <w:r w:rsidR="00A54A7B" w:rsidRPr="008B7E48">
        <w:rPr>
          <w:sz w:val="24"/>
          <w:lang w:val="en-US"/>
        </w:rPr>
        <w:t xml:space="preserve">= .07. Children/adolescents on-treatment reported poorer </w:t>
      </w:r>
      <w:proofErr w:type="spellStart"/>
      <w:r w:rsidR="00A54A7B" w:rsidRPr="008B7E48">
        <w:rPr>
          <w:sz w:val="24"/>
          <w:lang w:val="en-US"/>
        </w:rPr>
        <w:t>HRQoL</w:t>
      </w:r>
      <w:proofErr w:type="spellEnd"/>
      <w:r w:rsidR="00A54A7B" w:rsidRPr="008B7E48">
        <w:rPr>
          <w:sz w:val="24"/>
          <w:lang w:val="en-US"/>
        </w:rPr>
        <w:t xml:space="preserve"> (</w:t>
      </w:r>
      <w:r w:rsidR="00A54A7B" w:rsidRPr="008B7E48">
        <w:rPr>
          <w:i/>
          <w:sz w:val="24"/>
          <w:lang w:val="en-US"/>
        </w:rPr>
        <w:t>M</w:t>
      </w:r>
      <w:r w:rsidR="00A54A7B" w:rsidRPr="008B7E48">
        <w:rPr>
          <w:sz w:val="24"/>
          <w:lang w:val="en-US"/>
        </w:rPr>
        <w:t xml:space="preserve"> = 4.06, </w:t>
      </w:r>
      <w:r w:rsidR="00A54A7B" w:rsidRPr="008B7E48">
        <w:rPr>
          <w:i/>
          <w:sz w:val="24"/>
          <w:lang w:val="en-US"/>
        </w:rPr>
        <w:t xml:space="preserve">SD </w:t>
      </w:r>
      <w:r w:rsidR="00A54A7B" w:rsidRPr="008B7E48">
        <w:rPr>
          <w:sz w:val="24"/>
          <w:lang w:val="en-US"/>
        </w:rPr>
        <w:t>= .67)</w:t>
      </w:r>
      <w:r w:rsidR="00A54A7B">
        <w:rPr>
          <w:sz w:val="24"/>
          <w:lang w:val="en-US"/>
        </w:rPr>
        <w:t xml:space="preserve"> </w:t>
      </w:r>
      <w:r w:rsidR="00A54A7B" w:rsidRPr="008B7E48">
        <w:rPr>
          <w:sz w:val="24"/>
          <w:lang w:val="en-US"/>
        </w:rPr>
        <w:t>than their counterparts who were off-treatment (</w:t>
      </w:r>
      <w:r w:rsidR="00A54A7B" w:rsidRPr="008B7E48">
        <w:rPr>
          <w:i/>
          <w:sz w:val="24"/>
          <w:lang w:val="en-US"/>
        </w:rPr>
        <w:t>M</w:t>
      </w:r>
      <w:r w:rsidR="00A54A7B" w:rsidRPr="008B7E48">
        <w:rPr>
          <w:sz w:val="24"/>
          <w:lang w:val="en-US"/>
        </w:rPr>
        <w:t xml:space="preserve"> = 4.39, </w:t>
      </w:r>
      <w:r w:rsidR="00A54A7B" w:rsidRPr="008B7E48">
        <w:rPr>
          <w:i/>
          <w:sz w:val="24"/>
          <w:lang w:val="en-US"/>
        </w:rPr>
        <w:t>SD</w:t>
      </w:r>
      <w:r w:rsidR="00A54A7B" w:rsidRPr="008B7E48">
        <w:rPr>
          <w:sz w:val="24"/>
          <w:lang w:val="en-US"/>
        </w:rPr>
        <w:t xml:space="preserve"> = .53). </w:t>
      </w:r>
      <w:r w:rsidR="00DA452D">
        <w:rPr>
          <w:sz w:val="24"/>
          <w:lang w:val="en-US"/>
        </w:rPr>
        <w:t xml:space="preserve">The two groups did not differ significantly in hope, </w:t>
      </w:r>
      <w:proofErr w:type="gramStart"/>
      <w:r w:rsidR="00DA452D" w:rsidRPr="008B7E48">
        <w:rPr>
          <w:i/>
          <w:sz w:val="24"/>
          <w:lang w:val="en-US"/>
        </w:rPr>
        <w:t>F</w:t>
      </w:r>
      <w:r w:rsidR="00DA452D" w:rsidRPr="008B7E48">
        <w:rPr>
          <w:sz w:val="24"/>
          <w:lang w:val="en-US"/>
        </w:rPr>
        <w:t>(</w:t>
      </w:r>
      <w:proofErr w:type="gramEnd"/>
      <w:r w:rsidR="00DA452D" w:rsidRPr="008B7E48">
        <w:rPr>
          <w:sz w:val="24"/>
          <w:lang w:val="en-US"/>
        </w:rPr>
        <w:t>1, 209) =</w:t>
      </w:r>
      <w:r w:rsidR="00DA452D">
        <w:rPr>
          <w:sz w:val="24"/>
          <w:lang w:val="en-US"/>
        </w:rPr>
        <w:t>.</w:t>
      </w:r>
      <w:r w:rsidR="00BF696A">
        <w:rPr>
          <w:sz w:val="24"/>
          <w:lang w:val="en-US"/>
        </w:rPr>
        <w:t>09</w:t>
      </w:r>
      <w:r w:rsidR="00DA452D" w:rsidRPr="008B7E48">
        <w:rPr>
          <w:sz w:val="24"/>
          <w:lang w:val="en-US"/>
        </w:rPr>
        <w:t xml:space="preserve">, </w:t>
      </w:r>
      <w:r w:rsidR="00DA452D" w:rsidRPr="008B7E48">
        <w:rPr>
          <w:i/>
          <w:sz w:val="24"/>
          <w:lang w:val="en-US"/>
        </w:rPr>
        <w:t>p</w:t>
      </w:r>
      <w:r w:rsidR="00DA452D" w:rsidRPr="008B7E48">
        <w:rPr>
          <w:sz w:val="24"/>
          <w:lang w:val="en-US"/>
        </w:rPr>
        <w:t xml:space="preserve"> </w:t>
      </w:r>
      <w:r w:rsidR="00DA452D">
        <w:rPr>
          <w:sz w:val="24"/>
          <w:lang w:val="en-US"/>
        </w:rPr>
        <w:t>=</w:t>
      </w:r>
      <w:r w:rsidR="00DA452D" w:rsidRPr="008B7E48">
        <w:rPr>
          <w:sz w:val="24"/>
          <w:lang w:val="en-US"/>
        </w:rPr>
        <w:t xml:space="preserve"> .</w:t>
      </w:r>
      <w:r w:rsidR="00BF696A">
        <w:rPr>
          <w:sz w:val="24"/>
          <w:lang w:val="en-US"/>
        </w:rPr>
        <w:t>767</w:t>
      </w:r>
      <w:r w:rsidR="00DA452D" w:rsidRPr="008B7E48">
        <w:rPr>
          <w:sz w:val="24"/>
          <w:lang w:val="en-US"/>
        </w:rPr>
        <w:t xml:space="preserve">, partial </w:t>
      </w:r>
      <w:r w:rsidR="00DA452D" w:rsidRPr="000160F1">
        <w:rPr>
          <w:rFonts w:ascii="Symbol" w:hAnsi="Symbol"/>
          <w:szCs w:val="22"/>
          <w:lang w:eastAsia="pt-PT"/>
        </w:rPr>
        <w:t></w:t>
      </w:r>
      <w:r w:rsidR="00DA452D" w:rsidRPr="000160F1">
        <w:rPr>
          <w:szCs w:val="22"/>
          <w:vertAlign w:val="superscript"/>
          <w:lang w:val="en-US" w:eastAsia="pt-PT"/>
        </w:rPr>
        <w:t>2</w:t>
      </w:r>
      <w:r w:rsidR="00DA452D" w:rsidRPr="008B7E48">
        <w:rPr>
          <w:sz w:val="24"/>
          <w:lang w:val="en-US"/>
        </w:rPr>
        <w:t xml:space="preserve"> = .</w:t>
      </w:r>
      <w:r w:rsidR="00BF696A">
        <w:rPr>
          <w:sz w:val="24"/>
          <w:lang w:val="en-US"/>
        </w:rPr>
        <w:t>000</w:t>
      </w:r>
      <w:r w:rsidR="00DA452D">
        <w:rPr>
          <w:sz w:val="24"/>
          <w:lang w:val="en-US"/>
        </w:rPr>
        <w:t xml:space="preserve">, or in anxiety, </w:t>
      </w:r>
      <w:r w:rsidR="00DA452D" w:rsidRPr="008B7E48">
        <w:rPr>
          <w:i/>
          <w:sz w:val="24"/>
          <w:lang w:val="en-US"/>
        </w:rPr>
        <w:t>F</w:t>
      </w:r>
      <w:r w:rsidR="00DA452D" w:rsidRPr="008B7E48">
        <w:rPr>
          <w:sz w:val="24"/>
          <w:lang w:val="en-US"/>
        </w:rPr>
        <w:t xml:space="preserve">(1, 209) = </w:t>
      </w:r>
      <w:r w:rsidR="00DA452D">
        <w:rPr>
          <w:sz w:val="24"/>
          <w:lang w:val="en-US"/>
        </w:rPr>
        <w:t>.</w:t>
      </w:r>
      <w:r w:rsidR="00BF696A">
        <w:rPr>
          <w:sz w:val="24"/>
          <w:lang w:val="en-US"/>
        </w:rPr>
        <w:t>24</w:t>
      </w:r>
      <w:r w:rsidR="00DA452D" w:rsidRPr="008B7E48">
        <w:rPr>
          <w:sz w:val="24"/>
          <w:lang w:val="en-US"/>
        </w:rPr>
        <w:t xml:space="preserve">, </w:t>
      </w:r>
      <w:r w:rsidR="00DA452D" w:rsidRPr="008B7E48">
        <w:rPr>
          <w:i/>
          <w:sz w:val="24"/>
          <w:lang w:val="en-US"/>
        </w:rPr>
        <w:t>p</w:t>
      </w:r>
      <w:r w:rsidR="00DA452D" w:rsidRPr="008B7E48">
        <w:rPr>
          <w:sz w:val="24"/>
          <w:lang w:val="en-US"/>
        </w:rPr>
        <w:t xml:space="preserve"> </w:t>
      </w:r>
      <w:r w:rsidR="00DA452D">
        <w:rPr>
          <w:sz w:val="24"/>
          <w:lang w:val="en-US"/>
        </w:rPr>
        <w:t>=</w:t>
      </w:r>
      <w:r w:rsidR="00DA452D" w:rsidRPr="008B7E48">
        <w:rPr>
          <w:sz w:val="24"/>
          <w:lang w:val="en-US"/>
        </w:rPr>
        <w:t xml:space="preserve"> .</w:t>
      </w:r>
      <w:r w:rsidR="00BF696A">
        <w:rPr>
          <w:sz w:val="24"/>
          <w:lang w:val="en-US"/>
        </w:rPr>
        <w:t>624</w:t>
      </w:r>
      <w:r w:rsidR="00DA452D" w:rsidRPr="008B7E48">
        <w:rPr>
          <w:sz w:val="24"/>
          <w:lang w:val="en-US"/>
        </w:rPr>
        <w:t xml:space="preserve">, partial </w:t>
      </w:r>
      <w:r w:rsidR="00DA452D" w:rsidRPr="000160F1">
        <w:rPr>
          <w:rFonts w:ascii="Symbol" w:hAnsi="Symbol"/>
          <w:szCs w:val="22"/>
          <w:lang w:eastAsia="pt-PT"/>
        </w:rPr>
        <w:t></w:t>
      </w:r>
      <w:r w:rsidR="00DA452D" w:rsidRPr="000160F1">
        <w:rPr>
          <w:szCs w:val="22"/>
          <w:vertAlign w:val="superscript"/>
          <w:lang w:val="en-US" w:eastAsia="pt-PT"/>
        </w:rPr>
        <w:t>2</w:t>
      </w:r>
      <w:r w:rsidR="00DA452D" w:rsidRPr="008B7E48">
        <w:rPr>
          <w:sz w:val="24"/>
          <w:lang w:val="en-US"/>
        </w:rPr>
        <w:t xml:space="preserve"> = .</w:t>
      </w:r>
      <w:r w:rsidR="00BF696A">
        <w:rPr>
          <w:sz w:val="24"/>
          <w:lang w:val="en-US"/>
        </w:rPr>
        <w:t>001</w:t>
      </w:r>
      <w:r w:rsidR="00DA452D" w:rsidRPr="008B7E48">
        <w:rPr>
          <w:sz w:val="24"/>
          <w:lang w:val="en-US"/>
        </w:rPr>
        <w:t xml:space="preserve">. </w:t>
      </w:r>
      <w:r w:rsidR="00DA452D">
        <w:rPr>
          <w:sz w:val="24"/>
          <w:lang w:val="en-US"/>
        </w:rPr>
        <w:t xml:space="preserve"> </w:t>
      </w:r>
    </w:p>
    <w:p w:rsidR="00A71895" w:rsidRDefault="00A71895" w:rsidP="009D27F2">
      <w:pPr>
        <w:spacing w:line="480" w:lineRule="auto"/>
        <w:contextualSpacing/>
        <w:jc w:val="left"/>
        <w:rPr>
          <w:sz w:val="24"/>
          <w:lang w:val="en-US"/>
        </w:rPr>
      </w:pPr>
    </w:p>
    <w:p w:rsidR="00A71895" w:rsidRDefault="00A71895" w:rsidP="00A71895">
      <w:pPr>
        <w:autoSpaceDE w:val="0"/>
        <w:autoSpaceDN w:val="0"/>
        <w:adjustRightInd w:val="0"/>
        <w:spacing w:line="480" w:lineRule="auto"/>
        <w:jc w:val="left"/>
        <w:rPr>
          <w:i/>
          <w:sz w:val="24"/>
          <w:lang w:val="en-US"/>
        </w:rPr>
      </w:pPr>
      <w:r>
        <w:rPr>
          <w:i/>
          <w:sz w:val="24"/>
          <w:lang w:val="en-US"/>
        </w:rPr>
        <w:t xml:space="preserve">Table </w:t>
      </w:r>
      <w:r w:rsidR="001A1EC1">
        <w:rPr>
          <w:i/>
          <w:sz w:val="24"/>
          <w:lang w:val="en-US"/>
        </w:rPr>
        <w:t>3</w:t>
      </w:r>
      <w:r>
        <w:rPr>
          <w:i/>
          <w:sz w:val="24"/>
          <w:lang w:val="en-US"/>
        </w:rPr>
        <w:t xml:space="preserve"> about here</w:t>
      </w:r>
    </w:p>
    <w:p w:rsidR="00A71895" w:rsidRPr="008B7E48" w:rsidRDefault="00A71895" w:rsidP="009D27F2">
      <w:pPr>
        <w:spacing w:line="480" w:lineRule="auto"/>
        <w:contextualSpacing/>
        <w:jc w:val="left"/>
        <w:rPr>
          <w:sz w:val="24"/>
          <w:lang w:val="en-US"/>
        </w:rPr>
      </w:pPr>
    </w:p>
    <w:p w:rsidR="00A54A7B" w:rsidRPr="008B7E48" w:rsidRDefault="00886693" w:rsidP="00A54A7B">
      <w:pPr>
        <w:spacing w:line="480" w:lineRule="auto"/>
        <w:contextualSpacing/>
        <w:jc w:val="left"/>
        <w:rPr>
          <w:sz w:val="24"/>
          <w:lang w:val="en-US"/>
        </w:rPr>
      </w:pPr>
      <w:r>
        <w:rPr>
          <w:sz w:val="24"/>
          <w:lang w:val="en-US"/>
        </w:rPr>
        <w:t>C</w:t>
      </w:r>
      <w:r w:rsidR="00A54A7B" w:rsidRPr="008B7E48">
        <w:rPr>
          <w:sz w:val="24"/>
          <w:lang w:val="en-US"/>
        </w:rPr>
        <w:t>orrelation</w:t>
      </w:r>
      <w:r>
        <w:rPr>
          <w:sz w:val="24"/>
          <w:lang w:val="en-US"/>
        </w:rPr>
        <w:t>al analyses</w:t>
      </w:r>
      <w:r w:rsidR="00A54A7B" w:rsidRPr="008B7E48">
        <w:rPr>
          <w:sz w:val="24"/>
          <w:lang w:val="en-US"/>
        </w:rPr>
        <w:t xml:space="preserve"> </w:t>
      </w:r>
      <w:r w:rsidR="00E14777">
        <w:rPr>
          <w:sz w:val="24"/>
          <w:lang w:val="en-US"/>
        </w:rPr>
        <w:t>revealed</w:t>
      </w:r>
      <w:r w:rsidR="00E14777" w:rsidRPr="008B7E48">
        <w:rPr>
          <w:sz w:val="24"/>
          <w:lang w:val="en-US"/>
        </w:rPr>
        <w:t xml:space="preserve"> </w:t>
      </w:r>
      <w:r w:rsidR="00A54A7B" w:rsidRPr="008B7E48">
        <w:rPr>
          <w:sz w:val="24"/>
          <w:lang w:val="en-US"/>
        </w:rPr>
        <w:t xml:space="preserve">that, as expected, children’s hope was negatively </w:t>
      </w:r>
      <w:r w:rsidR="00861C15">
        <w:rPr>
          <w:sz w:val="24"/>
          <w:lang w:val="en-US"/>
        </w:rPr>
        <w:t>associated</w:t>
      </w:r>
      <w:r w:rsidR="00861C15" w:rsidRPr="008B7E48">
        <w:rPr>
          <w:sz w:val="24"/>
          <w:lang w:val="en-US"/>
        </w:rPr>
        <w:t xml:space="preserve"> </w:t>
      </w:r>
      <w:r w:rsidR="00DA452D">
        <w:rPr>
          <w:sz w:val="24"/>
          <w:lang w:val="en-US"/>
        </w:rPr>
        <w:t>with</w:t>
      </w:r>
      <w:r w:rsidR="00DA452D" w:rsidRPr="008B7E48">
        <w:rPr>
          <w:sz w:val="24"/>
          <w:lang w:val="en-US"/>
        </w:rPr>
        <w:t xml:space="preserve"> </w:t>
      </w:r>
      <w:r w:rsidR="00A54A7B" w:rsidRPr="008B7E48">
        <w:rPr>
          <w:sz w:val="24"/>
          <w:lang w:val="en-US"/>
        </w:rPr>
        <w:t xml:space="preserve">anxiety and positively </w:t>
      </w:r>
      <w:r w:rsidR="00861C15">
        <w:rPr>
          <w:sz w:val="24"/>
          <w:lang w:val="en-US"/>
        </w:rPr>
        <w:t>associated</w:t>
      </w:r>
      <w:r w:rsidR="00861C15" w:rsidRPr="008B7E48">
        <w:rPr>
          <w:sz w:val="24"/>
          <w:lang w:val="en-US"/>
        </w:rPr>
        <w:t xml:space="preserve"> </w:t>
      </w:r>
      <w:r w:rsidR="00DA452D">
        <w:rPr>
          <w:sz w:val="24"/>
          <w:lang w:val="en-US"/>
        </w:rPr>
        <w:t>with</w:t>
      </w:r>
      <w:r w:rsidR="00DA452D" w:rsidRPr="008B7E48">
        <w:rPr>
          <w:sz w:val="24"/>
          <w:lang w:val="en-US"/>
        </w:rPr>
        <w:t xml:space="preserve"> </w:t>
      </w:r>
      <w:proofErr w:type="spellStart"/>
      <w:r w:rsidR="00A54A7B" w:rsidRPr="008B7E48">
        <w:rPr>
          <w:sz w:val="24"/>
          <w:lang w:val="en-US"/>
        </w:rPr>
        <w:t>HRQoL</w:t>
      </w:r>
      <w:proofErr w:type="spellEnd"/>
      <w:r w:rsidR="00A54A7B" w:rsidRPr="008B7E48">
        <w:rPr>
          <w:sz w:val="24"/>
          <w:lang w:val="en-US"/>
        </w:rPr>
        <w:t xml:space="preserve"> in both clinical groups. Additionally, also as predicted, anxiety was negatively associated with </w:t>
      </w:r>
      <w:proofErr w:type="spellStart"/>
      <w:r w:rsidR="00A54A7B" w:rsidRPr="008B7E48">
        <w:rPr>
          <w:sz w:val="24"/>
          <w:lang w:val="en-US"/>
        </w:rPr>
        <w:t>HRQoL</w:t>
      </w:r>
      <w:proofErr w:type="spellEnd"/>
      <w:r w:rsidR="00E25383">
        <w:rPr>
          <w:sz w:val="24"/>
          <w:lang w:val="en-US"/>
        </w:rPr>
        <w:t xml:space="preserve"> </w:t>
      </w:r>
      <w:r w:rsidR="001E4506">
        <w:rPr>
          <w:sz w:val="24"/>
          <w:lang w:val="en-US"/>
        </w:rPr>
        <w:t xml:space="preserve">for participants in both </w:t>
      </w:r>
      <w:r w:rsidR="00DA452D">
        <w:rPr>
          <w:sz w:val="24"/>
          <w:lang w:val="en-US"/>
        </w:rPr>
        <w:t xml:space="preserve">the </w:t>
      </w:r>
      <w:r w:rsidR="001E4506">
        <w:rPr>
          <w:sz w:val="24"/>
          <w:lang w:val="en-US"/>
        </w:rPr>
        <w:t>on</w:t>
      </w:r>
      <w:r w:rsidR="00DA452D">
        <w:rPr>
          <w:sz w:val="24"/>
          <w:lang w:val="en-US"/>
        </w:rPr>
        <w:t>-treatment</w:t>
      </w:r>
      <w:r w:rsidR="001E4506">
        <w:rPr>
          <w:sz w:val="24"/>
          <w:lang w:val="en-US"/>
        </w:rPr>
        <w:t xml:space="preserve"> and off-treatment groups</w:t>
      </w:r>
      <w:r w:rsidR="00A54A7B" w:rsidRPr="008B7E48">
        <w:rPr>
          <w:sz w:val="24"/>
          <w:lang w:val="en-US"/>
        </w:rPr>
        <w:t>.</w:t>
      </w:r>
      <w:r w:rsidR="00F07D88">
        <w:rPr>
          <w:sz w:val="24"/>
          <w:lang w:val="en-US"/>
        </w:rPr>
        <w:t xml:space="preserve"> </w:t>
      </w:r>
      <w:r w:rsidR="00F07D88" w:rsidRPr="00F07D88">
        <w:rPr>
          <w:sz w:val="24"/>
          <w:lang w:val="en-US"/>
        </w:rPr>
        <w:t>The</w:t>
      </w:r>
      <w:r w:rsidR="00F07D88">
        <w:rPr>
          <w:sz w:val="24"/>
          <w:lang w:val="en-US"/>
        </w:rPr>
        <w:t xml:space="preserve"> age and the </w:t>
      </w:r>
      <w:r w:rsidR="00F07D88" w:rsidRPr="00F07D88">
        <w:rPr>
          <w:sz w:val="24"/>
          <w:lang w:val="en-US"/>
        </w:rPr>
        <w:t xml:space="preserve">length of time off-therapy was not </w:t>
      </w:r>
      <w:r w:rsidR="00E14777">
        <w:rPr>
          <w:sz w:val="24"/>
          <w:lang w:val="en-US"/>
        </w:rPr>
        <w:t>associated</w:t>
      </w:r>
      <w:r w:rsidR="00E14777" w:rsidRPr="00F07D88">
        <w:rPr>
          <w:sz w:val="24"/>
          <w:lang w:val="en-US"/>
        </w:rPr>
        <w:t xml:space="preserve"> </w:t>
      </w:r>
      <w:r w:rsidR="00F07D88" w:rsidRPr="00F07D88">
        <w:rPr>
          <w:sz w:val="24"/>
          <w:lang w:val="en-US"/>
        </w:rPr>
        <w:t>with any of the study variables</w:t>
      </w:r>
      <w:r w:rsidR="00E25383">
        <w:rPr>
          <w:sz w:val="24"/>
          <w:lang w:val="en-US"/>
        </w:rPr>
        <w:t xml:space="preserve"> </w:t>
      </w:r>
      <w:r w:rsidR="00E25383" w:rsidRPr="008B7E48">
        <w:rPr>
          <w:sz w:val="24"/>
          <w:lang w:val="en-US"/>
        </w:rPr>
        <w:t xml:space="preserve">(see </w:t>
      </w:r>
      <w:r w:rsidR="00E25383">
        <w:rPr>
          <w:sz w:val="24"/>
          <w:lang w:val="en-US"/>
        </w:rPr>
        <w:t>Table</w:t>
      </w:r>
      <w:r w:rsidR="00E25383" w:rsidRPr="008B7E48">
        <w:rPr>
          <w:sz w:val="24"/>
          <w:lang w:val="en-US"/>
        </w:rPr>
        <w:t xml:space="preserve"> </w:t>
      </w:r>
      <w:r w:rsidR="00E25383">
        <w:rPr>
          <w:sz w:val="24"/>
          <w:lang w:val="en-US"/>
        </w:rPr>
        <w:t>2</w:t>
      </w:r>
      <w:r w:rsidR="00E25383" w:rsidRPr="008B7E48">
        <w:rPr>
          <w:sz w:val="24"/>
          <w:lang w:val="en-US"/>
        </w:rPr>
        <w:t>)</w:t>
      </w:r>
      <w:r w:rsidR="00F07D88" w:rsidRPr="00F07D88">
        <w:rPr>
          <w:sz w:val="24"/>
          <w:lang w:val="en-US"/>
        </w:rPr>
        <w:t>.</w:t>
      </w:r>
    </w:p>
    <w:p w:rsidR="00A54A7B" w:rsidRPr="008B7E48" w:rsidRDefault="00A54A7B" w:rsidP="00A54A7B">
      <w:pPr>
        <w:spacing w:line="480" w:lineRule="auto"/>
        <w:ind w:firstLine="0"/>
        <w:contextualSpacing/>
        <w:jc w:val="left"/>
        <w:rPr>
          <w:b/>
          <w:sz w:val="24"/>
          <w:lang w:val="en-US"/>
        </w:rPr>
      </w:pPr>
      <w:r w:rsidRPr="008B7E48">
        <w:rPr>
          <w:b/>
          <w:sz w:val="24"/>
          <w:lang w:val="en-US"/>
        </w:rPr>
        <w:t>Moderated Mediation Analyses</w:t>
      </w:r>
    </w:p>
    <w:p w:rsidR="00C8617A" w:rsidRDefault="00A54A7B" w:rsidP="00540072">
      <w:pPr>
        <w:autoSpaceDE w:val="0"/>
        <w:autoSpaceDN w:val="0"/>
        <w:adjustRightInd w:val="0"/>
        <w:spacing w:line="480" w:lineRule="auto"/>
        <w:ind w:firstLine="0"/>
        <w:jc w:val="left"/>
        <w:rPr>
          <w:sz w:val="24"/>
          <w:lang w:val="en-US"/>
        </w:rPr>
      </w:pPr>
      <w:r w:rsidRPr="008B7E48">
        <w:rPr>
          <w:sz w:val="24"/>
          <w:lang w:val="en-US"/>
        </w:rPr>
        <w:t xml:space="preserve">We hypothesized that children and adolescents’ hope scores would be </w:t>
      </w:r>
      <w:r w:rsidR="00AD5BB0">
        <w:rPr>
          <w:sz w:val="24"/>
          <w:lang w:val="en-US"/>
        </w:rPr>
        <w:t>associated</w:t>
      </w:r>
      <w:r w:rsidR="00847BAF" w:rsidRPr="008B7E48">
        <w:rPr>
          <w:sz w:val="24"/>
          <w:lang w:val="en-US"/>
        </w:rPr>
        <w:t xml:space="preserve"> </w:t>
      </w:r>
      <w:r w:rsidR="00DA452D">
        <w:rPr>
          <w:sz w:val="24"/>
          <w:lang w:val="en-US"/>
        </w:rPr>
        <w:t>with</w:t>
      </w:r>
      <w:r w:rsidR="00DA452D" w:rsidRPr="008B7E48">
        <w:rPr>
          <w:sz w:val="24"/>
          <w:lang w:val="en-US"/>
        </w:rPr>
        <w:t xml:space="preserve"> </w:t>
      </w:r>
      <w:proofErr w:type="spellStart"/>
      <w:r w:rsidRPr="008B7E48">
        <w:rPr>
          <w:sz w:val="24"/>
          <w:lang w:val="en-US"/>
        </w:rPr>
        <w:t>HRQoL</w:t>
      </w:r>
      <w:proofErr w:type="spellEnd"/>
      <w:r w:rsidRPr="008B7E48">
        <w:rPr>
          <w:sz w:val="24"/>
          <w:lang w:val="en-US"/>
        </w:rPr>
        <w:t xml:space="preserve"> via anxiety levels. Moreover, we aimed to examine if </w:t>
      </w:r>
      <w:r w:rsidR="00DA452D">
        <w:rPr>
          <w:sz w:val="24"/>
          <w:lang w:val="en-US"/>
        </w:rPr>
        <w:t>the</w:t>
      </w:r>
      <w:r w:rsidR="00DA452D" w:rsidRPr="008B7E48">
        <w:rPr>
          <w:sz w:val="24"/>
          <w:lang w:val="en-US"/>
        </w:rPr>
        <w:t xml:space="preserve"> </w:t>
      </w:r>
      <w:r w:rsidRPr="008B7E48">
        <w:rPr>
          <w:sz w:val="24"/>
          <w:lang w:val="en-US"/>
        </w:rPr>
        <w:t>mediation model would be different for on</w:t>
      </w:r>
      <w:r w:rsidR="00DA452D">
        <w:rPr>
          <w:sz w:val="24"/>
          <w:lang w:val="en-US"/>
        </w:rPr>
        <w:t>-treatment as compared to</w:t>
      </w:r>
      <w:r w:rsidRPr="008B7E48">
        <w:rPr>
          <w:sz w:val="24"/>
          <w:lang w:val="en-US"/>
        </w:rPr>
        <w:t xml:space="preserve"> off-treatment</w:t>
      </w:r>
      <w:r w:rsidR="00DA452D">
        <w:rPr>
          <w:sz w:val="24"/>
          <w:lang w:val="en-US"/>
        </w:rPr>
        <w:t xml:space="preserve"> children and adolescents</w:t>
      </w:r>
      <w:r w:rsidRPr="008B7E48">
        <w:rPr>
          <w:sz w:val="24"/>
          <w:lang w:val="en-US"/>
        </w:rPr>
        <w:t>.</w:t>
      </w:r>
    </w:p>
    <w:p w:rsidR="002709DB" w:rsidRDefault="007A0FFE" w:rsidP="00FF4B23">
      <w:pPr>
        <w:autoSpaceDE w:val="0"/>
        <w:autoSpaceDN w:val="0"/>
        <w:adjustRightInd w:val="0"/>
        <w:spacing w:line="480" w:lineRule="auto"/>
        <w:jc w:val="left"/>
        <w:rPr>
          <w:sz w:val="24"/>
          <w:lang w:val="en-US"/>
        </w:rPr>
      </w:pPr>
      <w:r>
        <w:rPr>
          <w:sz w:val="24"/>
          <w:lang w:val="en-US"/>
        </w:rPr>
        <w:t xml:space="preserve">In order to test this model, we conducted a multiple regression and a bootstrapping procedure (Preacher </w:t>
      </w:r>
      <w:r w:rsidR="008A5777">
        <w:rPr>
          <w:sz w:val="24"/>
          <w:lang w:val="en-US"/>
        </w:rPr>
        <w:t>&amp;</w:t>
      </w:r>
      <w:r>
        <w:rPr>
          <w:sz w:val="24"/>
          <w:lang w:val="en-US"/>
        </w:rPr>
        <w:t xml:space="preserve"> Hayes, 2008: Hayes, 2013), using hope as independent variable, anxiety as mediator and </w:t>
      </w:r>
      <w:proofErr w:type="spellStart"/>
      <w:r>
        <w:rPr>
          <w:sz w:val="24"/>
          <w:lang w:val="en-US"/>
        </w:rPr>
        <w:t>HRQoL</w:t>
      </w:r>
      <w:proofErr w:type="spellEnd"/>
      <w:r>
        <w:rPr>
          <w:sz w:val="24"/>
          <w:lang w:val="en-US"/>
        </w:rPr>
        <w:t xml:space="preserve"> as dependent variable. Our </w:t>
      </w:r>
      <w:r>
        <w:rPr>
          <w:rFonts w:eastAsia="AdvTimes"/>
          <w:sz w:val="24"/>
          <w:lang w:val="en-US"/>
        </w:rPr>
        <w:t>r</w:t>
      </w:r>
      <w:r w:rsidR="00A54A7B" w:rsidRPr="008B7E48">
        <w:rPr>
          <w:rFonts w:eastAsia="AdvTimes"/>
          <w:sz w:val="24"/>
          <w:lang w:val="en-US"/>
        </w:rPr>
        <w:t xml:space="preserve">esults </w:t>
      </w:r>
      <w:r w:rsidR="00E14777">
        <w:rPr>
          <w:rFonts w:eastAsia="AdvTimes"/>
          <w:sz w:val="24"/>
          <w:lang w:val="en-US"/>
        </w:rPr>
        <w:t>revealed</w:t>
      </w:r>
      <w:r w:rsidR="00E14777" w:rsidRPr="008B7E48">
        <w:rPr>
          <w:rFonts w:eastAsia="AdvTimes"/>
          <w:sz w:val="24"/>
          <w:lang w:val="en-US"/>
        </w:rPr>
        <w:t xml:space="preserve"> </w:t>
      </w:r>
      <w:r w:rsidR="00A54A7B" w:rsidRPr="008B7E48">
        <w:rPr>
          <w:rFonts w:eastAsia="AdvTimes"/>
          <w:sz w:val="24"/>
          <w:lang w:val="en-US"/>
        </w:rPr>
        <w:t xml:space="preserve">the presence of a significant indirect effect on the </w:t>
      </w:r>
      <w:r w:rsidR="00847BAF">
        <w:rPr>
          <w:rFonts w:eastAsia="AdvTimes"/>
          <w:sz w:val="24"/>
          <w:lang w:val="en-US"/>
        </w:rPr>
        <w:t xml:space="preserve">relationship </w:t>
      </w:r>
      <w:r w:rsidR="00A54A7B" w:rsidRPr="008B7E48">
        <w:rPr>
          <w:rFonts w:eastAsia="AdvTimes"/>
          <w:sz w:val="24"/>
          <w:lang w:val="en-US"/>
        </w:rPr>
        <w:t xml:space="preserve">between hope and </w:t>
      </w:r>
      <w:proofErr w:type="spellStart"/>
      <w:r w:rsidR="00A54A7B" w:rsidRPr="008B7E48">
        <w:rPr>
          <w:rFonts w:eastAsia="AdvTimes"/>
          <w:sz w:val="24"/>
          <w:lang w:val="en-US"/>
        </w:rPr>
        <w:t>HRQoL</w:t>
      </w:r>
      <w:proofErr w:type="spellEnd"/>
      <w:r w:rsidR="00A54A7B" w:rsidRPr="008B7E48">
        <w:rPr>
          <w:rFonts w:eastAsia="AdvTimes"/>
          <w:sz w:val="24"/>
          <w:lang w:val="en-US"/>
        </w:rPr>
        <w:t xml:space="preserve"> via anxiety. Only one significant interaction was found in this model: anxiety x clinical group </w:t>
      </w:r>
      <w:r w:rsidR="00A54A7B" w:rsidRPr="006D5959">
        <w:rPr>
          <w:sz w:val="24"/>
          <w:lang w:val="en-US"/>
        </w:rPr>
        <w:t>(B = -.82;</w:t>
      </w:r>
      <w:r w:rsidR="00A54A7B" w:rsidRPr="006D5959">
        <w:rPr>
          <w:i/>
          <w:sz w:val="24"/>
          <w:lang w:val="en-US"/>
        </w:rPr>
        <w:t xml:space="preserve"> t</w:t>
      </w:r>
      <w:r w:rsidR="00A54A7B" w:rsidRPr="006D5959">
        <w:rPr>
          <w:sz w:val="24"/>
          <w:lang w:val="en-US"/>
        </w:rPr>
        <w:t xml:space="preserve"> = -2.17, </w:t>
      </w:r>
      <w:r w:rsidR="00A54A7B" w:rsidRPr="006D5959">
        <w:rPr>
          <w:i/>
          <w:sz w:val="24"/>
          <w:lang w:val="en-US"/>
        </w:rPr>
        <w:t>p</w:t>
      </w:r>
      <w:r w:rsidR="00A54A7B" w:rsidRPr="006D5959">
        <w:rPr>
          <w:sz w:val="24"/>
          <w:lang w:val="en-US"/>
        </w:rPr>
        <w:t xml:space="preserve"> = .03)</w:t>
      </w:r>
      <w:r w:rsidR="00A54A7B" w:rsidRPr="006D5959">
        <w:rPr>
          <w:rFonts w:eastAsia="AdvTimes"/>
          <w:sz w:val="24"/>
          <w:lang w:val="en-US"/>
        </w:rPr>
        <w:t>,</w:t>
      </w:r>
      <w:r w:rsidR="00A54A7B" w:rsidRPr="008B7E48">
        <w:rPr>
          <w:rFonts w:eastAsia="AdvTimes"/>
          <w:sz w:val="24"/>
          <w:lang w:val="en-US"/>
        </w:rPr>
        <w:t xml:space="preserve"> indicating that the association between anxiety and </w:t>
      </w:r>
      <w:proofErr w:type="spellStart"/>
      <w:r w:rsidR="00A54A7B" w:rsidRPr="008B7E48">
        <w:rPr>
          <w:rFonts w:eastAsia="AdvTimes"/>
          <w:sz w:val="24"/>
          <w:lang w:val="en-US"/>
        </w:rPr>
        <w:t>HRQoL</w:t>
      </w:r>
      <w:proofErr w:type="spellEnd"/>
      <w:r w:rsidR="00A54A7B" w:rsidRPr="008B7E48">
        <w:rPr>
          <w:rFonts w:eastAsia="AdvTimes"/>
          <w:sz w:val="24"/>
          <w:lang w:val="en-US"/>
        </w:rPr>
        <w:t xml:space="preserve"> was different for children/adolescents on-treatment and off-treatment. </w:t>
      </w:r>
      <w:r w:rsidR="00FF4B23">
        <w:rPr>
          <w:sz w:val="24"/>
          <w:lang w:val="en-US"/>
        </w:rPr>
        <w:t>T</w:t>
      </w:r>
      <w:r w:rsidR="002D3E0C">
        <w:rPr>
          <w:sz w:val="24"/>
          <w:lang w:val="en-US"/>
        </w:rPr>
        <w:t>o examine how th</w:t>
      </w:r>
      <w:r w:rsidR="005C16E1">
        <w:rPr>
          <w:sz w:val="24"/>
          <w:lang w:val="en-US"/>
        </w:rPr>
        <w:t>is</w:t>
      </w:r>
      <w:r w:rsidR="002D3E0C">
        <w:rPr>
          <w:sz w:val="24"/>
          <w:lang w:val="en-US"/>
        </w:rPr>
        <w:t xml:space="preserve"> association </w:t>
      </w:r>
      <w:r w:rsidR="00B9508E">
        <w:rPr>
          <w:sz w:val="24"/>
          <w:lang w:val="en-US"/>
        </w:rPr>
        <w:t xml:space="preserve">between anxiety and </w:t>
      </w:r>
      <w:proofErr w:type="spellStart"/>
      <w:r w:rsidR="00B9508E">
        <w:rPr>
          <w:sz w:val="24"/>
          <w:lang w:val="en-US"/>
        </w:rPr>
        <w:t>HRQoL</w:t>
      </w:r>
      <w:proofErr w:type="spellEnd"/>
      <w:r w:rsidR="00B9508E">
        <w:rPr>
          <w:sz w:val="24"/>
          <w:lang w:val="en-US"/>
        </w:rPr>
        <w:t xml:space="preserve"> </w:t>
      </w:r>
      <w:r w:rsidR="002D3E0C">
        <w:rPr>
          <w:sz w:val="24"/>
          <w:lang w:val="en-US"/>
        </w:rPr>
        <w:t>varied according to clinical group, we performed regression anal</w:t>
      </w:r>
      <w:r w:rsidR="00FF4B23">
        <w:rPr>
          <w:sz w:val="24"/>
          <w:lang w:val="en-US"/>
        </w:rPr>
        <w:t>yses. Results</w:t>
      </w:r>
      <w:r w:rsidR="00A54A7B" w:rsidRPr="002709DB">
        <w:rPr>
          <w:sz w:val="24"/>
          <w:lang w:val="en-US"/>
        </w:rPr>
        <w:t xml:space="preserve"> confirmed the significant interaction between anxiety and clinical group </w:t>
      </w:r>
      <w:r w:rsidR="00540072">
        <w:rPr>
          <w:sz w:val="24"/>
          <w:lang w:val="en-US"/>
        </w:rPr>
        <w:t xml:space="preserve">was significantly </w:t>
      </w:r>
      <w:r w:rsidR="00AD5BB0">
        <w:rPr>
          <w:sz w:val="24"/>
          <w:lang w:val="en-US"/>
        </w:rPr>
        <w:t>associated</w:t>
      </w:r>
      <w:r w:rsidR="00AD5BB0" w:rsidRPr="002709DB">
        <w:rPr>
          <w:sz w:val="24"/>
          <w:lang w:val="en-US"/>
        </w:rPr>
        <w:t xml:space="preserve"> </w:t>
      </w:r>
      <w:r w:rsidR="00A54A7B" w:rsidRPr="002709DB">
        <w:rPr>
          <w:sz w:val="24"/>
          <w:lang w:val="en-US"/>
        </w:rPr>
        <w:t xml:space="preserve">to </w:t>
      </w:r>
      <w:proofErr w:type="spellStart"/>
      <w:r w:rsidR="00A54A7B" w:rsidRPr="002709DB">
        <w:rPr>
          <w:sz w:val="24"/>
          <w:lang w:val="en-US"/>
        </w:rPr>
        <w:t>HRQoL</w:t>
      </w:r>
      <w:proofErr w:type="spellEnd"/>
      <w:r w:rsidR="00A54A7B" w:rsidRPr="002709DB">
        <w:rPr>
          <w:sz w:val="24"/>
          <w:lang w:val="en-US"/>
        </w:rPr>
        <w:t xml:space="preserve"> (B = -.88; </w:t>
      </w:r>
      <w:r w:rsidR="00A54A7B" w:rsidRPr="002709DB">
        <w:rPr>
          <w:i/>
          <w:sz w:val="24"/>
          <w:lang w:val="en-US"/>
        </w:rPr>
        <w:t xml:space="preserve">t </w:t>
      </w:r>
      <w:r w:rsidR="00A54A7B" w:rsidRPr="002709DB">
        <w:rPr>
          <w:sz w:val="24"/>
          <w:lang w:val="en-US"/>
        </w:rPr>
        <w:t xml:space="preserve">= -2.38; </w:t>
      </w:r>
      <w:r w:rsidR="00A54A7B" w:rsidRPr="002709DB">
        <w:rPr>
          <w:i/>
          <w:sz w:val="24"/>
          <w:lang w:val="en-US"/>
        </w:rPr>
        <w:t xml:space="preserve">p &lt; </w:t>
      </w:r>
      <w:r w:rsidR="00A54A7B" w:rsidRPr="002709DB">
        <w:rPr>
          <w:sz w:val="24"/>
          <w:lang w:val="en-US"/>
        </w:rPr>
        <w:t>.05</w:t>
      </w:r>
      <w:r w:rsidR="002709DB" w:rsidRPr="002709DB">
        <w:rPr>
          <w:sz w:val="24"/>
          <w:lang w:val="en-US"/>
        </w:rPr>
        <w:t xml:space="preserve">; </w:t>
      </w:r>
      <w:r w:rsidR="002709DB" w:rsidRPr="008B7E48">
        <w:rPr>
          <w:sz w:val="24"/>
          <w:lang w:val="en-US"/>
        </w:rPr>
        <w:t xml:space="preserve">see </w:t>
      </w:r>
      <w:r w:rsidR="002709DB">
        <w:rPr>
          <w:sz w:val="24"/>
          <w:lang w:val="en-US"/>
        </w:rPr>
        <w:t xml:space="preserve">Table </w:t>
      </w:r>
      <w:r w:rsidR="00952241">
        <w:rPr>
          <w:sz w:val="24"/>
          <w:lang w:val="en-US"/>
        </w:rPr>
        <w:t>4</w:t>
      </w:r>
      <w:r w:rsidR="00A54A7B" w:rsidRPr="002709DB">
        <w:rPr>
          <w:sz w:val="24"/>
          <w:lang w:val="en-US"/>
        </w:rPr>
        <w:t>).</w:t>
      </w:r>
      <w:r w:rsidR="00A54A7B" w:rsidRPr="00CA7E3C">
        <w:rPr>
          <w:sz w:val="24"/>
          <w:lang w:val="en-US"/>
        </w:rPr>
        <w:t xml:space="preserve"> </w:t>
      </w:r>
    </w:p>
    <w:p w:rsidR="002709DB" w:rsidRDefault="002709DB" w:rsidP="00A54A7B">
      <w:pPr>
        <w:autoSpaceDE w:val="0"/>
        <w:autoSpaceDN w:val="0"/>
        <w:adjustRightInd w:val="0"/>
        <w:spacing w:line="480" w:lineRule="auto"/>
        <w:jc w:val="left"/>
        <w:rPr>
          <w:sz w:val="24"/>
          <w:lang w:val="en-US"/>
        </w:rPr>
      </w:pPr>
    </w:p>
    <w:p w:rsidR="002709DB" w:rsidRPr="007E771D" w:rsidRDefault="002709DB" w:rsidP="002709DB">
      <w:pPr>
        <w:autoSpaceDE w:val="0"/>
        <w:autoSpaceDN w:val="0"/>
        <w:adjustRightInd w:val="0"/>
        <w:spacing w:line="480" w:lineRule="auto"/>
        <w:jc w:val="left"/>
        <w:rPr>
          <w:i/>
          <w:sz w:val="24"/>
          <w:lang w:val="en-US"/>
        </w:rPr>
      </w:pPr>
      <w:r>
        <w:rPr>
          <w:i/>
          <w:sz w:val="24"/>
          <w:lang w:val="en-US"/>
        </w:rPr>
        <w:lastRenderedPageBreak/>
        <w:t xml:space="preserve">Table </w:t>
      </w:r>
      <w:r w:rsidR="00741003">
        <w:rPr>
          <w:i/>
          <w:sz w:val="24"/>
          <w:lang w:val="en-US"/>
        </w:rPr>
        <w:t xml:space="preserve">4 </w:t>
      </w:r>
      <w:r>
        <w:rPr>
          <w:i/>
          <w:sz w:val="24"/>
          <w:lang w:val="en-US"/>
        </w:rPr>
        <w:t>about here</w:t>
      </w:r>
    </w:p>
    <w:p w:rsidR="002709DB" w:rsidRDefault="002709DB" w:rsidP="00A54A7B">
      <w:pPr>
        <w:autoSpaceDE w:val="0"/>
        <w:autoSpaceDN w:val="0"/>
        <w:adjustRightInd w:val="0"/>
        <w:spacing w:line="480" w:lineRule="auto"/>
        <w:jc w:val="left"/>
        <w:rPr>
          <w:sz w:val="24"/>
          <w:lang w:val="en-US"/>
        </w:rPr>
      </w:pPr>
    </w:p>
    <w:p w:rsidR="00A54A7B" w:rsidRDefault="00A54A7B" w:rsidP="00A54A7B">
      <w:pPr>
        <w:autoSpaceDE w:val="0"/>
        <w:autoSpaceDN w:val="0"/>
        <w:adjustRightInd w:val="0"/>
        <w:spacing w:line="480" w:lineRule="auto"/>
        <w:jc w:val="left"/>
        <w:rPr>
          <w:sz w:val="24"/>
          <w:lang w:val="en-US"/>
        </w:rPr>
      </w:pPr>
      <w:r w:rsidRPr="00CA7E3C">
        <w:rPr>
          <w:sz w:val="24"/>
          <w:lang w:val="en-US"/>
        </w:rPr>
        <w:t xml:space="preserve">Post-hoc simple slopes analyses revealed that anxiety levels were more strongly associated with </w:t>
      </w:r>
      <w:proofErr w:type="spellStart"/>
      <w:r w:rsidRPr="00CA7E3C">
        <w:rPr>
          <w:sz w:val="24"/>
          <w:lang w:val="en-US"/>
        </w:rPr>
        <w:t>HRQoL</w:t>
      </w:r>
      <w:proofErr w:type="spellEnd"/>
      <w:r w:rsidRPr="00CA7E3C">
        <w:rPr>
          <w:sz w:val="24"/>
          <w:lang w:val="en-US"/>
        </w:rPr>
        <w:t xml:space="preserve"> in children undergoing treatment, B = -1.91; </w:t>
      </w:r>
      <w:r w:rsidRPr="00CA7E3C">
        <w:rPr>
          <w:i/>
          <w:sz w:val="24"/>
          <w:lang w:val="en-US"/>
        </w:rPr>
        <w:t xml:space="preserve">t </w:t>
      </w:r>
      <w:r w:rsidRPr="00CA7E3C">
        <w:rPr>
          <w:sz w:val="24"/>
          <w:lang w:val="en-US"/>
        </w:rPr>
        <w:t xml:space="preserve">= -7.18, </w:t>
      </w:r>
      <w:r w:rsidRPr="00CA7E3C">
        <w:rPr>
          <w:i/>
          <w:sz w:val="24"/>
          <w:lang w:val="en-US"/>
        </w:rPr>
        <w:t xml:space="preserve">p </w:t>
      </w:r>
      <w:r w:rsidRPr="00CA7E3C">
        <w:rPr>
          <w:sz w:val="24"/>
          <w:lang w:val="en-US"/>
        </w:rPr>
        <w:t xml:space="preserve">&lt; .001, than in children in the off-treatment clinical group, B = -1.04; </w:t>
      </w:r>
      <w:r w:rsidRPr="00CA7E3C">
        <w:rPr>
          <w:i/>
          <w:sz w:val="24"/>
          <w:lang w:val="en-US"/>
        </w:rPr>
        <w:t xml:space="preserve">t = </w:t>
      </w:r>
      <w:r w:rsidRPr="00CA7E3C">
        <w:rPr>
          <w:sz w:val="24"/>
          <w:lang w:val="en-US"/>
        </w:rPr>
        <w:t xml:space="preserve">-4.10, </w:t>
      </w:r>
      <w:r w:rsidRPr="00CA7E3C">
        <w:rPr>
          <w:i/>
          <w:sz w:val="24"/>
          <w:lang w:val="en-US"/>
        </w:rPr>
        <w:t xml:space="preserve">p </w:t>
      </w:r>
      <w:r w:rsidRPr="00CA7E3C">
        <w:rPr>
          <w:sz w:val="24"/>
          <w:lang w:val="en-US"/>
        </w:rPr>
        <w:t xml:space="preserve">&lt; .001 (see Figure </w:t>
      </w:r>
      <w:r w:rsidR="00952241">
        <w:rPr>
          <w:sz w:val="24"/>
          <w:lang w:val="en-US"/>
        </w:rPr>
        <w:t>1</w:t>
      </w:r>
      <w:r w:rsidRPr="00CA7E3C">
        <w:rPr>
          <w:sz w:val="24"/>
          <w:lang w:val="en-US"/>
        </w:rPr>
        <w:t>).</w:t>
      </w:r>
      <w:r w:rsidRPr="008B7E48">
        <w:rPr>
          <w:sz w:val="24"/>
          <w:lang w:val="en-US"/>
        </w:rPr>
        <w:t xml:space="preserve"> </w:t>
      </w:r>
    </w:p>
    <w:p w:rsidR="00A54A7B" w:rsidRDefault="00A54A7B" w:rsidP="00A54A7B">
      <w:pPr>
        <w:autoSpaceDE w:val="0"/>
        <w:autoSpaceDN w:val="0"/>
        <w:adjustRightInd w:val="0"/>
        <w:spacing w:line="480" w:lineRule="auto"/>
        <w:jc w:val="left"/>
        <w:rPr>
          <w:sz w:val="24"/>
          <w:lang w:val="en-US"/>
        </w:rPr>
      </w:pPr>
    </w:p>
    <w:p w:rsidR="00A54A7B" w:rsidRDefault="00A54A7B" w:rsidP="00A54A7B">
      <w:pPr>
        <w:autoSpaceDE w:val="0"/>
        <w:autoSpaceDN w:val="0"/>
        <w:adjustRightInd w:val="0"/>
        <w:spacing w:line="480" w:lineRule="auto"/>
        <w:jc w:val="left"/>
        <w:rPr>
          <w:i/>
          <w:sz w:val="24"/>
          <w:lang w:val="en-US"/>
        </w:rPr>
      </w:pPr>
      <w:r>
        <w:rPr>
          <w:i/>
          <w:sz w:val="24"/>
          <w:lang w:val="en-US"/>
        </w:rPr>
        <w:t xml:space="preserve">Figure </w:t>
      </w:r>
      <w:r w:rsidR="00741003">
        <w:rPr>
          <w:i/>
          <w:sz w:val="24"/>
          <w:lang w:val="en-US"/>
        </w:rPr>
        <w:t>1</w:t>
      </w:r>
      <w:r>
        <w:rPr>
          <w:i/>
          <w:sz w:val="24"/>
          <w:lang w:val="en-US"/>
        </w:rPr>
        <w:t xml:space="preserve"> about here</w:t>
      </w:r>
    </w:p>
    <w:p w:rsidR="00DA6EC7" w:rsidRPr="008B7E48" w:rsidRDefault="00DA6EC7" w:rsidP="00A54A7B">
      <w:pPr>
        <w:autoSpaceDE w:val="0"/>
        <w:autoSpaceDN w:val="0"/>
        <w:adjustRightInd w:val="0"/>
        <w:spacing w:line="480" w:lineRule="auto"/>
        <w:jc w:val="left"/>
        <w:rPr>
          <w:sz w:val="24"/>
          <w:lang w:val="en-US"/>
        </w:rPr>
      </w:pPr>
    </w:p>
    <w:p w:rsidR="00A54A7B" w:rsidRDefault="00A54A7B" w:rsidP="00A54A7B">
      <w:pPr>
        <w:autoSpaceDE w:val="0"/>
        <w:autoSpaceDN w:val="0"/>
        <w:adjustRightInd w:val="0"/>
        <w:spacing w:line="480" w:lineRule="auto"/>
        <w:jc w:val="left"/>
        <w:rPr>
          <w:sz w:val="24"/>
          <w:lang w:val="en-US"/>
        </w:rPr>
      </w:pPr>
      <w:r w:rsidRPr="008B7E48">
        <w:rPr>
          <w:sz w:val="24"/>
          <w:lang w:val="en-US"/>
        </w:rPr>
        <w:t xml:space="preserve">Analyses </w:t>
      </w:r>
      <w:r w:rsidR="00E14777">
        <w:rPr>
          <w:sz w:val="24"/>
          <w:lang w:val="en-US"/>
        </w:rPr>
        <w:t>demonstrated</w:t>
      </w:r>
      <w:r w:rsidR="00E14777" w:rsidRPr="008B7E48">
        <w:rPr>
          <w:sz w:val="24"/>
          <w:lang w:val="en-US"/>
        </w:rPr>
        <w:t xml:space="preserve"> </w:t>
      </w:r>
      <w:r w:rsidRPr="008B7E48">
        <w:rPr>
          <w:sz w:val="24"/>
          <w:lang w:val="en-US"/>
        </w:rPr>
        <w:t xml:space="preserve">that the aforementioned </w:t>
      </w:r>
      <w:r w:rsidR="00847BAF">
        <w:rPr>
          <w:sz w:val="24"/>
          <w:lang w:val="en-US"/>
        </w:rPr>
        <w:t>relationship</w:t>
      </w:r>
      <w:r w:rsidR="00847BAF" w:rsidRPr="008B7E48">
        <w:rPr>
          <w:sz w:val="24"/>
          <w:lang w:val="en-US"/>
        </w:rPr>
        <w:t xml:space="preserve"> </w:t>
      </w:r>
      <w:r w:rsidRPr="008B7E48">
        <w:rPr>
          <w:sz w:val="24"/>
          <w:lang w:val="en-US"/>
        </w:rPr>
        <w:t xml:space="preserve">differed in strength for the two clinical groups, but not in direction, and thus, given that this was the only moderated </w:t>
      </w:r>
      <w:r w:rsidR="00847BAF">
        <w:rPr>
          <w:sz w:val="24"/>
          <w:lang w:val="en-US"/>
        </w:rPr>
        <w:t>relationship</w:t>
      </w:r>
      <w:r w:rsidR="00847BAF" w:rsidRPr="008B7E48">
        <w:rPr>
          <w:sz w:val="24"/>
          <w:lang w:val="en-US"/>
        </w:rPr>
        <w:t xml:space="preserve"> </w:t>
      </w:r>
      <w:r w:rsidRPr="008B7E48">
        <w:rPr>
          <w:sz w:val="24"/>
          <w:lang w:val="en-US"/>
        </w:rPr>
        <w:t xml:space="preserve">in the mediation model, we opted to run a simple mediation model with the total sample, where again hope was considered the independent variable, anxiety the mediating variable, and </w:t>
      </w:r>
      <w:proofErr w:type="spellStart"/>
      <w:r w:rsidRPr="008B7E48">
        <w:rPr>
          <w:sz w:val="24"/>
          <w:lang w:val="en-US"/>
        </w:rPr>
        <w:t>HRQoL</w:t>
      </w:r>
      <w:proofErr w:type="spellEnd"/>
      <w:r w:rsidRPr="008B7E48">
        <w:rPr>
          <w:sz w:val="24"/>
          <w:lang w:val="en-US"/>
        </w:rPr>
        <w:t xml:space="preserve"> the dependent variable. Results confirmed that anxiety mediated the relation between hope and </w:t>
      </w:r>
      <w:proofErr w:type="spellStart"/>
      <w:r w:rsidRPr="008B7E48">
        <w:rPr>
          <w:sz w:val="24"/>
          <w:lang w:val="en-US"/>
        </w:rPr>
        <w:t>HRQoL</w:t>
      </w:r>
      <w:proofErr w:type="spellEnd"/>
      <w:r w:rsidRPr="008B7E48">
        <w:rPr>
          <w:sz w:val="24"/>
          <w:lang w:val="en-US"/>
        </w:rPr>
        <w:t xml:space="preserve"> (</w:t>
      </w:r>
      <w:r w:rsidRPr="008B7E48">
        <w:rPr>
          <w:i/>
          <w:sz w:val="24"/>
          <w:lang w:val="en-US"/>
        </w:rPr>
        <w:t xml:space="preserve">point estimate </w:t>
      </w:r>
      <w:r w:rsidRPr="008B7E48">
        <w:rPr>
          <w:sz w:val="24"/>
          <w:lang w:val="en-US"/>
        </w:rPr>
        <w:t xml:space="preserve">= .10; </w:t>
      </w:r>
      <w:r w:rsidRPr="008B7E48">
        <w:rPr>
          <w:i/>
          <w:sz w:val="24"/>
          <w:lang w:val="en-US"/>
        </w:rPr>
        <w:t>CI</w:t>
      </w:r>
      <w:r w:rsidRPr="008B7E48">
        <w:rPr>
          <w:sz w:val="24"/>
          <w:lang w:val="en-US"/>
        </w:rPr>
        <w:t xml:space="preserve"> = .06/.16); the </w:t>
      </w:r>
      <w:r w:rsidRPr="008B7E48">
        <w:rPr>
          <w:i/>
          <w:sz w:val="24"/>
          <w:lang w:val="en-US"/>
        </w:rPr>
        <w:t>R</w:t>
      </w:r>
      <w:r w:rsidRPr="008B7E48">
        <w:rPr>
          <w:sz w:val="24"/>
          <w:lang w:val="en-US"/>
        </w:rPr>
        <w:t xml:space="preserve">² for </w:t>
      </w:r>
      <w:proofErr w:type="spellStart"/>
      <w:r w:rsidRPr="008B7E48">
        <w:rPr>
          <w:sz w:val="24"/>
          <w:lang w:val="en-US"/>
        </w:rPr>
        <w:t>H</w:t>
      </w:r>
      <w:r>
        <w:rPr>
          <w:sz w:val="24"/>
          <w:lang w:val="en-US"/>
        </w:rPr>
        <w:t>RQoL</w:t>
      </w:r>
      <w:proofErr w:type="spellEnd"/>
      <w:r>
        <w:rPr>
          <w:sz w:val="24"/>
          <w:lang w:val="en-US"/>
        </w:rPr>
        <w:t xml:space="preserve"> was .24 (see Figure </w:t>
      </w:r>
      <w:r w:rsidR="00952241">
        <w:rPr>
          <w:sz w:val="24"/>
          <w:lang w:val="en-US"/>
        </w:rPr>
        <w:t>2</w:t>
      </w:r>
      <w:r>
        <w:rPr>
          <w:sz w:val="24"/>
          <w:lang w:val="en-US"/>
        </w:rPr>
        <w:t>).</w:t>
      </w:r>
    </w:p>
    <w:p w:rsidR="00A54A7B" w:rsidRDefault="00A54A7B" w:rsidP="00A54A7B">
      <w:pPr>
        <w:autoSpaceDE w:val="0"/>
        <w:autoSpaceDN w:val="0"/>
        <w:adjustRightInd w:val="0"/>
        <w:spacing w:line="480" w:lineRule="auto"/>
        <w:jc w:val="left"/>
        <w:rPr>
          <w:sz w:val="24"/>
          <w:lang w:val="en-US"/>
        </w:rPr>
      </w:pPr>
    </w:p>
    <w:p w:rsidR="00A54A7B" w:rsidRDefault="00A54A7B" w:rsidP="00A54A7B">
      <w:pPr>
        <w:autoSpaceDE w:val="0"/>
        <w:autoSpaceDN w:val="0"/>
        <w:adjustRightInd w:val="0"/>
        <w:spacing w:line="480" w:lineRule="auto"/>
        <w:jc w:val="left"/>
        <w:rPr>
          <w:i/>
          <w:sz w:val="24"/>
          <w:lang w:val="en-US"/>
        </w:rPr>
      </w:pPr>
      <w:r>
        <w:rPr>
          <w:i/>
          <w:sz w:val="24"/>
          <w:lang w:val="en-US"/>
        </w:rPr>
        <w:t xml:space="preserve">Figure </w:t>
      </w:r>
      <w:r w:rsidR="00741003">
        <w:rPr>
          <w:i/>
          <w:sz w:val="24"/>
          <w:lang w:val="en-US"/>
        </w:rPr>
        <w:t>2</w:t>
      </w:r>
      <w:r>
        <w:rPr>
          <w:i/>
          <w:sz w:val="24"/>
          <w:lang w:val="en-US"/>
        </w:rPr>
        <w:t xml:space="preserve"> about here</w:t>
      </w:r>
    </w:p>
    <w:p w:rsidR="00A54A7B" w:rsidRDefault="00A54A7B" w:rsidP="00A54A7B">
      <w:pPr>
        <w:autoSpaceDE w:val="0"/>
        <w:autoSpaceDN w:val="0"/>
        <w:adjustRightInd w:val="0"/>
        <w:spacing w:line="480" w:lineRule="auto"/>
        <w:jc w:val="left"/>
        <w:rPr>
          <w:sz w:val="24"/>
          <w:lang w:val="en-US"/>
        </w:rPr>
      </w:pPr>
    </w:p>
    <w:p w:rsidR="00E54C53" w:rsidRPr="00322682" w:rsidRDefault="00E54C53" w:rsidP="00A54A7B">
      <w:pPr>
        <w:autoSpaceDE w:val="0"/>
        <w:autoSpaceDN w:val="0"/>
        <w:adjustRightInd w:val="0"/>
        <w:spacing w:line="480" w:lineRule="auto"/>
        <w:jc w:val="left"/>
        <w:rPr>
          <w:sz w:val="24"/>
          <w:lang w:val="en-US"/>
        </w:rPr>
      </w:pPr>
      <w:r w:rsidRPr="00322682">
        <w:rPr>
          <w:sz w:val="24"/>
          <w:lang w:val="en-US"/>
        </w:rPr>
        <w:t xml:space="preserve">In order to examine whether medical centers differed regarding hope, anxiety and </w:t>
      </w:r>
      <w:proofErr w:type="spellStart"/>
      <w:r w:rsidRPr="00322682">
        <w:rPr>
          <w:sz w:val="24"/>
          <w:lang w:val="en-US"/>
        </w:rPr>
        <w:t>HRQoL</w:t>
      </w:r>
      <w:proofErr w:type="spellEnd"/>
      <w:r w:rsidRPr="00322682">
        <w:rPr>
          <w:sz w:val="24"/>
          <w:lang w:val="en-US"/>
        </w:rPr>
        <w:t xml:space="preserve"> we ran a MANOVA. Medical center was entered as the between-subjects factor and hope, anxiety and </w:t>
      </w:r>
      <w:proofErr w:type="spellStart"/>
      <w:r w:rsidRPr="00322682">
        <w:rPr>
          <w:sz w:val="24"/>
          <w:lang w:val="en-US"/>
        </w:rPr>
        <w:t>HRQoL</w:t>
      </w:r>
      <w:proofErr w:type="spellEnd"/>
      <w:r w:rsidRPr="00322682">
        <w:rPr>
          <w:sz w:val="24"/>
          <w:lang w:val="en-US"/>
        </w:rPr>
        <w:t xml:space="preserve"> as dependent variables. Our analysis revealed that there was no significant difference according to medical center (</w:t>
      </w:r>
      <w:proofErr w:type="spellStart"/>
      <w:r w:rsidRPr="00322682">
        <w:rPr>
          <w:sz w:val="24"/>
          <w:lang w:val="en-US"/>
        </w:rPr>
        <w:t>Wilks</w:t>
      </w:r>
      <w:proofErr w:type="spellEnd"/>
      <w:r w:rsidRPr="00322682">
        <w:rPr>
          <w:sz w:val="24"/>
          <w:lang w:val="en-US"/>
        </w:rPr>
        <w:t>’ Lambda = .97,</w:t>
      </w:r>
      <w:r w:rsidRPr="00322682">
        <w:rPr>
          <w:i/>
          <w:sz w:val="24"/>
          <w:lang w:val="en-US"/>
        </w:rPr>
        <w:t xml:space="preserve"> </w:t>
      </w:r>
      <w:proofErr w:type="gramStart"/>
      <w:r w:rsidRPr="00322682">
        <w:rPr>
          <w:i/>
          <w:sz w:val="24"/>
          <w:lang w:val="en-US"/>
        </w:rPr>
        <w:t>F</w:t>
      </w:r>
      <w:r w:rsidRPr="00322682">
        <w:rPr>
          <w:sz w:val="24"/>
          <w:lang w:val="en-US"/>
        </w:rPr>
        <w:t>(</w:t>
      </w:r>
      <w:proofErr w:type="gramEnd"/>
      <w:r w:rsidRPr="00322682">
        <w:rPr>
          <w:sz w:val="24"/>
          <w:lang w:val="en-US"/>
        </w:rPr>
        <w:t xml:space="preserve">3, 207) = 2.01, </w:t>
      </w:r>
      <w:r w:rsidRPr="00322682">
        <w:rPr>
          <w:i/>
          <w:sz w:val="24"/>
          <w:lang w:val="en-US"/>
        </w:rPr>
        <w:t>p</w:t>
      </w:r>
      <w:r w:rsidRPr="00322682">
        <w:rPr>
          <w:sz w:val="24"/>
          <w:lang w:val="en-US"/>
        </w:rPr>
        <w:t xml:space="preserve"> &gt; .05, partial </w:t>
      </w:r>
      <w:r w:rsidRPr="00322682">
        <w:rPr>
          <w:rFonts w:ascii="Symbol" w:hAnsi="Symbol"/>
          <w:sz w:val="24"/>
          <w:lang w:eastAsia="pt-PT"/>
        </w:rPr>
        <w:t></w:t>
      </w:r>
      <w:r w:rsidRPr="00322682">
        <w:rPr>
          <w:sz w:val="24"/>
          <w:vertAlign w:val="superscript"/>
          <w:lang w:val="en-US"/>
        </w:rPr>
        <w:t>2</w:t>
      </w:r>
      <w:r w:rsidRPr="00322682">
        <w:rPr>
          <w:sz w:val="24"/>
          <w:lang w:val="en-US"/>
        </w:rPr>
        <w:t xml:space="preserve"> = .03)</w:t>
      </w:r>
    </w:p>
    <w:p w:rsidR="00E54C53" w:rsidRPr="00E54C53" w:rsidRDefault="00E54C53" w:rsidP="00A54A7B">
      <w:pPr>
        <w:autoSpaceDE w:val="0"/>
        <w:autoSpaceDN w:val="0"/>
        <w:adjustRightInd w:val="0"/>
        <w:spacing w:line="480" w:lineRule="auto"/>
        <w:jc w:val="left"/>
        <w:rPr>
          <w:sz w:val="24"/>
          <w:lang w:val="en-US"/>
        </w:rPr>
      </w:pPr>
    </w:p>
    <w:p w:rsidR="00A54A7B" w:rsidRPr="008B7E48" w:rsidRDefault="00A54A7B" w:rsidP="00A54A7B">
      <w:pPr>
        <w:spacing w:line="480" w:lineRule="auto"/>
        <w:ind w:firstLine="0"/>
        <w:jc w:val="center"/>
        <w:rPr>
          <w:b/>
          <w:sz w:val="24"/>
          <w:lang w:val="en-US"/>
        </w:rPr>
      </w:pPr>
      <w:r w:rsidRPr="008B7E48">
        <w:rPr>
          <w:b/>
          <w:sz w:val="24"/>
          <w:lang w:val="en-US"/>
        </w:rPr>
        <w:lastRenderedPageBreak/>
        <w:t>Discussion</w:t>
      </w:r>
    </w:p>
    <w:p w:rsidR="00744C94" w:rsidRPr="00DC4DD9" w:rsidRDefault="00A54A7B" w:rsidP="00DC4DD9">
      <w:pPr>
        <w:spacing w:line="480" w:lineRule="auto"/>
        <w:jc w:val="left"/>
        <w:rPr>
          <w:sz w:val="24"/>
          <w:lang w:val="en-US"/>
        </w:rPr>
      </w:pPr>
      <w:r w:rsidRPr="008B7E48">
        <w:rPr>
          <w:sz w:val="24"/>
          <w:lang w:val="en-US"/>
        </w:rPr>
        <w:t xml:space="preserve">To our knowledge, the present study is among the first to explore the associations of hope with </w:t>
      </w:r>
      <w:proofErr w:type="spellStart"/>
      <w:r w:rsidRPr="008B7E48">
        <w:rPr>
          <w:sz w:val="24"/>
          <w:lang w:val="en-US"/>
        </w:rPr>
        <w:t>HRQoL</w:t>
      </w:r>
      <w:proofErr w:type="spellEnd"/>
      <w:r w:rsidRPr="008B7E48">
        <w:rPr>
          <w:sz w:val="24"/>
          <w:lang w:val="en-US"/>
        </w:rPr>
        <w:t xml:space="preserve">, via anxiety levels, of children/adolescents with cancer. In addition, the comparison of these variables in two clinical groups according to treatment status also provides insightful new data. </w:t>
      </w:r>
      <w:r w:rsidRPr="006D5959">
        <w:rPr>
          <w:sz w:val="24"/>
          <w:lang w:val="en-US"/>
        </w:rPr>
        <w:t>Three main hypotheses were posed and generally supported.</w:t>
      </w:r>
      <w:r w:rsidR="00C23445">
        <w:rPr>
          <w:b/>
          <w:sz w:val="24"/>
          <w:lang w:val="en-US"/>
        </w:rPr>
        <w:tab/>
      </w:r>
    </w:p>
    <w:p w:rsidR="00A54A7B" w:rsidRPr="008B7E48" w:rsidRDefault="00B2088E" w:rsidP="00A54A7B">
      <w:pPr>
        <w:spacing w:line="480" w:lineRule="auto"/>
        <w:jc w:val="left"/>
        <w:rPr>
          <w:sz w:val="24"/>
          <w:lang w:val="en-US"/>
        </w:rPr>
      </w:pPr>
      <w:r w:rsidRPr="00B2088E">
        <w:rPr>
          <w:sz w:val="24"/>
          <w:lang w:val="en-US"/>
        </w:rPr>
        <w:t xml:space="preserve"> </w:t>
      </w:r>
      <w:r w:rsidR="00A11435">
        <w:rPr>
          <w:sz w:val="24"/>
          <w:lang w:val="en-US"/>
        </w:rPr>
        <w:t>Confirming</w:t>
      </w:r>
      <w:r>
        <w:rPr>
          <w:sz w:val="24"/>
          <w:lang w:val="en-US"/>
        </w:rPr>
        <w:t xml:space="preserve"> our first hypothesis </w:t>
      </w:r>
      <w:r w:rsidR="00A11435">
        <w:rPr>
          <w:sz w:val="24"/>
          <w:lang w:val="en-US"/>
        </w:rPr>
        <w:t>and according with a previous study (</w:t>
      </w:r>
      <w:proofErr w:type="spellStart"/>
      <w:r w:rsidR="00A11435" w:rsidRPr="00A11435">
        <w:rPr>
          <w:sz w:val="24"/>
          <w:lang w:val="en-US"/>
        </w:rPr>
        <w:t>Germann</w:t>
      </w:r>
      <w:proofErr w:type="spellEnd"/>
      <w:r w:rsidR="00A11435" w:rsidRPr="00A11435">
        <w:rPr>
          <w:sz w:val="24"/>
          <w:lang w:val="en-US"/>
        </w:rPr>
        <w:t xml:space="preserve"> et al., 2012, February</w:t>
      </w:r>
      <w:r w:rsidR="00A11435">
        <w:rPr>
          <w:sz w:val="24"/>
          <w:lang w:val="en-US"/>
        </w:rPr>
        <w:t xml:space="preserve">), </w:t>
      </w:r>
      <w:r>
        <w:rPr>
          <w:sz w:val="24"/>
          <w:lang w:val="en-US"/>
        </w:rPr>
        <w:t>w</w:t>
      </w:r>
      <w:r w:rsidR="00C441AF">
        <w:rPr>
          <w:sz w:val="24"/>
          <w:lang w:val="en-US"/>
        </w:rPr>
        <w:t>e</w:t>
      </w:r>
      <w:r w:rsidR="00A54A7B" w:rsidRPr="008B7E48">
        <w:rPr>
          <w:sz w:val="24"/>
          <w:lang w:val="en-US"/>
        </w:rPr>
        <w:t xml:space="preserve"> found that hope was significantly and negatively related to children/adolescents’ anxiety and positively related to </w:t>
      </w:r>
      <w:proofErr w:type="spellStart"/>
      <w:r w:rsidR="00A54A7B" w:rsidRPr="008B7E48">
        <w:rPr>
          <w:sz w:val="24"/>
          <w:lang w:val="en-US"/>
        </w:rPr>
        <w:t>HRQoL</w:t>
      </w:r>
      <w:proofErr w:type="spellEnd"/>
      <w:r w:rsidR="00A54A7B" w:rsidRPr="008B7E48">
        <w:rPr>
          <w:sz w:val="24"/>
          <w:lang w:val="en-US"/>
        </w:rPr>
        <w:t xml:space="preserve">. These results are in accordance with previous studies supporting hope as a psychological strength that helps children/adolescents to deal with adverse life events (Lewis &amp; </w:t>
      </w:r>
      <w:proofErr w:type="spellStart"/>
      <w:r w:rsidR="00A54A7B" w:rsidRPr="008B7E48">
        <w:rPr>
          <w:sz w:val="24"/>
          <w:lang w:val="en-US"/>
        </w:rPr>
        <w:t>Kliewer</w:t>
      </w:r>
      <w:proofErr w:type="spellEnd"/>
      <w:r w:rsidR="00A54A7B" w:rsidRPr="008B7E48">
        <w:rPr>
          <w:sz w:val="24"/>
          <w:lang w:val="en-US"/>
        </w:rPr>
        <w:t>, 1996; Snyder, 2000; Valle et al., 2006)</w:t>
      </w:r>
      <w:r w:rsidR="00D5787D">
        <w:rPr>
          <w:sz w:val="24"/>
          <w:lang w:val="en-US"/>
        </w:rPr>
        <w:t>. Similarly, studies with</w:t>
      </w:r>
      <w:r w:rsidR="00A64BAB">
        <w:rPr>
          <w:sz w:val="24"/>
          <w:lang w:val="en-US"/>
        </w:rPr>
        <w:t xml:space="preserve"> adult cancer patients</w:t>
      </w:r>
      <w:r w:rsidR="00D5787D">
        <w:rPr>
          <w:sz w:val="24"/>
          <w:lang w:val="en-US"/>
        </w:rPr>
        <w:t xml:space="preserve"> revealed that hope may promote adaptation outcomes (e.g., Felder, 2004)</w:t>
      </w:r>
      <w:r w:rsidR="00A54A7B" w:rsidRPr="008B7E48">
        <w:rPr>
          <w:sz w:val="24"/>
          <w:lang w:val="en-US"/>
        </w:rPr>
        <w:t xml:space="preserve">. </w:t>
      </w:r>
      <w:r w:rsidR="00146507">
        <w:rPr>
          <w:sz w:val="24"/>
          <w:lang w:val="en-US"/>
        </w:rPr>
        <w:t>I</w:t>
      </w:r>
      <w:r w:rsidR="00A54A7B" w:rsidRPr="008B7E48">
        <w:rPr>
          <w:sz w:val="24"/>
          <w:lang w:val="en-US"/>
        </w:rPr>
        <w:t>ndividuals high on hope endorse active and problem-focused coping</w:t>
      </w:r>
      <w:r w:rsidR="00146507">
        <w:rPr>
          <w:sz w:val="24"/>
          <w:lang w:val="en-US"/>
        </w:rPr>
        <w:t xml:space="preserve"> (</w:t>
      </w:r>
      <w:r w:rsidR="00146507" w:rsidRPr="008B7E48">
        <w:rPr>
          <w:sz w:val="24"/>
          <w:lang w:val="en-US"/>
        </w:rPr>
        <w:t>Snyd</w:t>
      </w:r>
      <w:r w:rsidR="00146507">
        <w:rPr>
          <w:sz w:val="24"/>
          <w:lang w:val="en-US"/>
        </w:rPr>
        <w:t xml:space="preserve">er, </w:t>
      </w:r>
      <w:proofErr w:type="spellStart"/>
      <w:r w:rsidR="00146507">
        <w:rPr>
          <w:sz w:val="24"/>
          <w:lang w:val="en-US"/>
        </w:rPr>
        <w:t>Cheavens</w:t>
      </w:r>
      <w:proofErr w:type="spellEnd"/>
      <w:r w:rsidR="00146507">
        <w:rPr>
          <w:sz w:val="24"/>
          <w:lang w:val="en-US"/>
        </w:rPr>
        <w:t>, &amp; Michael, 1999)</w:t>
      </w:r>
      <w:r w:rsidR="00A54A7B" w:rsidRPr="008B7E48">
        <w:rPr>
          <w:sz w:val="24"/>
          <w:lang w:val="en-US"/>
        </w:rPr>
        <w:t xml:space="preserve"> and use less avoidance coping, which have been significantly associated with distress in cancer patients (Stanton, 1998; Snyder, 2000). </w:t>
      </w:r>
      <w:r w:rsidR="00B1627E">
        <w:rPr>
          <w:sz w:val="24"/>
          <w:lang w:val="en-US"/>
        </w:rPr>
        <w:t>Moreover, a</w:t>
      </w:r>
      <w:r w:rsidR="00A54A7B" w:rsidRPr="008B7E48">
        <w:rPr>
          <w:sz w:val="24"/>
          <w:lang w:val="en-US"/>
        </w:rPr>
        <w:t xml:space="preserve">ccording to Snyder (2000), hopeful individuals have numerous goals in different areas of life, including the maintenance of good health. </w:t>
      </w:r>
      <w:r w:rsidR="00C573D5">
        <w:rPr>
          <w:sz w:val="24"/>
          <w:lang w:val="en-US"/>
        </w:rPr>
        <w:t>T</w:t>
      </w:r>
      <w:r w:rsidR="00A54A7B" w:rsidRPr="008B7E48">
        <w:rPr>
          <w:sz w:val="24"/>
          <w:lang w:val="en-US"/>
        </w:rPr>
        <w:t xml:space="preserve">he diagnosis of cancer </w:t>
      </w:r>
      <w:r w:rsidR="00C573D5">
        <w:rPr>
          <w:sz w:val="24"/>
          <w:lang w:val="en-US"/>
        </w:rPr>
        <w:t xml:space="preserve">may be </w:t>
      </w:r>
      <w:r w:rsidR="00A54A7B" w:rsidRPr="008B7E48">
        <w:rPr>
          <w:sz w:val="24"/>
          <w:lang w:val="en-US"/>
        </w:rPr>
        <w:t xml:space="preserve"> perceived as a “goal blockage” that will encourage high-hope individuals to create alternative pathways to the original goal (e.g., adherence and involvement in the treatment) and multiply their efforts in treatment cooperation</w:t>
      </w:r>
      <w:r w:rsidR="00146507">
        <w:rPr>
          <w:sz w:val="24"/>
          <w:lang w:val="en-US"/>
        </w:rPr>
        <w:t>,</w:t>
      </w:r>
      <w:r w:rsidR="00A54A7B" w:rsidRPr="008B7E48">
        <w:rPr>
          <w:sz w:val="24"/>
          <w:lang w:val="en-US"/>
        </w:rPr>
        <w:t xml:space="preserve"> decreasing the emphasis given to the restrictions caused by the disease and its treatment (Snyder, 2000). </w:t>
      </w:r>
      <w:r w:rsidR="00352420" w:rsidRPr="00320F73">
        <w:rPr>
          <w:sz w:val="24"/>
          <w:lang w:val="en-US"/>
        </w:rPr>
        <w:t xml:space="preserve">This may be a possible explanation for the associations found in this study between </w:t>
      </w:r>
      <w:r w:rsidR="00352420">
        <w:rPr>
          <w:sz w:val="24"/>
          <w:lang w:val="en-US"/>
        </w:rPr>
        <w:t>hope</w:t>
      </w:r>
      <w:r w:rsidR="00352420" w:rsidRPr="00320F73">
        <w:rPr>
          <w:sz w:val="24"/>
          <w:lang w:val="en-US"/>
        </w:rPr>
        <w:t xml:space="preserve"> and anxiety and</w:t>
      </w:r>
      <w:r w:rsidR="00352420">
        <w:rPr>
          <w:sz w:val="24"/>
          <w:lang w:val="en-US"/>
        </w:rPr>
        <w:t xml:space="preserve"> </w:t>
      </w:r>
      <w:proofErr w:type="spellStart"/>
      <w:r w:rsidR="00352420">
        <w:rPr>
          <w:sz w:val="24"/>
          <w:lang w:val="en-US"/>
        </w:rPr>
        <w:t>HRQoL</w:t>
      </w:r>
      <w:proofErr w:type="spellEnd"/>
      <w:r w:rsidR="00352420">
        <w:rPr>
          <w:sz w:val="24"/>
          <w:lang w:val="en-US"/>
        </w:rPr>
        <w:t>.</w:t>
      </w:r>
    </w:p>
    <w:p w:rsidR="009E62DD" w:rsidRDefault="00A54A7B" w:rsidP="002E05A7">
      <w:pPr>
        <w:spacing w:line="480" w:lineRule="auto"/>
        <w:jc w:val="left"/>
        <w:rPr>
          <w:sz w:val="24"/>
          <w:lang w:val="en-US"/>
        </w:rPr>
      </w:pPr>
      <w:r w:rsidRPr="008B7E48">
        <w:rPr>
          <w:sz w:val="24"/>
          <w:lang w:val="en-US"/>
        </w:rPr>
        <w:t xml:space="preserve">Our results </w:t>
      </w:r>
      <w:r w:rsidR="00E14777">
        <w:rPr>
          <w:sz w:val="24"/>
          <w:lang w:val="en-US"/>
        </w:rPr>
        <w:t xml:space="preserve">demonstrated </w:t>
      </w:r>
      <w:r w:rsidRPr="008B7E48">
        <w:rPr>
          <w:sz w:val="24"/>
          <w:lang w:val="en-US"/>
        </w:rPr>
        <w:t>that higher hope</w:t>
      </w:r>
      <w:r w:rsidR="00010E40">
        <w:rPr>
          <w:sz w:val="24"/>
          <w:lang w:val="en-US"/>
        </w:rPr>
        <w:t xml:space="preserve"> was</w:t>
      </w:r>
      <w:r w:rsidRPr="008B7E48">
        <w:rPr>
          <w:sz w:val="24"/>
          <w:lang w:val="en-US"/>
        </w:rPr>
        <w:t xml:space="preserve"> both directly and indirectly related </w:t>
      </w:r>
      <w:r w:rsidRPr="008B7E48">
        <w:rPr>
          <w:sz w:val="24"/>
          <w:lang w:val="en-US"/>
        </w:rPr>
        <w:lastRenderedPageBreak/>
        <w:t xml:space="preserve">to </w:t>
      </w:r>
      <w:proofErr w:type="spellStart"/>
      <w:r w:rsidRPr="008B7E48">
        <w:rPr>
          <w:sz w:val="24"/>
          <w:lang w:val="en-US"/>
        </w:rPr>
        <w:t>HRQoL</w:t>
      </w:r>
      <w:proofErr w:type="spellEnd"/>
      <w:r w:rsidR="00FA4107">
        <w:rPr>
          <w:sz w:val="24"/>
          <w:lang w:val="en-US"/>
        </w:rPr>
        <w:t xml:space="preserve">, </w:t>
      </w:r>
      <w:r w:rsidR="00146507">
        <w:rPr>
          <w:sz w:val="24"/>
          <w:lang w:val="en-US"/>
        </w:rPr>
        <w:t xml:space="preserve">confirming our </w:t>
      </w:r>
      <w:r w:rsidR="00EF4204">
        <w:rPr>
          <w:sz w:val="24"/>
          <w:lang w:val="en-US"/>
        </w:rPr>
        <w:t>second</w:t>
      </w:r>
      <w:r w:rsidR="00146507">
        <w:rPr>
          <w:sz w:val="24"/>
          <w:lang w:val="en-US"/>
        </w:rPr>
        <w:t xml:space="preserve"> hypothesis. </w:t>
      </w:r>
      <w:r w:rsidRPr="008B7E48">
        <w:rPr>
          <w:sz w:val="24"/>
          <w:lang w:val="en-US"/>
        </w:rPr>
        <w:t xml:space="preserve">The indirect link </w:t>
      </w:r>
      <w:r w:rsidR="0010524A">
        <w:rPr>
          <w:sz w:val="24"/>
          <w:lang w:val="en-US"/>
        </w:rPr>
        <w:t xml:space="preserve">suggests </w:t>
      </w:r>
      <w:r w:rsidR="00DC7F73">
        <w:rPr>
          <w:sz w:val="24"/>
          <w:lang w:val="en-US"/>
        </w:rPr>
        <w:t xml:space="preserve">the possibility </w:t>
      </w:r>
      <w:r w:rsidR="00750171">
        <w:rPr>
          <w:sz w:val="24"/>
          <w:lang w:val="en-US"/>
        </w:rPr>
        <w:t>that h</w:t>
      </w:r>
      <w:r w:rsidRPr="008B7E48">
        <w:rPr>
          <w:sz w:val="24"/>
          <w:lang w:val="en-US"/>
        </w:rPr>
        <w:t xml:space="preserve">ope </w:t>
      </w:r>
      <w:r w:rsidR="00DC7F73">
        <w:rPr>
          <w:sz w:val="24"/>
          <w:lang w:val="en-US"/>
        </w:rPr>
        <w:t>can</w:t>
      </w:r>
      <w:r w:rsidR="00DC7F73" w:rsidRPr="008B7E48">
        <w:rPr>
          <w:sz w:val="24"/>
          <w:lang w:val="en-US"/>
        </w:rPr>
        <w:t xml:space="preserve"> </w:t>
      </w:r>
      <w:r w:rsidRPr="008B7E48">
        <w:rPr>
          <w:sz w:val="24"/>
          <w:lang w:val="en-US"/>
        </w:rPr>
        <w:t>attenuate the levels of anxiety provoked by the invasive therapy</w:t>
      </w:r>
      <w:r w:rsidR="0010524A">
        <w:rPr>
          <w:sz w:val="24"/>
          <w:lang w:val="en-US"/>
        </w:rPr>
        <w:t xml:space="preserve"> </w:t>
      </w:r>
      <w:r w:rsidR="00C441AF">
        <w:rPr>
          <w:sz w:val="24"/>
          <w:lang w:val="en-US"/>
        </w:rPr>
        <w:t xml:space="preserve">and painful </w:t>
      </w:r>
      <w:r w:rsidRPr="008B7E48">
        <w:rPr>
          <w:sz w:val="24"/>
          <w:lang w:val="en-US"/>
        </w:rPr>
        <w:t>procedures</w:t>
      </w:r>
      <w:r w:rsidR="00750171">
        <w:rPr>
          <w:sz w:val="24"/>
          <w:lang w:val="en-US"/>
        </w:rPr>
        <w:t xml:space="preserve">, which in turn, </w:t>
      </w:r>
      <w:r w:rsidR="00DC7F73">
        <w:rPr>
          <w:sz w:val="24"/>
          <w:lang w:val="en-US"/>
        </w:rPr>
        <w:t xml:space="preserve">would </w:t>
      </w:r>
      <w:r w:rsidR="00750171">
        <w:rPr>
          <w:sz w:val="24"/>
          <w:lang w:val="en-US"/>
        </w:rPr>
        <w:t>improve</w:t>
      </w:r>
      <w:r w:rsidRPr="008B7E48">
        <w:rPr>
          <w:sz w:val="24"/>
          <w:lang w:val="en-US"/>
        </w:rPr>
        <w:t xml:space="preserve"> the </w:t>
      </w:r>
      <w:proofErr w:type="spellStart"/>
      <w:r w:rsidRPr="008B7E48">
        <w:rPr>
          <w:sz w:val="24"/>
          <w:lang w:val="en-US"/>
        </w:rPr>
        <w:t>HRQoL</w:t>
      </w:r>
      <w:proofErr w:type="spellEnd"/>
      <w:r w:rsidR="001E4506">
        <w:rPr>
          <w:sz w:val="24"/>
          <w:lang w:val="en-US"/>
        </w:rPr>
        <w:t>. This</w:t>
      </w:r>
      <w:r w:rsidRPr="008B7E48">
        <w:rPr>
          <w:sz w:val="24"/>
          <w:lang w:val="en-US"/>
        </w:rPr>
        <w:t xml:space="preserve"> finding</w:t>
      </w:r>
      <w:r w:rsidR="001E4506">
        <w:rPr>
          <w:sz w:val="24"/>
          <w:lang w:val="en-US"/>
        </w:rPr>
        <w:t xml:space="preserve"> is</w:t>
      </w:r>
      <w:r w:rsidRPr="008B7E48">
        <w:rPr>
          <w:sz w:val="24"/>
          <w:lang w:val="en-US"/>
        </w:rPr>
        <w:t xml:space="preserve"> in line with the well-established </w:t>
      </w:r>
      <w:r w:rsidR="00847BAF">
        <w:rPr>
          <w:sz w:val="24"/>
          <w:lang w:val="en-US"/>
        </w:rPr>
        <w:t>relationship</w:t>
      </w:r>
      <w:r w:rsidR="00847BAF" w:rsidRPr="008B7E48">
        <w:rPr>
          <w:sz w:val="24"/>
          <w:lang w:val="en-US"/>
        </w:rPr>
        <w:t xml:space="preserve"> </w:t>
      </w:r>
      <w:r w:rsidRPr="008B7E48">
        <w:rPr>
          <w:sz w:val="24"/>
          <w:lang w:val="en-US"/>
        </w:rPr>
        <w:t xml:space="preserve">between lower anxiety and better </w:t>
      </w:r>
      <w:proofErr w:type="spellStart"/>
      <w:r w:rsidRPr="008B7E48">
        <w:rPr>
          <w:sz w:val="24"/>
          <w:lang w:val="en-US"/>
        </w:rPr>
        <w:t>HRQoL</w:t>
      </w:r>
      <w:proofErr w:type="spellEnd"/>
      <w:r w:rsidRPr="008B7E48">
        <w:rPr>
          <w:sz w:val="24"/>
          <w:lang w:val="en-US"/>
        </w:rPr>
        <w:t xml:space="preserve"> outcomes in </w:t>
      </w:r>
      <w:r w:rsidR="00146507">
        <w:rPr>
          <w:sz w:val="24"/>
          <w:lang w:val="en-US"/>
        </w:rPr>
        <w:t>pediatric cancer</w:t>
      </w:r>
      <w:r w:rsidRPr="008B7E48">
        <w:rPr>
          <w:sz w:val="24"/>
          <w:lang w:val="en-US"/>
        </w:rPr>
        <w:t xml:space="preserve"> (</w:t>
      </w:r>
      <w:proofErr w:type="spellStart"/>
      <w:r w:rsidRPr="008B7E48">
        <w:rPr>
          <w:sz w:val="24"/>
          <w:lang w:val="en-US"/>
        </w:rPr>
        <w:t>Germann</w:t>
      </w:r>
      <w:proofErr w:type="spellEnd"/>
      <w:r w:rsidRPr="008B7E48">
        <w:rPr>
          <w:sz w:val="24"/>
          <w:lang w:val="en-US"/>
        </w:rPr>
        <w:t xml:space="preserve"> et al., 2012, February; </w:t>
      </w:r>
      <w:proofErr w:type="spellStart"/>
      <w:r w:rsidRPr="008B7E48">
        <w:rPr>
          <w:sz w:val="24"/>
          <w:lang w:val="en-US"/>
        </w:rPr>
        <w:t>Jurbergs</w:t>
      </w:r>
      <w:proofErr w:type="spellEnd"/>
      <w:r w:rsidRPr="008B7E48">
        <w:rPr>
          <w:sz w:val="24"/>
          <w:lang w:val="en-US"/>
        </w:rPr>
        <w:t xml:space="preserve">, Russell, Long, &amp; Phipps, 2008; </w:t>
      </w:r>
      <w:proofErr w:type="spellStart"/>
      <w:r w:rsidRPr="008B7E48">
        <w:rPr>
          <w:sz w:val="24"/>
          <w:lang w:val="en-US"/>
        </w:rPr>
        <w:t>Leavey</w:t>
      </w:r>
      <w:proofErr w:type="spellEnd"/>
      <w:r w:rsidRPr="008B7E48">
        <w:rPr>
          <w:sz w:val="24"/>
          <w:lang w:val="en-US"/>
        </w:rPr>
        <w:t xml:space="preserve"> et al., 2013, May).</w:t>
      </w:r>
      <w:r w:rsidR="005B0913">
        <w:rPr>
          <w:sz w:val="24"/>
          <w:lang w:val="en-US"/>
        </w:rPr>
        <w:t xml:space="preserve"> Considering hope as involving the determination to accomplish goals</w:t>
      </w:r>
      <w:r w:rsidR="006123E3">
        <w:rPr>
          <w:sz w:val="24"/>
          <w:lang w:val="en-US"/>
        </w:rPr>
        <w:t xml:space="preserve"> </w:t>
      </w:r>
      <w:r w:rsidR="005B0913">
        <w:rPr>
          <w:sz w:val="24"/>
          <w:lang w:val="en-US"/>
        </w:rPr>
        <w:t>(Snyder</w:t>
      </w:r>
      <w:r w:rsidR="009154F6">
        <w:rPr>
          <w:sz w:val="24"/>
          <w:lang w:val="en-US"/>
        </w:rPr>
        <w:t>, 198</w:t>
      </w:r>
      <w:r w:rsidR="008A5777">
        <w:rPr>
          <w:sz w:val="24"/>
          <w:lang w:val="en-US"/>
        </w:rPr>
        <w:t>9</w:t>
      </w:r>
      <w:r w:rsidR="005B0913">
        <w:rPr>
          <w:sz w:val="24"/>
          <w:lang w:val="en-US"/>
        </w:rPr>
        <w:t xml:space="preserve">), this intrapersonal factor may </w:t>
      </w:r>
      <w:r w:rsidR="009763AA">
        <w:rPr>
          <w:sz w:val="24"/>
          <w:lang w:val="en-US"/>
        </w:rPr>
        <w:t>help pediatric cancer patients</w:t>
      </w:r>
      <w:r w:rsidR="006123E3">
        <w:rPr>
          <w:sz w:val="24"/>
          <w:lang w:val="en-US"/>
        </w:rPr>
        <w:t xml:space="preserve"> dealing with painful </w:t>
      </w:r>
      <w:r w:rsidR="009763AA">
        <w:rPr>
          <w:sz w:val="24"/>
          <w:lang w:val="en-US"/>
        </w:rPr>
        <w:t xml:space="preserve">medical </w:t>
      </w:r>
      <w:r w:rsidR="006123E3">
        <w:rPr>
          <w:sz w:val="24"/>
          <w:lang w:val="en-US"/>
        </w:rPr>
        <w:t xml:space="preserve">procedures, </w:t>
      </w:r>
      <w:r w:rsidR="002E05A7">
        <w:rPr>
          <w:sz w:val="24"/>
          <w:lang w:val="en-US"/>
        </w:rPr>
        <w:t>once</w:t>
      </w:r>
      <w:r w:rsidR="006123E3">
        <w:rPr>
          <w:sz w:val="24"/>
          <w:lang w:val="en-US"/>
        </w:rPr>
        <w:t xml:space="preserve"> they are a requirement to accomplish the treatment regimen. </w:t>
      </w:r>
      <w:r w:rsidR="009763AA">
        <w:rPr>
          <w:sz w:val="24"/>
          <w:lang w:val="en-US"/>
        </w:rPr>
        <w:t>As a consequence of keeping this goal in mind, children/adolescents</w:t>
      </w:r>
      <w:r w:rsidR="006123E3">
        <w:rPr>
          <w:sz w:val="24"/>
          <w:lang w:val="en-US"/>
        </w:rPr>
        <w:t xml:space="preserve"> may </w:t>
      </w:r>
      <w:r w:rsidR="002E05A7">
        <w:rPr>
          <w:sz w:val="24"/>
          <w:lang w:val="en-US"/>
        </w:rPr>
        <w:t>report</w:t>
      </w:r>
      <w:r w:rsidR="006123E3">
        <w:rPr>
          <w:sz w:val="24"/>
          <w:lang w:val="en-US"/>
        </w:rPr>
        <w:t xml:space="preserve"> less anxiety when exposed to </w:t>
      </w:r>
      <w:r w:rsidR="00016202">
        <w:rPr>
          <w:sz w:val="24"/>
          <w:lang w:val="en-US"/>
        </w:rPr>
        <w:t>the</w:t>
      </w:r>
      <w:r w:rsidR="00A5144A">
        <w:rPr>
          <w:sz w:val="24"/>
          <w:lang w:val="en-US"/>
        </w:rPr>
        <w:t>se</w:t>
      </w:r>
      <w:r w:rsidR="00016202">
        <w:rPr>
          <w:sz w:val="24"/>
          <w:lang w:val="en-US"/>
        </w:rPr>
        <w:t xml:space="preserve"> </w:t>
      </w:r>
      <w:r w:rsidR="006123E3">
        <w:rPr>
          <w:sz w:val="24"/>
          <w:lang w:val="en-US"/>
        </w:rPr>
        <w:t xml:space="preserve">procedures. </w:t>
      </w:r>
      <w:r w:rsidR="00A5144A">
        <w:rPr>
          <w:sz w:val="24"/>
          <w:lang w:val="en-US"/>
        </w:rPr>
        <w:t xml:space="preserve">When experiencing </w:t>
      </w:r>
      <w:r w:rsidR="002E05A7">
        <w:rPr>
          <w:sz w:val="24"/>
          <w:lang w:val="en-US"/>
        </w:rPr>
        <w:t>less</w:t>
      </w:r>
      <w:r w:rsidR="00A5144A">
        <w:rPr>
          <w:sz w:val="24"/>
          <w:lang w:val="en-US"/>
        </w:rPr>
        <w:t xml:space="preserve"> </w:t>
      </w:r>
      <w:r w:rsidR="00531067">
        <w:rPr>
          <w:sz w:val="24"/>
          <w:lang w:val="en-US"/>
        </w:rPr>
        <w:t xml:space="preserve">psychopathological </w:t>
      </w:r>
      <w:r w:rsidR="00016202">
        <w:rPr>
          <w:sz w:val="24"/>
          <w:lang w:val="en-US"/>
        </w:rPr>
        <w:t>symptoms</w:t>
      </w:r>
      <w:r w:rsidR="00E64424">
        <w:rPr>
          <w:sz w:val="24"/>
          <w:lang w:val="en-US"/>
        </w:rPr>
        <w:t xml:space="preserve"> (e.g., </w:t>
      </w:r>
      <w:r w:rsidR="00531067">
        <w:rPr>
          <w:sz w:val="24"/>
          <w:lang w:val="en-US"/>
        </w:rPr>
        <w:t>anxiety</w:t>
      </w:r>
      <w:r w:rsidR="00E64424">
        <w:rPr>
          <w:sz w:val="24"/>
          <w:lang w:val="en-US"/>
        </w:rPr>
        <w:t>)</w:t>
      </w:r>
      <w:r w:rsidR="00531067">
        <w:rPr>
          <w:sz w:val="24"/>
          <w:lang w:val="en-US"/>
        </w:rPr>
        <w:t xml:space="preserve">, </w:t>
      </w:r>
      <w:r w:rsidR="00A5144A">
        <w:rPr>
          <w:sz w:val="24"/>
          <w:lang w:val="en-US"/>
        </w:rPr>
        <w:t xml:space="preserve">individuals </w:t>
      </w:r>
      <w:r w:rsidR="00531067">
        <w:rPr>
          <w:sz w:val="24"/>
          <w:lang w:val="en-US"/>
        </w:rPr>
        <w:t xml:space="preserve">may </w:t>
      </w:r>
      <w:r w:rsidR="00A5144A">
        <w:rPr>
          <w:sz w:val="24"/>
          <w:lang w:val="en-US"/>
        </w:rPr>
        <w:t xml:space="preserve">perceive </w:t>
      </w:r>
      <w:r w:rsidR="002E05A7">
        <w:rPr>
          <w:sz w:val="24"/>
          <w:lang w:val="en-US"/>
        </w:rPr>
        <w:t>that</w:t>
      </w:r>
      <w:r w:rsidR="00156FD0">
        <w:rPr>
          <w:sz w:val="24"/>
          <w:lang w:val="en-US"/>
        </w:rPr>
        <w:t xml:space="preserve"> the disease and its treatment have</w:t>
      </w:r>
      <w:r w:rsidR="002E05A7">
        <w:rPr>
          <w:sz w:val="24"/>
          <w:lang w:val="en-US"/>
        </w:rPr>
        <w:t xml:space="preserve"> a lower impact on their</w:t>
      </w:r>
      <w:r w:rsidR="00C91FAB">
        <w:rPr>
          <w:sz w:val="24"/>
          <w:lang w:val="en-US"/>
        </w:rPr>
        <w:t xml:space="preserve"> </w:t>
      </w:r>
      <w:r w:rsidR="00A5144A">
        <w:rPr>
          <w:sz w:val="24"/>
          <w:lang w:val="en-US"/>
        </w:rPr>
        <w:t>well-being and functioning in multiple domains (</w:t>
      </w:r>
      <w:r w:rsidR="00A5144A" w:rsidRPr="00232DA2">
        <w:rPr>
          <w:sz w:val="24"/>
          <w:lang w:val="en-US"/>
        </w:rPr>
        <w:t>physical,</w:t>
      </w:r>
      <w:r w:rsidR="00A5144A">
        <w:rPr>
          <w:sz w:val="24"/>
          <w:lang w:val="en-US"/>
        </w:rPr>
        <w:t xml:space="preserve"> </w:t>
      </w:r>
      <w:r w:rsidR="00A5144A" w:rsidRPr="00232DA2">
        <w:rPr>
          <w:sz w:val="24"/>
          <w:lang w:val="en-US"/>
        </w:rPr>
        <w:t>psychological and social</w:t>
      </w:r>
      <w:r w:rsidR="00A5144A">
        <w:rPr>
          <w:sz w:val="24"/>
          <w:lang w:val="en-US"/>
        </w:rPr>
        <w:t>)</w:t>
      </w:r>
      <w:r w:rsidR="002E05A7">
        <w:rPr>
          <w:sz w:val="24"/>
          <w:lang w:val="en-US"/>
        </w:rPr>
        <w:t>, i.e.,</w:t>
      </w:r>
      <w:r w:rsidR="00E64424">
        <w:rPr>
          <w:sz w:val="24"/>
          <w:lang w:val="en-US"/>
        </w:rPr>
        <w:t xml:space="preserve"> they </w:t>
      </w:r>
      <w:r w:rsidR="009154F6">
        <w:rPr>
          <w:sz w:val="24"/>
          <w:lang w:val="en-US"/>
        </w:rPr>
        <w:t xml:space="preserve">may </w:t>
      </w:r>
      <w:r w:rsidR="00E64424">
        <w:rPr>
          <w:sz w:val="24"/>
          <w:lang w:val="en-US"/>
        </w:rPr>
        <w:t>report</w:t>
      </w:r>
      <w:r w:rsidR="002E05A7">
        <w:rPr>
          <w:sz w:val="24"/>
          <w:lang w:val="en-US"/>
        </w:rPr>
        <w:t xml:space="preserve"> </w:t>
      </w:r>
      <w:r w:rsidR="00A5144A">
        <w:rPr>
          <w:sz w:val="24"/>
          <w:lang w:val="en-US"/>
        </w:rPr>
        <w:t xml:space="preserve">higher </w:t>
      </w:r>
      <w:proofErr w:type="spellStart"/>
      <w:r w:rsidR="00A5144A">
        <w:rPr>
          <w:sz w:val="24"/>
          <w:lang w:val="en-US"/>
        </w:rPr>
        <w:t>HRQoL</w:t>
      </w:r>
      <w:proofErr w:type="spellEnd"/>
      <w:r w:rsidR="006123E3" w:rsidRPr="00232DA2">
        <w:rPr>
          <w:sz w:val="24"/>
          <w:lang w:val="en-US"/>
        </w:rPr>
        <w:t xml:space="preserve"> (</w:t>
      </w:r>
      <w:proofErr w:type="spellStart"/>
      <w:r w:rsidR="006123E3" w:rsidRPr="00232DA2">
        <w:rPr>
          <w:sz w:val="24"/>
          <w:lang w:val="en-US"/>
        </w:rPr>
        <w:t>Efficace</w:t>
      </w:r>
      <w:proofErr w:type="spellEnd"/>
      <w:r w:rsidR="006123E3" w:rsidRPr="00232DA2">
        <w:rPr>
          <w:sz w:val="24"/>
          <w:lang w:val="en-US"/>
        </w:rPr>
        <w:t xml:space="preserve"> et al., 2003; </w:t>
      </w:r>
      <w:proofErr w:type="spellStart"/>
      <w:r w:rsidR="006123E3" w:rsidRPr="00232DA2">
        <w:rPr>
          <w:sz w:val="24"/>
          <w:lang w:val="en-US"/>
        </w:rPr>
        <w:t>Langeveld</w:t>
      </w:r>
      <w:proofErr w:type="spellEnd"/>
      <w:r w:rsidR="006123E3" w:rsidRPr="00232DA2">
        <w:rPr>
          <w:sz w:val="24"/>
          <w:lang w:val="en-US"/>
        </w:rPr>
        <w:t xml:space="preserve">, </w:t>
      </w:r>
      <w:proofErr w:type="spellStart"/>
      <w:r w:rsidR="006123E3" w:rsidRPr="00232DA2">
        <w:rPr>
          <w:sz w:val="24"/>
          <w:lang w:val="en-US"/>
        </w:rPr>
        <w:t>Stam</w:t>
      </w:r>
      <w:proofErr w:type="spellEnd"/>
      <w:r w:rsidR="006123E3" w:rsidRPr="00232DA2">
        <w:rPr>
          <w:sz w:val="24"/>
          <w:lang w:val="en-US"/>
        </w:rPr>
        <w:t xml:space="preserve">, </w:t>
      </w:r>
      <w:proofErr w:type="spellStart"/>
      <w:r w:rsidR="006123E3" w:rsidRPr="00232DA2">
        <w:rPr>
          <w:sz w:val="24"/>
          <w:lang w:val="en-US"/>
        </w:rPr>
        <w:t>Grootenhuis</w:t>
      </w:r>
      <w:proofErr w:type="spellEnd"/>
      <w:r w:rsidR="006123E3" w:rsidRPr="00232DA2">
        <w:rPr>
          <w:sz w:val="24"/>
          <w:lang w:val="en-US"/>
        </w:rPr>
        <w:t>,</w:t>
      </w:r>
      <w:r w:rsidR="006123E3">
        <w:rPr>
          <w:sz w:val="24"/>
          <w:lang w:val="en-US"/>
        </w:rPr>
        <w:t xml:space="preserve"> </w:t>
      </w:r>
      <w:r w:rsidR="006123E3" w:rsidRPr="00232DA2">
        <w:rPr>
          <w:sz w:val="24"/>
          <w:lang w:val="en-US"/>
        </w:rPr>
        <w:t xml:space="preserve">&amp; Last, 2002; </w:t>
      </w:r>
      <w:proofErr w:type="spellStart"/>
      <w:r w:rsidR="006123E3" w:rsidRPr="00232DA2">
        <w:rPr>
          <w:sz w:val="24"/>
          <w:lang w:val="en-US"/>
        </w:rPr>
        <w:t>Varni</w:t>
      </w:r>
      <w:proofErr w:type="spellEnd"/>
      <w:r w:rsidR="006123E3" w:rsidRPr="00232DA2">
        <w:rPr>
          <w:sz w:val="24"/>
          <w:lang w:val="en-US"/>
        </w:rPr>
        <w:t xml:space="preserve">, </w:t>
      </w:r>
      <w:proofErr w:type="spellStart"/>
      <w:r w:rsidR="006123E3" w:rsidRPr="00232DA2">
        <w:rPr>
          <w:sz w:val="24"/>
          <w:lang w:val="en-US"/>
        </w:rPr>
        <w:t>Burwinkle</w:t>
      </w:r>
      <w:proofErr w:type="spellEnd"/>
      <w:r w:rsidR="006123E3" w:rsidRPr="00232DA2">
        <w:rPr>
          <w:sz w:val="24"/>
          <w:lang w:val="en-US"/>
        </w:rPr>
        <w:t>, &amp; Lane, 2005)</w:t>
      </w:r>
      <w:r w:rsidR="002E05A7">
        <w:rPr>
          <w:sz w:val="24"/>
          <w:lang w:val="en-US"/>
        </w:rPr>
        <w:t>.</w:t>
      </w:r>
    </w:p>
    <w:p w:rsidR="00744C94" w:rsidRDefault="00A54A7B" w:rsidP="009E62DD">
      <w:pPr>
        <w:spacing w:line="480" w:lineRule="auto"/>
        <w:jc w:val="left"/>
        <w:rPr>
          <w:sz w:val="24"/>
          <w:lang w:val="en-US"/>
        </w:rPr>
      </w:pPr>
      <w:r w:rsidRPr="008B7E48">
        <w:rPr>
          <w:sz w:val="24"/>
          <w:lang w:val="en-US"/>
        </w:rPr>
        <w:t xml:space="preserve">The results </w:t>
      </w:r>
      <w:r w:rsidR="00E14777">
        <w:rPr>
          <w:sz w:val="24"/>
          <w:lang w:val="en-US"/>
        </w:rPr>
        <w:t xml:space="preserve">demonstrated </w:t>
      </w:r>
      <w:r w:rsidRPr="008B7E48">
        <w:rPr>
          <w:sz w:val="24"/>
          <w:lang w:val="en-US"/>
        </w:rPr>
        <w:t xml:space="preserve">that the only significant difference in the mediation model according to treatment status was located in the strength of the </w:t>
      </w:r>
      <w:r w:rsidR="00847BAF">
        <w:rPr>
          <w:sz w:val="24"/>
          <w:lang w:val="en-US"/>
        </w:rPr>
        <w:t>association</w:t>
      </w:r>
      <w:r w:rsidR="00847BAF" w:rsidRPr="008B7E48">
        <w:rPr>
          <w:sz w:val="24"/>
          <w:lang w:val="en-US"/>
        </w:rPr>
        <w:t xml:space="preserve"> </w:t>
      </w:r>
      <w:r w:rsidRPr="008B7E48">
        <w:rPr>
          <w:sz w:val="24"/>
          <w:lang w:val="en-US"/>
        </w:rPr>
        <w:t xml:space="preserve">between anxiety and </w:t>
      </w:r>
      <w:proofErr w:type="spellStart"/>
      <w:r w:rsidRPr="008B7E48">
        <w:rPr>
          <w:sz w:val="24"/>
          <w:lang w:val="en-US"/>
        </w:rPr>
        <w:t>HRQoL</w:t>
      </w:r>
      <w:proofErr w:type="spellEnd"/>
      <w:r w:rsidRPr="008B7E48">
        <w:rPr>
          <w:sz w:val="24"/>
          <w:lang w:val="en-US"/>
        </w:rPr>
        <w:t>: this relationship was stronger for children/adolescents currently undergoing treatment. These findings support the idea that during the treatment period there are specific perceived sources of anxiety, such as the illness (</w:t>
      </w:r>
      <w:proofErr w:type="spellStart"/>
      <w:r w:rsidRPr="008B7E48">
        <w:rPr>
          <w:bCs/>
          <w:sz w:val="24"/>
          <w:lang w:val="en-US"/>
        </w:rPr>
        <w:t>Enskar</w:t>
      </w:r>
      <w:proofErr w:type="spellEnd"/>
      <w:r w:rsidRPr="008B7E48">
        <w:rPr>
          <w:bCs/>
          <w:sz w:val="24"/>
          <w:lang w:val="en-US"/>
        </w:rPr>
        <w:t xml:space="preserve"> &amp; Von Essen, 2007</w:t>
      </w:r>
      <w:r w:rsidRPr="00C90FE2">
        <w:rPr>
          <w:bCs/>
          <w:sz w:val="24"/>
          <w:lang w:val="en-US"/>
        </w:rPr>
        <w:t>)</w:t>
      </w:r>
      <w:r w:rsidR="005D5C3B" w:rsidRPr="00C90FE2">
        <w:rPr>
          <w:bCs/>
          <w:sz w:val="24"/>
          <w:lang w:val="en-US"/>
        </w:rPr>
        <w:t>,</w:t>
      </w:r>
      <w:r w:rsidRPr="008B7E48">
        <w:rPr>
          <w:sz w:val="24"/>
          <w:lang w:val="en-US"/>
        </w:rPr>
        <w:t xml:space="preserve"> treatment efficacy (</w:t>
      </w:r>
      <w:proofErr w:type="spellStart"/>
      <w:r w:rsidRPr="008B7E48">
        <w:rPr>
          <w:iCs/>
          <w:sz w:val="24"/>
          <w:lang w:val="en-US"/>
        </w:rPr>
        <w:t>Hedstrom</w:t>
      </w:r>
      <w:proofErr w:type="spellEnd"/>
      <w:r w:rsidR="00DF660B">
        <w:rPr>
          <w:iCs/>
          <w:sz w:val="24"/>
          <w:lang w:val="en-US"/>
        </w:rPr>
        <w:t xml:space="preserve"> et al.,</w:t>
      </w:r>
      <w:r w:rsidRPr="008B7E48">
        <w:rPr>
          <w:iCs/>
          <w:sz w:val="24"/>
          <w:lang w:val="en-US"/>
        </w:rPr>
        <w:t xml:space="preserve"> </w:t>
      </w:r>
      <w:r w:rsidRPr="008B7E48">
        <w:rPr>
          <w:sz w:val="24"/>
          <w:lang w:val="en-US"/>
        </w:rPr>
        <w:t>2005) and uncertainty about the future (</w:t>
      </w:r>
      <w:proofErr w:type="spellStart"/>
      <w:r w:rsidRPr="008B7E48">
        <w:rPr>
          <w:sz w:val="24"/>
          <w:lang w:val="en-US"/>
        </w:rPr>
        <w:t>Enskar</w:t>
      </w:r>
      <w:proofErr w:type="spellEnd"/>
      <w:r w:rsidR="00DF660B" w:rsidRPr="00DF660B">
        <w:rPr>
          <w:sz w:val="24"/>
          <w:lang w:val="en-US"/>
        </w:rPr>
        <w:t xml:space="preserve">, </w:t>
      </w:r>
      <w:proofErr w:type="spellStart"/>
      <w:r w:rsidR="00DF660B" w:rsidRPr="00DF660B">
        <w:rPr>
          <w:sz w:val="24"/>
          <w:lang w:val="en-US"/>
        </w:rPr>
        <w:t>Carlsson</w:t>
      </w:r>
      <w:proofErr w:type="spellEnd"/>
      <w:r w:rsidR="00DF660B" w:rsidRPr="00DF660B">
        <w:rPr>
          <w:sz w:val="24"/>
          <w:lang w:val="en-US"/>
        </w:rPr>
        <w:t xml:space="preserve">, </w:t>
      </w:r>
      <w:proofErr w:type="spellStart"/>
      <w:r w:rsidR="00DF660B" w:rsidRPr="00DF660B">
        <w:rPr>
          <w:sz w:val="24"/>
          <w:lang w:val="en-US"/>
        </w:rPr>
        <w:t>Golsater</w:t>
      </w:r>
      <w:proofErr w:type="spellEnd"/>
      <w:r w:rsidR="00DF660B" w:rsidRPr="00DF660B">
        <w:rPr>
          <w:sz w:val="24"/>
          <w:lang w:val="en-US"/>
        </w:rPr>
        <w:t xml:space="preserve">, &amp; </w:t>
      </w:r>
      <w:proofErr w:type="spellStart"/>
      <w:r w:rsidR="00DF660B" w:rsidRPr="00DF660B">
        <w:rPr>
          <w:sz w:val="24"/>
          <w:lang w:val="en-US"/>
        </w:rPr>
        <w:t>Hamrin</w:t>
      </w:r>
      <w:proofErr w:type="spellEnd"/>
      <w:r w:rsidRPr="008B7E48">
        <w:rPr>
          <w:sz w:val="24"/>
          <w:lang w:val="en-US"/>
        </w:rPr>
        <w:t xml:space="preserve">, 1997; </w:t>
      </w:r>
      <w:proofErr w:type="spellStart"/>
      <w:r w:rsidRPr="008B7E48">
        <w:rPr>
          <w:sz w:val="24"/>
          <w:lang w:val="en-US"/>
        </w:rPr>
        <w:t>Hedstrom</w:t>
      </w:r>
      <w:proofErr w:type="spellEnd"/>
      <w:r w:rsidRPr="008B7E48">
        <w:rPr>
          <w:sz w:val="24"/>
          <w:lang w:val="en-US"/>
        </w:rPr>
        <w:t xml:space="preserve"> et al., 2005; </w:t>
      </w:r>
      <w:proofErr w:type="spellStart"/>
      <w:r w:rsidRPr="008B7E48">
        <w:rPr>
          <w:sz w:val="24"/>
          <w:lang w:val="en-US"/>
        </w:rPr>
        <w:t>Woodgate</w:t>
      </w:r>
      <w:proofErr w:type="spellEnd"/>
      <w:r w:rsidRPr="008B7E48">
        <w:rPr>
          <w:sz w:val="24"/>
          <w:lang w:val="en-US"/>
        </w:rPr>
        <w:t xml:space="preserve"> &amp; </w:t>
      </w:r>
      <w:proofErr w:type="spellStart"/>
      <w:r w:rsidRPr="008B7E48">
        <w:rPr>
          <w:sz w:val="24"/>
          <w:lang w:val="en-US"/>
        </w:rPr>
        <w:t>Degner</w:t>
      </w:r>
      <w:proofErr w:type="spellEnd"/>
      <w:r w:rsidRPr="008B7E48">
        <w:rPr>
          <w:sz w:val="24"/>
          <w:lang w:val="en-US"/>
        </w:rPr>
        <w:t xml:space="preserve">, 2002) that may have an additional negative impact on children and adolescents’ </w:t>
      </w:r>
      <w:proofErr w:type="spellStart"/>
      <w:r w:rsidRPr="008B7E48">
        <w:rPr>
          <w:sz w:val="24"/>
          <w:lang w:val="en-US"/>
        </w:rPr>
        <w:t>HRQoL</w:t>
      </w:r>
      <w:proofErr w:type="spellEnd"/>
      <w:r w:rsidRPr="008B7E48">
        <w:rPr>
          <w:sz w:val="24"/>
          <w:lang w:val="en-US"/>
        </w:rPr>
        <w:t xml:space="preserve">. </w:t>
      </w:r>
    </w:p>
    <w:p w:rsidR="00744C94" w:rsidRPr="00A64BAB" w:rsidRDefault="00A54A7B" w:rsidP="002374F4">
      <w:pPr>
        <w:spacing w:line="480" w:lineRule="auto"/>
        <w:jc w:val="left"/>
        <w:rPr>
          <w:b/>
          <w:color w:val="222222"/>
          <w:szCs w:val="22"/>
          <w:shd w:val="clear" w:color="auto" w:fill="FFFFFF"/>
          <w:lang w:val="en-US"/>
        </w:rPr>
      </w:pPr>
      <w:r w:rsidRPr="008B7E48">
        <w:rPr>
          <w:sz w:val="24"/>
          <w:lang w:val="en-US"/>
        </w:rPr>
        <w:t xml:space="preserve">Nevertheless, there are limitations that need to be considered. The cross-sectional </w:t>
      </w:r>
      <w:r w:rsidRPr="008B7E48">
        <w:rPr>
          <w:sz w:val="24"/>
          <w:lang w:val="en-US"/>
        </w:rPr>
        <w:lastRenderedPageBreak/>
        <w:t xml:space="preserve">nature of this study did not allow for disentangling of the direction of causality among the study’s variables. </w:t>
      </w:r>
      <w:r w:rsidR="00F849E0">
        <w:rPr>
          <w:sz w:val="24"/>
          <w:lang w:val="en-US"/>
        </w:rPr>
        <w:t xml:space="preserve">Although the literature revision supports the mediation model tested, </w:t>
      </w:r>
      <w:r w:rsidRPr="008B7E48">
        <w:rPr>
          <w:sz w:val="24"/>
          <w:lang w:val="en-US"/>
        </w:rPr>
        <w:t>it is possible</w:t>
      </w:r>
      <w:r w:rsidR="00F849E0">
        <w:rPr>
          <w:sz w:val="24"/>
          <w:lang w:val="en-US"/>
        </w:rPr>
        <w:t>, for instance,</w:t>
      </w:r>
      <w:r w:rsidRPr="008B7E48">
        <w:rPr>
          <w:sz w:val="24"/>
          <w:lang w:val="en-US"/>
        </w:rPr>
        <w:t xml:space="preserve"> that </w:t>
      </w:r>
      <w:r w:rsidR="00F849E0">
        <w:rPr>
          <w:sz w:val="24"/>
          <w:lang w:val="en-US"/>
        </w:rPr>
        <w:t xml:space="preserve">anxiety is associated with lower levels of hope, which in turn, are associated to worse </w:t>
      </w:r>
      <w:proofErr w:type="spellStart"/>
      <w:r w:rsidR="00F849E0">
        <w:rPr>
          <w:sz w:val="24"/>
          <w:lang w:val="en-US"/>
        </w:rPr>
        <w:t>HRQoL</w:t>
      </w:r>
      <w:proofErr w:type="spellEnd"/>
      <w:r w:rsidR="00F849E0">
        <w:rPr>
          <w:sz w:val="24"/>
          <w:lang w:val="en-US"/>
        </w:rPr>
        <w:t xml:space="preserve">. </w:t>
      </w:r>
      <w:r w:rsidRPr="008B7E48">
        <w:rPr>
          <w:sz w:val="24"/>
          <w:lang w:val="en-US"/>
        </w:rPr>
        <w:t>Secondly, this study did not address specific developmental (e.g. age group) and clinical (e.g. intensity of treatment</w:t>
      </w:r>
      <w:r w:rsidR="00CA31DE">
        <w:rPr>
          <w:sz w:val="24"/>
          <w:lang w:val="en-US"/>
        </w:rPr>
        <w:t>, cancer type</w:t>
      </w:r>
      <w:r w:rsidR="00066C06">
        <w:rPr>
          <w:sz w:val="24"/>
          <w:lang w:val="en-US"/>
        </w:rPr>
        <w:t>, prognosis</w:t>
      </w:r>
      <w:r w:rsidRPr="008B7E48">
        <w:rPr>
          <w:sz w:val="24"/>
          <w:lang w:val="en-US"/>
        </w:rPr>
        <w:t xml:space="preserve">) features, which may have an important role in how patients experience this health condition. </w:t>
      </w:r>
      <w:r w:rsidR="002374F4" w:rsidRPr="00C90FE2">
        <w:rPr>
          <w:color w:val="222222"/>
          <w:sz w:val="24"/>
          <w:szCs w:val="22"/>
          <w:shd w:val="clear" w:color="auto" w:fill="FFFFFF"/>
          <w:lang w:val="en-US"/>
        </w:rPr>
        <w:t>This approach</w:t>
      </w:r>
      <w:r w:rsidR="00C90FE2">
        <w:rPr>
          <w:color w:val="222222"/>
          <w:sz w:val="24"/>
          <w:szCs w:val="22"/>
          <w:shd w:val="clear" w:color="auto" w:fill="FFFFFF"/>
          <w:lang w:val="en-US"/>
        </w:rPr>
        <w:t xml:space="preserve"> would</w:t>
      </w:r>
      <w:r w:rsidR="002374F4" w:rsidRPr="00C90FE2">
        <w:rPr>
          <w:color w:val="222222"/>
          <w:sz w:val="24"/>
          <w:szCs w:val="22"/>
          <w:shd w:val="clear" w:color="auto" w:fill="FFFFFF"/>
          <w:lang w:val="en-US"/>
        </w:rPr>
        <w:t xml:space="preserve"> a</w:t>
      </w:r>
      <w:r w:rsidR="00C90FE2" w:rsidRPr="00C90FE2">
        <w:rPr>
          <w:color w:val="222222"/>
          <w:sz w:val="24"/>
          <w:szCs w:val="22"/>
          <w:shd w:val="clear" w:color="auto" w:fill="FFFFFF"/>
          <w:lang w:val="en-US"/>
        </w:rPr>
        <w:t>llow</w:t>
      </w:r>
      <w:r w:rsidR="002374F4" w:rsidRPr="00C90FE2">
        <w:rPr>
          <w:color w:val="222222"/>
          <w:sz w:val="24"/>
          <w:szCs w:val="22"/>
          <w:shd w:val="clear" w:color="auto" w:fill="FFFFFF"/>
          <w:lang w:val="en-US"/>
        </w:rPr>
        <w:t xml:space="preserve"> a more comprehensive understa</w:t>
      </w:r>
      <w:r w:rsidR="001E4506">
        <w:rPr>
          <w:color w:val="222222"/>
          <w:sz w:val="24"/>
          <w:szCs w:val="22"/>
          <w:shd w:val="clear" w:color="auto" w:fill="FFFFFF"/>
          <w:lang w:val="en-US"/>
        </w:rPr>
        <w:t>nding</w:t>
      </w:r>
      <w:r w:rsidR="002374F4" w:rsidRPr="00C90FE2">
        <w:rPr>
          <w:color w:val="222222"/>
          <w:sz w:val="24"/>
          <w:szCs w:val="22"/>
          <w:shd w:val="clear" w:color="auto" w:fill="FFFFFF"/>
          <w:lang w:val="en-US"/>
        </w:rPr>
        <w:t xml:space="preserve"> of the impact of the developmental stage on</w:t>
      </w:r>
      <w:r w:rsidR="0049762B" w:rsidRPr="00C90FE2">
        <w:rPr>
          <w:color w:val="222222"/>
          <w:sz w:val="24"/>
          <w:szCs w:val="22"/>
          <w:shd w:val="clear" w:color="auto" w:fill="FFFFFF"/>
          <w:lang w:val="en-US"/>
        </w:rPr>
        <w:t xml:space="preserve"> </w:t>
      </w:r>
      <w:r w:rsidR="00650F19" w:rsidRPr="00C90FE2">
        <w:rPr>
          <w:color w:val="222222"/>
          <w:sz w:val="24"/>
          <w:szCs w:val="22"/>
          <w:shd w:val="clear" w:color="auto" w:fill="FFFFFF"/>
          <w:lang w:val="en-US"/>
        </w:rPr>
        <w:t>youths’</w:t>
      </w:r>
      <w:r w:rsidR="002374F4" w:rsidRPr="00C90FE2">
        <w:rPr>
          <w:color w:val="222222"/>
          <w:sz w:val="24"/>
          <w:szCs w:val="22"/>
          <w:shd w:val="clear" w:color="auto" w:fill="FFFFFF"/>
          <w:lang w:val="en-US"/>
        </w:rPr>
        <w:t xml:space="preserve"> hope</w:t>
      </w:r>
      <w:r w:rsidR="00650F19" w:rsidRPr="00C90FE2">
        <w:rPr>
          <w:color w:val="222222"/>
          <w:sz w:val="24"/>
          <w:szCs w:val="22"/>
          <w:shd w:val="clear" w:color="auto" w:fill="FFFFFF"/>
          <w:lang w:val="en-US"/>
        </w:rPr>
        <w:t xml:space="preserve">. </w:t>
      </w:r>
      <w:r w:rsidR="0049762B" w:rsidRPr="00C90FE2">
        <w:rPr>
          <w:color w:val="222222"/>
          <w:sz w:val="24"/>
          <w:szCs w:val="22"/>
          <w:shd w:val="clear" w:color="auto" w:fill="FFFFFF"/>
          <w:lang w:val="en-US"/>
        </w:rPr>
        <w:t xml:space="preserve">Future research should examine the potential moderator/mediator effect of the </w:t>
      </w:r>
      <w:r w:rsidR="001E4506">
        <w:rPr>
          <w:color w:val="222222"/>
          <w:sz w:val="24"/>
          <w:szCs w:val="22"/>
          <w:shd w:val="clear" w:color="auto" w:fill="FFFFFF"/>
          <w:lang w:val="en-US"/>
        </w:rPr>
        <w:t>patients’</w:t>
      </w:r>
      <w:r w:rsidR="0049762B" w:rsidRPr="00C90FE2">
        <w:rPr>
          <w:color w:val="222222"/>
          <w:sz w:val="24"/>
          <w:szCs w:val="22"/>
          <w:shd w:val="clear" w:color="auto" w:fill="FFFFFF"/>
          <w:lang w:val="en-US"/>
        </w:rPr>
        <w:t xml:space="preserve"> developmental stage in the relationship between hope and adaptation outcomes. </w:t>
      </w:r>
      <w:r w:rsidRPr="008B7E48">
        <w:rPr>
          <w:sz w:val="24"/>
          <w:lang w:val="en-US"/>
        </w:rPr>
        <w:t xml:space="preserve">Thirdly, </w:t>
      </w:r>
      <w:r w:rsidR="00C230C2">
        <w:rPr>
          <w:sz w:val="24"/>
          <w:lang w:val="en-US"/>
        </w:rPr>
        <w:t xml:space="preserve">it must be noted that given the exclusive </w:t>
      </w:r>
      <w:r w:rsidR="00C230C2" w:rsidRPr="008B7E48">
        <w:rPr>
          <w:sz w:val="24"/>
          <w:lang w:val="en-US"/>
        </w:rPr>
        <w:t xml:space="preserve">focus </w:t>
      </w:r>
      <w:r w:rsidR="00C230C2">
        <w:rPr>
          <w:sz w:val="24"/>
          <w:lang w:val="en-US"/>
        </w:rPr>
        <w:t>on</w:t>
      </w:r>
      <w:r w:rsidR="00C230C2" w:rsidRPr="008B7E48">
        <w:rPr>
          <w:sz w:val="24"/>
          <w:lang w:val="en-US"/>
        </w:rPr>
        <w:t xml:space="preserve"> youths’ self-reports</w:t>
      </w:r>
      <w:proofErr w:type="gramStart"/>
      <w:r w:rsidR="00C230C2">
        <w:rPr>
          <w:sz w:val="24"/>
          <w:lang w:val="en-US"/>
        </w:rPr>
        <w:t>,</w:t>
      </w:r>
      <w:proofErr w:type="gramEnd"/>
      <w:r w:rsidR="00C230C2">
        <w:rPr>
          <w:sz w:val="24"/>
          <w:lang w:val="en-US"/>
        </w:rPr>
        <w:t xml:space="preserve"> </w:t>
      </w:r>
      <w:r w:rsidR="00C230C2" w:rsidRPr="008B7E48">
        <w:rPr>
          <w:sz w:val="24"/>
          <w:lang w:val="en-US"/>
        </w:rPr>
        <w:t>caution is crucial due to the single-method response bias, which reinforces the need for further research based on multi-methods response analysis with a group of key informers (e.g., child/adolescent, parent</w:t>
      </w:r>
      <w:r w:rsidR="00C230C2">
        <w:rPr>
          <w:sz w:val="24"/>
          <w:lang w:val="en-US"/>
        </w:rPr>
        <w:t xml:space="preserve">s, teachers and/or clinicians). Finally, </w:t>
      </w:r>
      <w:r w:rsidRPr="008B7E48">
        <w:rPr>
          <w:sz w:val="24"/>
          <w:lang w:val="en-US"/>
        </w:rPr>
        <w:t>the sample was recruited from two oncology services of two Portuguese hospitals; we cannot rule out the possibility that results may have been influenced by the quality of institutional care received or other contextual variables, and thus these must be interpreted with caution.</w:t>
      </w:r>
      <w:r w:rsidR="005C01E3">
        <w:rPr>
          <w:sz w:val="24"/>
          <w:lang w:val="en-US"/>
        </w:rPr>
        <w:t xml:space="preserve"> </w:t>
      </w:r>
      <w:r w:rsidR="00146507">
        <w:rPr>
          <w:sz w:val="24"/>
          <w:lang w:val="en-US"/>
        </w:rPr>
        <w:t>T</w:t>
      </w:r>
      <w:r w:rsidR="00360031">
        <w:rPr>
          <w:sz w:val="24"/>
          <w:lang w:val="en-US"/>
        </w:rPr>
        <w:t>hese findings</w:t>
      </w:r>
      <w:r w:rsidRPr="008B7E48">
        <w:rPr>
          <w:sz w:val="24"/>
          <w:lang w:val="en-US"/>
        </w:rPr>
        <w:t xml:space="preserve"> encourage future research examining the role of hope in children</w:t>
      </w:r>
      <w:r w:rsidR="00360031">
        <w:rPr>
          <w:sz w:val="24"/>
          <w:lang w:val="en-US"/>
        </w:rPr>
        <w:t>/</w:t>
      </w:r>
      <w:r w:rsidRPr="008B7E48">
        <w:rPr>
          <w:sz w:val="24"/>
          <w:lang w:val="en-US"/>
        </w:rPr>
        <w:t xml:space="preserve">adolescents facing cancer and their families. In addition to further studies mapping the importance of hope for </w:t>
      </w:r>
      <w:proofErr w:type="spellStart"/>
      <w:r w:rsidRPr="008B7E48">
        <w:rPr>
          <w:sz w:val="24"/>
          <w:lang w:val="en-US"/>
        </w:rPr>
        <w:t>HRQoL</w:t>
      </w:r>
      <w:proofErr w:type="spellEnd"/>
      <w:r w:rsidRPr="008B7E48">
        <w:rPr>
          <w:sz w:val="24"/>
          <w:lang w:val="en-US"/>
        </w:rPr>
        <w:t xml:space="preserve"> in the face of adverse conditions, such as a chronic illness (Affleck &amp; </w:t>
      </w:r>
      <w:proofErr w:type="spellStart"/>
      <w:r w:rsidRPr="008B7E48">
        <w:rPr>
          <w:sz w:val="24"/>
          <w:lang w:val="en-US"/>
        </w:rPr>
        <w:t>Tennen</w:t>
      </w:r>
      <w:proofErr w:type="spellEnd"/>
      <w:r w:rsidRPr="008B7E48">
        <w:rPr>
          <w:sz w:val="24"/>
          <w:lang w:val="en-US"/>
        </w:rPr>
        <w:t>, 1996; Snyder, 2000), subsequent research might examine how hope is related to specific coping styles</w:t>
      </w:r>
      <w:r w:rsidR="003825B6">
        <w:rPr>
          <w:sz w:val="24"/>
          <w:lang w:val="en-US"/>
        </w:rPr>
        <w:t xml:space="preserve"> and </w:t>
      </w:r>
      <w:r w:rsidR="003825B6" w:rsidRPr="003825B6">
        <w:rPr>
          <w:sz w:val="24"/>
          <w:lang w:val="en-US"/>
        </w:rPr>
        <w:t>cancer-related self-management behaviors</w:t>
      </w:r>
      <w:r w:rsidRPr="008B7E48">
        <w:rPr>
          <w:sz w:val="24"/>
          <w:lang w:val="en-US"/>
        </w:rPr>
        <w:t>. Given the scarcity of research on this topic, qualitative studies could be especially informative by exploring perceptions of hope, as well as their promoting factors in children</w:t>
      </w:r>
      <w:r w:rsidR="00883DE1">
        <w:rPr>
          <w:sz w:val="24"/>
          <w:lang w:val="en-US"/>
        </w:rPr>
        <w:t>/</w:t>
      </w:r>
      <w:r w:rsidRPr="008B7E48">
        <w:rPr>
          <w:sz w:val="24"/>
          <w:lang w:val="en-US"/>
        </w:rPr>
        <w:t xml:space="preserve">adolescents with cancer. Another possible avenue for research is the examination of the </w:t>
      </w:r>
      <w:r w:rsidRPr="008B7E48">
        <w:rPr>
          <w:sz w:val="24"/>
          <w:lang w:val="en-US"/>
        </w:rPr>
        <w:lastRenderedPageBreak/>
        <w:t>developmental course of hope, namely from childhood to adolescence</w:t>
      </w:r>
      <w:r w:rsidR="00360031">
        <w:rPr>
          <w:sz w:val="24"/>
          <w:lang w:val="en-US"/>
        </w:rPr>
        <w:t xml:space="preserve"> and </w:t>
      </w:r>
      <w:r w:rsidR="00066C06">
        <w:rPr>
          <w:sz w:val="24"/>
          <w:lang w:val="en-US"/>
        </w:rPr>
        <w:t>across treatment phases</w:t>
      </w:r>
      <w:r w:rsidRPr="008B7E48">
        <w:rPr>
          <w:sz w:val="24"/>
          <w:lang w:val="en-US"/>
        </w:rPr>
        <w:t>.</w:t>
      </w:r>
      <w:r w:rsidR="00A64BAB">
        <w:rPr>
          <w:sz w:val="24"/>
          <w:lang w:val="en-US"/>
        </w:rPr>
        <w:t xml:space="preserve"> Future studies </w:t>
      </w:r>
      <w:r w:rsidR="001E4506">
        <w:rPr>
          <w:sz w:val="24"/>
          <w:lang w:val="en-US"/>
        </w:rPr>
        <w:t>would benefit from including a</w:t>
      </w:r>
      <w:r w:rsidR="00A64BAB">
        <w:rPr>
          <w:sz w:val="24"/>
          <w:lang w:val="en-US"/>
        </w:rPr>
        <w:t xml:space="preserve"> comparison group (e.g., healthy children or children with another chronic disease) in order to investigate specificities about the perceptions and the impact of hope on pediatric cancer patients compared with the control groups.</w:t>
      </w:r>
    </w:p>
    <w:p w:rsidR="00A54A7B" w:rsidRDefault="00A54A7B" w:rsidP="00A54A7B">
      <w:pPr>
        <w:spacing w:line="480" w:lineRule="auto"/>
        <w:jc w:val="left"/>
        <w:rPr>
          <w:sz w:val="24"/>
          <w:lang w:val="en-US"/>
        </w:rPr>
      </w:pPr>
      <w:r w:rsidRPr="008B7E48">
        <w:rPr>
          <w:sz w:val="24"/>
          <w:lang w:val="en-US"/>
        </w:rPr>
        <w:t xml:space="preserve">The present study endorses the importance of developing interventions that improve cognitive-motivational strengths, such as hope, aimed at helping children/adolescents to cope more effectively with their illness and adversities that may occur during the treatment. The Making Hope Happen for Kids Program (Edwards &amp; Lopez, 2000) is an example of an intervention that has been successfully used with </w:t>
      </w:r>
      <w:r w:rsidR="00AD2DCC">
        <w:rPr>
          <w:sz w:val="24"/>
          <w:lang w:val="en-US"/>
        </w:rPr>
        <w:t xml:space="preserve">healthy </w:t>
      </w:r>
      <w:r w:rsidRPr="008B7E48">
        <w:rPr>
          <w:sz w:val="24"/>
          <w:lang w:val="en-US"/>
        </w:rPr>
        <w:t>students to enhance their hope levels (</w:t>
      </w:r>
      <w:proofErr w:type="spellStart"/>
      <w:r w:rsidRPr="008B7E48">
        <w:rPr>
          <w:sz w:val="24"/>
          <w:lang w:val="en-US"/>
        </w:rPr>
        <w:t>Pedrotti</w:t>
      </w:r>
      <w:proofErr w:type="spellEnd"/>
      <w:r w:rsidRPr="008B7E48">
        <w:rPr>
          <w:sz w:val="24"/>
          <w:lang w:val="en-US"/>
        </w:rPr>
        <w:t>, Lope</w:t>
      </w:r>
      <w:r w:rsidR="00952241">
        <w:rPr>
          <w:sz w:val="24"/>
          <w:lang w:val="en-US"/>
        </w:rPr>
        <w:t xml:space="preserve">z, &amp; </w:t>
      </w:r>
      <w:proofErr w:type="spellStart"/>
      <w:r w:rsidR="00952241">
        <w:rPr>
          <w:sz w:val="24"/>
          <w:lang w:val="en-US"/>
        </w:rPr>
        <w:t>Krieshok</w:t>
      </w:r>
      <w:proofErr w:type="spellEnd"/>
      <w:r w:rsidR="00952241">
        <w:rPr>
          <w:sz w:val="24"/>
          <w:lang w:val="en-US"/>
        </w:rPr>
        <w:t>, 2000</w:t>
      </w:r>
      <w:r w:rsidRPr="008B7E48">
        <w:rPr>
          <w:sz w:val="24"/>
          <w:lang w:val="en-US"/>
        </w:rPr>
        <w:t xml:space="preserve">). In order to develop evidence-based interventions to </w:t>
      </w:r>
      <w:r w:rsidR="001E7D07">
        <w:rPr>
          <w:sz w:val="24"/>
          <w:lang w:val="en-US"/>
        </w:rPr>
        <w:t>help</w:t>
      </w:r>
      <w:r w:rsidR="001E7D07" w:rsidRPr="008B7E48">
        <w:rPr>
          <w:sz w:val="24"/>
          <w:lang w:val="en-US"/>
        </w:rPr>
        <w:t xml:space="preserve"> </w:t>
      </w:r>
      <w:r w:rsidRPr="008B7E48">
        <w:rPr>
          <w:sz w:val="24"/>
          <w:lang w:val="en-US"/>
        </w:rPr>
        <w:t>youths</w:t>
      </w:r>
      <w:r w:rsidR="001E7D07">
        <w:rPr>
          <w:sz w:val="24"/>
          <w:lang w:val="en-US"/>
        </w:rPr>
        <w:t xml:space="preserve"> dealing with</w:t>
      </w:r>
      <w:r w:rsidRPr="008B7E48">
        <w:rPr>
          <w:sz w:val="24"/>
          <w:lang w:val="en-US"/>
        </w:rPr>
        <w:t xml:space="preserve"> cancer, the hope intervention suggested by Snyder based on problem-solving, narratives and motivational interviewing (Snyder, 2000) may be beneficial </w:t>
      </w:r>
      <w:r w:rsidR="007B1181">
        <w:rPr>
          <w:sz w:val="24"/>
          <w:lang w:val="en-US"/>
        </w:rPr>
        <w:t>helping youths dealing with cancer</w:t>
      </w:r>
      <w:r w:rsidR="005D7AD7">
        <w:rPr>
          <w:sz w:val="24"/>
          <w:lang w:val="en-US"/>
        </w:rPr>
        <w:t xml:space="preserve"> </w:t>
      </w:r>
      <w:r w:rsidRPr="008B7E48">
        <w:rPr>
          <w:sz w:val="24"/>
          <w:lang w:val="en-US"/>
        </w:rPr>
        <w:t>(</w:t>
      </w:r>
      <w:proofErr w:type="spellStart"/>
      <w:r w:rsidRPr="008B7E48">
        <w:rPr>
          <w:sz w:val="24"/>
          <w:lang w:val="en-US"/>
        </w:rPr>
        <w:t>Germann</w:t>
      </w:r>
      <w:proofErr w:type="spellEnd"/>
      <w:r w:rsidRPr="008B7E48">
        <w:rPr>
          <w:sz w:val="24"/>
          <w:lang w:val="en-US"/>
        </w:rPr>
        <w:t xml:space="preserve"> et al., 2012, February). According to Snyder’s conceptualization of hope as goal-directed thinking, </w:t>
      </w:r>
      <w:r w:rsidR="007B1181">
        <w:rPr>
          <w:sz w:val="24"/>
          <w:lang w:val="en-US"/>
        </w:rPr>
        <w:t>promoting</w:t>
      </w:r>
      <w:r w:rsidRPr="008B7E48">
        <w:rPr>
          <w:sz w:val="24"/>
          <w:lang w:val="en-US"/>
        </w:rPr>
        <w:t xml:space="preserve"> the active involvement of the child/adolescent in the therapeutic process would help youths to think in a way which would improve adaptation (Snyder et al., 1997). From the current study it is clear that hope plays a unique role in pediatric cancer</w:t>
      </w:r>
      <w:r w:rsidR="005D7AD7">
        <w:rPr>
          <w:sz w:val="24"/>
          <w:lang w:val="en-US"/>
        </w:rPr>
        <w:t>, reducing</w:t>
      </w:r>
      <w:r w:rsidR="005D7AD7" w:rsidRPr="008B7E48">
        <w:rPr>
          <w:sz w:val="24"/>
          <w:lang w:val="en-US"/>
        </w:rPr>
        <w:t xml:space="preserve"> the levels of anxiety </w:t>
      </w:r>
      <w:r w:rsidR="00ED6A87">
        <w:rPr>
          <w:sz w:val="24"/>
          <w:lang w:val="en-US"/>
        </w:rPr>
        <w:t>induced</w:t>
      </w:r>
      <w:r w:rsidR="005D7AD7" w:rsidRPr="008B7E48">
        <w:rPr>
          <w:sz w:val="24"/>
          <w:lang w:val="en-US"/>
        </w:rPr>
        <w:t xml:space="preserve"> by the invasive therapy</w:t>
      </w:r>
      <w:r w:rsidR="005D7AD7">
        <w:rPr>
          <w:sz w:val="24"/>
          <w:lang w:val="en-US"/>
        </w:rPr>
        <w:t xml:space="preserve"> and painful </w:t>
      </w:r>
      <w:r w:rsidR="005D7AD7" w:rsidRPr="008B7E48">
        <w:rPr>
          <w:sz w:val="24"/>
          <w:lang w:val="en-US"/>
        </w:rPr>
        <w:t>procedures</w:t>
      </w:r>
      <w:r w:rsidR="005D7AD7">
        <w:rPr>
          <w:sz w:val="24"/>
          <w:lang w:val="en-US"/>
        </w:rPr>
        <w:t xml:space="preserve"> and improving</w:t>
      </w:r>
      <w:r w:rsidR="005D7AD7" w:rsidRPr="008B7E48">
        <w:rPr>
          <w:sz w:val="24"/>
          <w:lang w:val="en-US"/>
        </w:rPr>
        <w:t xml:space="preserve"> </w:t>
      </w:r>
      <w:r w:rsidR="005D7AD7">
        <w:rPr>
          <w:sz w:val="24"/>
          <w:lang w:val="en-US"/>
        </w:rPr>
        <w:t>youths’</w:t>
      </w:r>
      <w:r w:rsidR="005D7AD7" w:rsidRPr="008B7E48">
        <w:rPr>
          <w:sz w:val="24"/>
          <w:lang w:val="en-US"/>
        </w:rPr>
        <w:t xml:space="preserve"> </w:t>
      </w:r>
      <w:proofErr w:type="spellStart"/>
      <w:r w:rsidR="005D7AD7" w:rsidRPr="008B7E48">
        <w:rPr>
          <w:sz w:val="24"/>
          <w:lang w:val="en-US"/>
        </w:rPr>
        <w:t>HRQoL</w:t>
      </w:r>
      <w:proofErr w:type="spellEnd"/>
      <w:r w:rsidR="005D7AD7">
        <w:rPr>
          <w:sz w:val="24"/>
          <w:lang w:val="en-US"/>
        </w:rPr>
        <w:t>.</w:t>
      </w:r>
      <w:r w:rsidRPr="008B7E48">
        <w:rPr>
          <w:sz w:val="24"/>
          <w:lang w:val="en-US"/>
        </w:rPr>
        <w:t xml:space="preserve"> Thus, it is important to develop knowledge and empirically-validated interventions that maximize youths and health caregivers’ ability to take advantage of this cognitive-motivational strength (</w:t>
      </w:r>
      <w:proofErr w:type="spellStart"/>
      <w:r w:rsidRPr="008B7E48">
        <w:rPr>
          <w:sz w:val="24"/>
          <w:lang w:val="en-US"/>
        </w:rPr>
        <w:t>Herth</w:t>
      </w:r>
      <w:proofErr w:type="spellEnd"/>
      <w:r w:rsidRPr="008B7E48">
        <w:rPr>
          <w:sz w:val="24"/>
          <w:lang w:val="en-US"/>
        </w:rPr>
        <w:t xml:space="preserve"> &amp; </w:t>
      </w:r>
      <w:proofErr w:type="spellStart"/>
      <w:r w:rsidRPr="008B7E48">
        <w:rPr>
          <w:sz w:val="24"/>
          <w:lang w:val="en-US"/>
        </w:rPr>
        <w:t>Cutcliffe</w:t>
      </w:r>
      <w:proofErr w:type="spellEnd"/>
      <w:r w:rsidRPr="008B7E48">
        <w:rPr>
          <w:sz w:val="24"/>
          <w:lang w:val="en-US"/>
        </w:rPr>
        <w:t>, 2002b; Snyder, 2000).</w:t>
      </w:r>
    </w:p>
    <w:p w:rsidR="009E62DD" w:rsidRDefault="009E62DD" w:rsidP="00A54A7B">
      <w:pPr>
        <w:spacing w:line="480" w:lineRule="auto"/>
        <w:jc w:val="left"/>
        <w:rPr>
          <w:sz w:val="24"/>
          <w:lang w:val="en-US"/>
        </w:rPr>
      </w:pPr>
    </w:p>
    <w:p w:rsidR="004E7121" w:rsidRPr="004E7121" w:rsidRDefault="004E7121" w:rsidP="004E7121">
      <w:pPr>
        <w:spacing w:line="480" w:lineRule="auto"/>
        <w:ind w:firstLine="0"/>
        <w:jc w:val="center"/>
        <w:rPr>
          <w:b/>
          <w:sz w:val="24"/>
          <w:lang w:val="en-US"/>
        </w:rPr>
      </w:pPr>
      <w:r w:rsidRPr="004E7121">
        <w:rPr>
          <w:b/>
          <w:sz w:val="24"/>
          <w:lang w:val="en-US"/>
        </w:rPr>
        <w:t>Acknowledgements</w:t>
      </w:r>
    </w:p>
    <w:p w:rsidR="003F5A17" w:rsidRDefault="004E7121" w:rsidP="003F5A17">
      <w:pPr>
        <w:spacing w:line="480" w:lineRule="auto"/>
        <w:jc w:val="left"/>
        <w:rPr>
          <w:sz w:val="24"/>
          <w:lang w:val="en-US"/>
        </w:rPr>
      </w:pPr>
      <w:r w:rsidRPr="004E7121">
        <w:rPr>
          <w:sz w:val="24"/>
          <w:lang w:val="en-US"/>
        </w:rPr>
        <w:lastRenderedPageBreak/>
        <w:t>The authors would like to thank the families and health staff of the pediatric wards of the</w:t>
      </w:r>
      <w:r w:rsidR="00C70D90">
        <w:rPr>
          <w:sz w:val="24"/>
          <w:lang w:val="en-US"/>
        </w:rPr>
        <w:t xml:space="preserve"> </w:t>
      </w:r>
      <w:r w:rsidR="00C70D90" w:rsidRPr="00030670">
        <w:rPr>
          <w:sz w:val="24"/>
          <w:lang w:val="en-US"/>
        </w:rPr>
        <w:t xml:space="preserve">Portuguese </w:t>
      </w:r>
      <w:r w:rsidR="00C70D90">
        <w:rPr>
          <w:sz w:val="24"/>
          <w:lang w:val="en-US"/>
        </w:rPr>
        <w:t>institutions (BLINDED FOR REVIEW)</w:t>
      </w:r>
      <w:r w:rsidR="003F5A17">
        <w:rPr>
          <w:sz w:val="24"/>
          <w:lang w:val="en-US"/>
        </w:rPr>
        <w:t xml:space="preserve">. </w:t>
      </w:r>
    </w:p>
    <w:p w:rsidR="00532E00" w:rsidRDefault="00532E00" w:rsidP="003F5A17">
      <w:pPr>
        <w:spacing w:line="480" w:lineRule="auto"/>
        <w:jc w:val="left"/>
        <w:rPr>
          <w:sz w:val="24"/>
          <w:lang w:val="en-US"/>
        </w:rPr>
      </w:pPr>
    </w:p>
    <w:p w:rsidR="00C059C7" w:rsidRDefault="005B6630" w:rsidP="00C059C7">
      <w:pPr>
        <w:spacing w:line="480" w:lineRule="auto"/>
        <w:jc w:val="center"/>
        <w:rPr>
          <w:b/>
          <w:color w:val="222222"/>
          <w:sz w:val="24"/>
          <w:shd w:val="clear" w:color="auto" w:fill="FFFFFF"/>
          <w:lang w:val="en-US"/>
        </w:rPr>
      </w:pPr>
      <w:r w:rsidRPr="005B6630">
        <w:rPr>
          <w:b/>
          <w:color w:val="222222"/>
          <w:sz w:val="24"/>
          <w:shd w:val="clear" w:color="auto" w:fill="FFFFFF"/>
          <w:lang w:val="en-US"/>
        </w:rPr>
        <w:t>Human and Animal Rights and Informed Consent</w:t>
      </w:r>
    </w:p>
    <w:p w:rsidR="003F5A17" w:rsidRDefault="00AC52A7" w:rsidP="003F5A17">
      <w:pPr>
        <w:spacing w:line="480" w:lineRule="auto"/>
        <w:jc w:val="left"/>
        <w:rPr>
          <w:sz w:val="24"/>
          <w:lang w:val="en-US"/>
        </w:rPr>
      </w:pPr>
      <w:r w:rsidRPr="00080202">
        <w:rPr>
          <w:sz w:val="24"/>
          <w:lang w:val="en-US"/>
        </w:rPr>
        <w:t>All procedures followed were in accordance with the ethical standards of the responsible committee on human experimentation (institutional and national) and with the Helsinki Declaration of 1975, as revised in 2000. Informed consent was obtained from all patients for being i</w:t>
      </w:r>
      <w:r>
        <w:rPr>
          <w:sz w:val="24"/>
          <w:lang w:val="en-US"/>
        </w:rPr>
        <w:t>ncluded in the study.</w:t>
      </w:r>
      <w:r w:rsidR="003F5A17">
        <w:rPr>
          <w:sz w:val="24"/>
          <w:lang w:val="en-US"/>
        </w:rPr>
        <w:t xml:space="preserve"> </w:t>
      </w:r>
    </w:p>
    <w:p w:rsidR="00203ED6" w:rsidRDefault="00203ED6" w:rsidP="003F5A17">
      <w:pPr>
        <w:spacing w:line="480" w:lineRule="auto"/>
        <w:jc w:val="left"/>
        <w:rPr>
          <w:sz w:val="24"/>
          <w:lang w:val="en-US"/>
        </w:rPr>
      </w:pPr>
    </w:p>
    <w:p w:rsidR="00C059C7" w:rsidRPr="00203ED6" w:rsidRDefault="00C059C7" w:rsidP="003F5A17">
      <w:pPr>
        <w:spacing w:line="480" w:lineRule="auto"/>
        <w:jc w:val="left"/>
        <w:rPr>
          <w:sz w:val="24"/>
          <w:lang w:val="en-US"/>
        </w:rPr>
      </w:pPr>
    </w:p>
    <w:p w:rsidR="00621100" w:rsidRPr="008B7E48" w:rsidRDefault="00621100" w:rsidP="00532E00">
      <w:pPr>
        <w:spacing w:line="480" w:lineRule="auto"/>
        <w:ind w:firstLine="0"/>
        <w:jc w:val="center"/>
        <w:rPr>
          <w:sz w:val="24"/>
          <w:lang w:val="en-US"/>
        </w:rPr>
      </w:pPr>
      <w:r w:rsidRPr="008B7E48">
        <w:rPr>
          <w:b/>
          <w:sz w:val="24"/>
          <w:lang w:val="en-US"/>
        </w:rPr>
        <w:t>References</w:t>
      </w:r>
    </w:p>
    <w:p w:rsidR="00621100" w:rsidRPr="008B7E48" w:rsidRDefault="008B4B3B" w:rsidP="00621100">
      <w:pPr>
        <w:pStyle w:val="NormalWeb"/>
        <w:spacing w:line="480" w:lineRule="auto"/>
        <w:ind w:left="567" w:hanging="567"/>
        <w:contextualSpacing/>
        <w:rPr>
          <w:noProof/>
          <w:lang w:val="en-US"/>
        </w:rPr>
      </w:pPr>
      <w:r w:rsidRPr="008B7E48">
        <w:rPr>
          <w:lang w:val="en-US"/>
        </w:rPr>
        <w:fldChar w:fldCharType="begin" w:fldLock="1"/>
      </w:r>
      <w:r w:rsidR="00621100" w:rsidRPr="008B7E48">
        <w:rPr>
          <w:lang w:val="en-US"/>
        </w:rPr>
        <w:instrText xml:space="preserve">ADDIN Mendeley Bibliography CSL_BIBLIOGRAPHY </w:instrText>
      </w:r>
      <w:r w:rsidRPr="008B7E48">
        <w:rPr>
          <w:lang w:val="en-US"/>
        </w:rPr>
        <w:fldChar w:fldCharType="separate"/>
      </w:r>
      <w:r w:rsidR="00621100" w:rsidRPr="008B7E48">
        <w:rPr>
          <w:noProof/>
          <w:lang w:val="en-US"/>
        </w:rPr>
        <w:t xml:space="preserve">Adewuya, A. O., &amp; Oseni, S. B. (2005). Impact of psychiatric morbidity on parent-rated quality of life in Nigerian adolescents with epilepsy. </w:t>
      </w:r>
      <w:r w:rsidR="00621100" w:rsidRPr="008B7E48">
        <w:rPr>
          <w:i/>
          <w:iCs/>
          <w:noProof/>
          <w:lang w:val="en-US"/>
        </w:rPr>
        <w:t>Epilepsy &amp; Behavior, 7</w:t>
      </w:r>
      <w:r w:rsidR="00621100" w:rsidRPr="008B7E48">
        <w:rPr>
          <w:noProof/>
          <w:lang w:val="en-US"/>
        </w:rPr>
        <w:t>(3), 497–501. doi:10.1016/j.yebeh.2005.07.011</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Affleck, G., &amp; Tennen, H. (1996). Construing benefits from adversity: Adaptational significance and dispositional underpinnings. </w:t>
      </w:r>
      <w:r w:rsidRPr="008B7E48">
        <w:rPr>
          <w:i/>
          <w:noProof/>
          <w:lang w:val="en-US"/>
        </w:rPr>
        <w:t>Journal of Personality, 64</w:t>
      </w:r>
      <w:r w:rsidRPr="008B7E48">
        <w:rPr>
          <w:noProof/>
          <w:lang w:val="en-US"/>
        </w:rPr>
        <w:t>(4), 899-922. doi:10.1111/j.1467-6494.1996.tb00948.x</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Alessi, D., Dama, E., Barr, R., Mosso, M. L., Maule, M., Magnani, … Merletti, F. (2007). Health-related quality of life of long-term childhood cancer survivors: A population-based study from the Childhood Cancer Registry of Piedmont, Italy. </w:t>
      </w:r>
      <w:r w:rsidRPr="008B7E48">
        <w:rPr>
          <w:i/>
          <w:iCs/>
          <w:noProof/>
          <w:lang w:val="en-US"/>
        </w:rPr>
        <w:t>European Journal of Cancer</w:t>
      </w:r>
      <w:r w:rsidRPr="008B7E48">
        <w:rPr>
          <w:noProof/>
          <w:lang w:val="en-US"/>
        </w:rPr>
        <w:t xml:space="preserve">, </w:t>
      </w:r>
      <w:r w:rsidRPr="008B7E48">
        <w:rPr>
          <w:i/>
          <w:iCs/>
          <w:noProof/>
          <w:lang w:val="en-US"/>
        </w:rPr>
        <w:t>43</w:t>
      </w:r>
      <w:r w:rsidRPr="008B7E48">
        <w:rPr>
          <w:noProof/>
          <w:lang w:val="en-US"/>
        </w:rPr>
        <w:t>(17), 2545–2552. doi:10.1016/j.ejca.2007.07.026</w:t>
      </w:r>
    </w:p>
    <w:p w:rsidR="00621100" w:rsidRDefault="00621100" w:rsidP="00621100">
      <w:pPr>
        <w:pStyle w:val="NormalWeb"/>
        <w:spacing w:line="480" w:lineRule="auto"/>
        <w:ind w:left="567" w:hanging="567"/>
        <w:contextualSpacing/>
        <w:rPr>
          <w:noProof/>
          <w:lang w:val="en-US"/>
        </w:rPr>
      </w:pPr>
      <w:r w:rsidRPr="008B7E48">
        <w:rPr>
          <w:noProof/>
          <w:lang w:val="en-US"/>
        </w:rPr>
        <w:t xml:space="preserve">Annett, R. D., Bender, B. G., Lapidus, J., Duhamel, T. R., &amp; Lincoln, A. (2001). Predicting children’s quality of life in an asthma clinical trial: What do children's reports tell us?. </w:t>
      </w:r>
      <w:r w:rsidRPr="008B7E48">
        <w:rPr>
          <w:i/>
          <w:iCs/>
          <w:noProof/>
          <w:lang w:val="en-US"/>
        </w:rPr>
        <w:t>The Journal of Pediatrics</w:t>
      </w:r>
      <w:r w:rsidRPr="008B7E48">
        <w:rPr>
          <w:noProof/>
          <w:lang w:val="en-US"/>
        </w:rPr>
        <w:t xml:space="preserve">, </w:t>
      </w:r>
      <w:r w:rsidRPr="008B7E48">
        <w:rPr>
          <w:i/>
          <w:iCs/>
          <w:noProof/>
          <w:lang w:val="en-US"/>
        </w:rPr>
        <w:t>139</w:t>
      </w:r>
      <w:r w:rsidRPr="008B7E48">
        <w:rPr>
          <w:noProof/>
          <w:lang w:val="en-US"/>
        </w:rPr>
        <w:t>(6), 854–861. doi:10.1067/mpd.2001.119444</w:t>
      </w:r>
    </w:p>
    <w:p w:rsidR="00B96636" w:rsidRPr="008B7E48" w:rsidRDefault="00EB5C88" w:rsidP="00621100">
      <w:pPr>
        <w:pStyle w:val="NormalWeb"/>
        <w:spacing w:line="480" w:lineRule="auto"/>
        <w:ind w:left="567" w:hanging="567"/>
        <w:contextualSpacing/>
        <w:rPr>
          <w:noProof/>
          <w:lang w:val="en-US"/>
        </w:rPr>
      </w:pPr>
      <w:r w:rsidRPr="00EB5C88">
        <w:rPr>
          <w:noProof/>
          <w:lang w:val="en-US"/>
        </w:rPr>
        <w:lastRenderedPageBreak/>
        <w:t>Bullinger, M., Brütt, A. L., Erhart, M., &amp; Ravens-Sieberer, U. (2008). Psychometric properties of the KINDL-R questionnaire: results of the BELLA study.</w:t>
      </w:r>
      <w:r w:rsidRPr="00EB5C88">
        <w:rPr>
          <w:i/>
          <w:noProof/>
          <w:lang w:val="en-US"/>
        </w:rPr>
        <w:t xml:space="preserve"> European Child &amp; Adolescent Psychiatry, 17</w:t>
      </w:r>
      <w:r w:rsidRPr="00EB5C88">
        <w:rPr>
          <w:noProof/>
          <w:lang w:val="en-US"/>
        </w:rPr>
        <w:t>(</w:t>
      </w:r>
      <w:r>
        <w:rPr>
          <w:noProof/>
          <w:lang w:val="en-US"/>
        </w:rPr>
        <w:t>1), 125-132. doi:</w:t>
      </w:r>
      <w:r w:rsidRPr="00EB5C88">
        <w:rPr>
          <w:noProof/>
          <w:lang w:val="en-US"/>
        </w:rPr>
        <w:t>10.1007/s00787-008-1014-z</w:t>
      </w:r>
    </w:p>
    <w:p w:rsidR="00621100" w:rsidRPr="008B7E48" w:rsidRDefault="00621100" w:rsidP="00621100">
      <w:pPr>
        <w:pStyle w:val="NormalWeb"/>
        <w:spacing w:line="480" w:lineRule="auto"/>
        <w:ind w:left="567" w:hanging="567"/>
        <w:contextualSpacing/>
        <w:rPr>
          <w:lang w:val="en-US"/>
        </w:rPr>
      </w:pPr>
      <w:r w:rsidRPr="000B3243">
        <w:rPr>
          <w:lang w:val="en-US"/>
        </w:rPr>
        <w:t xml:space="preserve">Carona, C., Bullinger, M., &amp; Canavarro, M. C. (2011). </w:t>
      </w:r>
      <w:r w:rsidRPr="008B7E48">
        <w:rPr>
          <w:lang w:val="en-US"/>
        </w:rPr>
        <w:t xml:space="preserve">Assessing paediatric health-related quality of life within a cross-cultural perspective: Semantic and pilot validation study of the Portuguese versions of DISABKIDS-37. </w:t>
      </w:r>
      <w:r w:rsidRPr="008B7E48">
        <w:rPr>
          <w:i/>
          <w:lang w:val="en-US"/>
        </w:rPr>
        <w:t>Vulnerable Children and Youth Studies, 6</w:t>
      </w:r>
      <w:r w:rsidRPr="008B7E48">
        <w:rPr>
          <w:lang w:val="en-US"/>
        </w:rPr>
        <w:t>(2), 144-156. doi:10.1080/17450128.2011.564223</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Chi, G. (2007). The role of hope in patients with cancer. </w:t>
      </w:r>
      <w:r w:rsidRPr="008B7E48">
        <w:rPr>
          <w:i/>
          <w:iCs/>
          <w:noProof/>
          <w:lang w:val="en-US"/>
        </w:rPr>
        <w:t>Oncology Nursing Forum</w:t>
      </w:r>
      <w:r w:rsidRPr="008B7E48">
        <w:rPr>
          <w:noProof/>
          <w:lang w:val="en-US"/>
        </w:rPr>
        <w:t xml:space="preserve">, </w:t>
      </w:r>
      <w:r w:rsidRPr="008B7E48">
        <w:rPr>
          <w:i/>
          <w:iCs/>
          <w:noProof/>
          <w:lang w:val="en-US"/>
        </w:rPr>
        <w:t>34</w:t>
      </w:r>
      <w:r w:rsidRPr="008B7E48">
        <w:rPr>
          <w:iCs/>
          <w:noProof/>
          <w:lang w:val="en-US"/>
        </w:rPr>
        <w:t>(2)</w:t>
      </w:r>
      <w:r w:rsidRPr="008B7E48">
        <w:rPr>
          <w:noProof/>
          <w:lang w:val="en-US"/>
        </w:rPr>
        <w:t>, 415–424. doi:10.1188/07.ONF.415-424</w:t>
      </w:r>
    </w:p>
    <w:p w:rsidR="00621100" w:rsidRPr="008B7E48" w:rsidRDefault="00D7235F" w:rsidP="00621100">
      <w:pPr>
        <w:pStyle w:val="NormalWeb"/>
        <w:spacing w:line="480" w:lineRule="auto"/>
        <w:ind w:left="567" w:hanging="567"/>
        <w:contextualSpacing/>
        <w:rPr>
          <w:noProof/>
          <w:lang w:val="en-US"/>
        </w:rPr>
      </w:pPr>
      <w:r w:rsidRPr="00D7235F">
        <w:rPr>
          <w:noProof/>
          <w:lang w:val="fr-FR"/>
        </w:rPr>
        <w:t xml:space="preserve">De Clercq, B., De Fruyt, F., Koot, H. M., &amp; Benoit, Y. (2004). </w:t>
      </w:r>
      <w:r w:rsidR="00621100" w:rsidRPr="008B7E48">
        <w:rPr>
          <w:noProof/>
          <w:lang w:val="en-US"/>
        </w:rPr>
        <w:t xml:space="preserve">Quality of life in children surviving cancer: A personality and multi-informant perspective. </w:t>
      </w:r>
      <w:r w:rsidR="00621100" w:rsidRPr="008B7E48">
        <w:rPr>
          <w:i/>
          <w:iCs/>
          <w:noProof/>
          <w:lang w:val="en-US"/>
        </w:rPr>
        <w:t>Journal of Pediatric Psychology</w:t>
      </w:r>
      <w:r w:rsidR="00621100" w:rsidRPr="008B7E48">
        <w:rPr>
          <w:noProof/>
          <w:lang w:val="en-US"/>
        </w:rPr>
        <w:t xml:space="preserve">, </w:t>
      </w:r>
      <w:r w:rsidR="00621100" w:rsidRPr="008B7E48">
        <w:rPr>
          <w:i/>
          <w:iCs/>
          <w:noProof/>
          <w:lang w:val="en-US"/>
        </w:rPr>
        <w:t>29</w:t>
      </w:r>
      <w:r w:rsidR="00621100" w:rsidRPr="008B7E48">
        <w:rPr>
          <w:noProof/>
          <w:lang w:val="en-US"/>
        </w:rPr>
        <w:t>(8), 579–590. doi:10.1093/jpepsy/jsh060</w:t>
      </w:r>
    </w:p>
    <w:p w:rsidR="00621100" w:rsidRDefault="00621100" w:rsidP="00621100">
      <w:pPr>
        <w:pStyle w:val="NormalWeb"/>
        <w:spacing w:line="480" w:lineRule="auto"/>
        <w:ind w:left="567" w:hanging="567"/>
        <w:contextualSpacing/>
        <w:rPr>
          <w:bCs/>
          <w:noProof/>
          <w:lang w:val="en-US"/>
        </w:rPr>
      </w:pPr>
      <w:r w:rsidRPr="008B7E48">
        <w:rPr>
          <w:bCs/>
          <w:noProof/>
          <w:lang w:val="en-US"/>
        </w:rPr>
        <w:t xml:space="preserve">Edwards, L. M., &amp; Lopez, S. J. (2000). </w:t>
      </w:r>
      <w:r w:rsidRPr="008B7E48">
        <w:rPr>
          <w:bCs/>
          <w:i/>
          <w:noProof/>
          <w:lang w:val="en-US"/>
        </w:rPr>
        <w:t>Making hope happen for kids.</w:t>
      </w:r>
      <w:r w:rsidRPr="008B7E48">
        <w:rPr>
          <w:bCs/>
          <w:noProof/>
          <w:lang w:val="en-US"/>
        </w:rPr>
        <w:t xml:space="preserve"> Unpublished manuscript, University of Kansas, Lawrence.</w:t>
      </w:r>
    </w:p>
    <w:p w:rsidR="0015570B" w:rsidRPr="008B7E48" w:rsidRDefault="0015570B" w:rsidP="00621100">
      <w:pPr>
        <w:pStyle w:val="NormalWeb"/>
        <w:spacing w:line="480" w:lineRule="auto"/>
        <w:ind w:left="567" w:hanging="567"/>
        <w:contextualSpacing/>
        <w:rPr>
          <w:bCs/>
          <w:noProof/>
          <w:lang w:val="en-US"/>
        </w:rPr>
      </w:pPr>
      <w:r w:rsidRPr="0015570B">
        <w:rPr>
          <w:bCs/>
          <w:noProof/>
          <w:lang w:val="en-US"/>
        </w:rPr>
        <w:t xml:space="preserve">Efficace, F., Bottomley, A., Osoba, D., Gotay, C., Flechtner, H., D'haese, S., &amp; Zurlo, A. (2003). Beyond the development of health-related quality of life (HRQOL) measures: A checklist for evaluating HRQOL outcomes in cancer clinical trials - does HRQOL evaluation in prostate cancer research inform clinical decision making?. </w:t>
      </w:r>
      <w:r w:rsidRPr="006C5A7D">
        <w:rPr>
          <w:bCs/>
          <w:i/>
          <w:noProof/>
          <w:lang w:val="en-US"/>
        </w:rPr>
        <w:t>Journal of Clinical Oncology, 21</w:t>
      </w:r>
      <w:r w:rsidRPr="006C5A7D">
        <w:rPr>
          <w:bCs/>
          <w:noProof/>
          <w:lang w:val="en-US"/>
        </w:rPr>
        <w:t>(18), 3502-3511. doi: 10.1200/JCO.2003.12.121</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Eiser, C., Eiser, J. R., &amp; Stride, C. B. (2005). Quality of life in children newly diagnosed with cancer and their mothers. </w:t>
      </w:r>
      <w:r w:rsidRPr="008B7E48">
        <w:rPr>
          <w:i/>
          <w:iCs/>
          <w:noProof/>
          <w:lang w:val="en-US"/>
        </w:rPr>
        <w:t>Health and Quality of Life Outcomes</w:t>
      </w:r>
      <w:r w:rsidRPr="008B7E48">
        <w:rPr>
          <w:noProof/>
          <w:lang w:val="en-US"/>
        </w:rPr>
        <w:t xml:space="preserve">, </w:t>
      </w:r>
      <w:r w:rsidRPr="008B7E48">
        <w:rPr>
          <w:i/>
          <w:iCs/>
          <w:noProof/>
          <w:lang w:val="en-US"/>
        </w:rPr>
        <w:t xml:space="preserve">3, </w:t>
      </w:r>
      <w:r w:rsidRPr="008B7E48">
        <w:rPr>
          <w:iCs/>
          <w:noProof/>
          <w:lang w:val="en-US"/>
        </w:rPr>
        <w:t>29</w:t>
      </w:r>
      <w:r w:rsidRPr="008B7E48">
        <w:rPr>
          <w:noProof/>
          <w:lang w:val="en-US"/>
        </w:rPr>
        <w:t>. doi:10.1186/1477-7525-3-29</w:t>
      </w:r>
    </w:p>
    <w:p w:rsidR="00621100" w:rsidRPr="008B7E48" w:rsidRDefault="00621100" w:rsidP="00621100">
      <w:pPr>
        <w:pStyle w:val="NormalWeb"/>
        <w:spacing w:line="480" w:lineRule="auto"/>
        <w:ind w:left="567" w:hanging="567"/>
        <w:contextualSpacing/>
        <w:rPr>
          <w:bCs/>
          <w:noProof/>
          <w:lang w:val="en-US"/>
        </w:rPr>
      </w:pPr>
      <w:r w:rsidRPr="008B7E48">
        <w:rPr>
          <w:noProof/>
          <w:lang w:val="en-US"/>
        </w:rPr>
        <w:t xml:space="preserve">Eiser, C., Hill, J. J., &amp; Vance, Y. H. (2000). Examining the psychological consequences of surviving childhood cancer: Systematic review as a research method in </w:t>
      </w:r>
      <w:r w:rsidRPr="008B7E48">
        <w:rPr>
          <w:noProof/>
          <w:lang w:val="en-US"/>
        </w:rPr>
        <w:lastRenderedPageBreak/>
        <w:t xml:space="preserve">pediatric psychology. </w:t>
      </w:r>
      <w:r w:rsidRPr="008B7E48">
        <w:rPr>
          <w:i/>
          <w:iCs/>
          <w:noProof/>
          <w:lang w:val="en-US"/>
        </w:rPr>
        <w:t>Journal of Pediatric Psychology</w:t>
      </w:r>
      <w:r w:rsidRPr="008B7E48">
        <w:rPr>
          <w:noProof/>
          <w:lang w:val="en-US"/>
        </w:rPr>
        <w:t xml:space="preserve">, </w:t>
      </w:r>
      <w:r w:rsidRPr="008B7E48">
        <w:rPr>
          <w:i/>
          <w:iCs/>
          <w:noProof/>
          <w:lang w:val="en-US"/>
        </w:rPr>
        <w:t>25</w:t>
      </w:r>
      <w:r w:rsidRPr="008B7E48">
        <w:rPr>
          <w:noProof/>
          <w:lang w:val="en-US"/>
        </w:rPr>
        <w:t>(6), 449–460. doi:10.1093/jpepsy/25.6.449</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Elkin, T. D., Phipps, S., Mulhern, R. K., &amp; Fairclough, D. (1997). Psychological functioning of adolescent and young adult survivors of pediatric malignancy. </w:t>
      </w:r>
      <w:r w:rsidRPr="008B7E48">
        <w:rPr>
          <w:i/>
          <w:iCs/>
          <w:noProof/>
          <w:lang w:val="en-US"/>
        </w:rPr>
        <w:t>Medical and Pediatric Oncology</w:t>
      </w:r>
      <w:r w:rsidRPr="008B7E48">
        <w:rPr>
          <w:noProof/>
          <w:lang w:val="en-US"/>
        </w:rPr>
        <w:t xml:space="preserve">, </w:t>
      </w:r>
      <w:r w:rsidRPr="008B7E48">
        <w:rPr>
          <w:i/>
          <w:iCs/>
          <w:noProof/>
          <w:lang w:val="en-US"/>
        </w:rPr>
        <w:t>29</w:t>
      </w:r>
      <w:r w:rsidRPr="008B7E48">
        <w:rPr>
          <w:noProof/>
          <w:lang w:val="en-US"/>
        </w:rPr>
        <w:t>(6), 582–588. doi:10.1002/(SICI)1096-911X(199712)29:6&lt;582::AID-MPO13&gt;3.3.CO;2-V</w:t>
      </w:r>
    </w:p>
    <w:p w:rsidR="00621100" w:rsidRPr="008B7E48" w:rsidRDefault="00621100" w:rsidP="00621100">
      <w:pPr>
        <w:pStyle w:val="NormalWeb"/>
        <w:spacing w:line="480" w:lineRule="auto"/>
        <w:ind w:left="567" w:hanging="567"/>
        <w:contextualSpacing/>
        <w:rPr>
          <w:lang w:val="en-US"/>
        </w:rPr>
      </w:pPr>
      <w:r w:rsidRPr="008B7E48">
        <w:rPr>
          <w:lang w:val="en-US"/>
        </w:rPr>
        <w:t xml:space="preserve">Elliott, T. R., Witty, T. E., Herrick, S., &amp; Hoffman, J. T. (1991). Negotiation reality after physical </w:t>
      </w:r>
      <w:r w:rsidRPr="008B7E48">
        <w:rPr>
          <w:bCs/>
          <w:lang w:val="en-US"/>
        </w:rPr>
        <w:t xml:space="preserve">loss: Hope, depression, and disability. </w:t>
      </w:r>
      <w:r w:rsidRPr="008B7E48">
        <w:rPr>
          <w:bCs/>
          <w:i/>
          <w:iCs/>
          <w:lang w:val="en-US"/>
        </w:rPr>
        <w:t>Journal of Personality and Social Psychology, 61</w:t>
      </w:r>
      <w:r w:rsidRPr="008B7E48">
        <w:rPr>
          <w:bCs/>
          <w:iCs/>
          <w:lang w:val="en-US"/>
        </w:rPr>
        <w:t>(4)</w:t>
      </w:r>
      <w:r w:rsidRPr="008B7E48">
        <w:rPr>
          <w:bCs/>
          <w:i/>
          <w:iCs/>
          <w:lang w:val="en-US"/>
        </w:rPr>
        <w:t>,</w:t>
      </w:r>
      <w:r w:rsidRPr="008B7E48">
        <w:rPr>
          <w:lang w:val="en-US"/>
        </w:rPr>
        <w:t xml:space="preserve"> 608-613. doi:10.1037/0022-3514.61.4.608</w:t>
      </w:r>
    </w:p>
    <w:p w:rsidR="00621100" w:rsidRPr="008B7E48" w:rsidRDefault="00621100" w:rsidP="00621100">
      <w:pPr>
        <w:pStyle w:val="NormalWeb"/>
        <w:spacing w:line="480" w:lineRule="auto"/>
        <w:ind w:left="567" w:hanging="567"/>
        <w:contextualSpacing/>
        <w:rPr>
          <w:lang w:val="en-US"/>
        </w:rPr>
      </w:pPr>
      <w:r w:rsidRPr="008B7E48">
        <w:rPr>
          <w:lang w:val="en-US"/>
        </w:rPr>
        <w:t xml:space="preserve">Enskar, K., Carlsson, M., Golsater, M., &amp; Hamrin, E. (1997). Symptom distress and life situation in adolescents with cancer. </w:t>
      </w:r>
      <w:r w:rsidRPr="008B7E48">
        <w:rPr>
          <w:i/>
          <w:lang w:val="en-US"/>
        </w:rPr>
        <w:t>Cancer Nursing, 20</w:t>
      </w:r>
      <w:r w:rsidRPr="008B7E48">
        <w:rPr>
          <w:lang w:val="en-US"/>
        </w:rPr>
        <w:t>(1), 23–33.</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Enskar, K., &amp; Von Essen, L. (2007). Prevalence of aspects of distress, coping, support and care among adolescents and young adults undergoing and being off cancer treatment. </w:t>
      </w:r>
      <w:r w:rsidRPr="008B7E48">
        <w:rPr>
          <w:i/>
          <w:iCs/>
          <w:noProof/>
          <w:lang w:val="en-US"/>
        </w:rPr>
        <w:t>European Journal of Oncology Nursing , 11</w:t>
      </w:r>
      <w:r w:rsidRPr="008B7E48">
        <w:rPr>
          <w:noProof/>
          <w:lang w:val="en-US"/>
        </w:rPr>
        <w:t>(5), 400–408. doi:10.1016/j.ejon.2007.01.003</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Essig, S., Weid, N. X. von der, Strippoli, M.-P. F., Rebholz, C. E., Michel, G., Rueegg, C. S., … Kuehni, C. E. (2012). Health-related quality of life in long-term survivors of relapsed childhood acute lymphoblastic leukemia. </w:t>
      </w:r>
      <w:r w:rsidRPr="008B7E48">
        <w:rPr>
          <w:i/>
          <w:iCs/>
          <w:noProof/>
          <w:lang w:val="en-US"/>
        </w:rPr>
        <w:t>PloS One</w:t>
      </w:r>
      <w:r w:rsidRPr="008B7E48">
        <w:rPr>
          <w:noProof/>
          <w:lang w:val="en-US"/>
        </w:rPr>
        <w:t xml:space="preserve">, </w:t>
      </w:r>
      <w:r w:rsidRPr="008B7E48">
        <w:rPr>
          <w:i/>
          <w:noProof/>
          <w:lang w:val="en-US"/>
        </w:rPr>
        <w:t xml:space="preserve">7, </w:t>
      </w:r>
      <w:r w:rsidRPr="008B7E48">
        <w:rPr>
          <w:noProof/>
          <w:lang w:val="en-US"/>
        </w:rPr>
        <w:t>5. doi:10.1371/journal.pone.0038015</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European DISABKIDS Group. (2006). </w:t>
      </w:r>
      <w:r w:rsidRPr="008B7E48">
        <w:rPr>
          <w:i/>
          <w:iCs/>
          <w:noProof/>
          <w:lang w:val="en-US"/>
        </w:rPr>
        <w:t>The DISABKIDS questionnaires for children with chronic conditions: Handbook</w:t>
      </w:r>
      <w:r w:rsidRPr="008B7E48">
        <w:rPr>
          <w:noProof/>
          <w:lang w:val="en-US"/>
        </w:rPr>
        <w:t>. Lengerich: Pabst Science Publishers.</w:t>
      </w:r>
    </w:p>
    <w:p w:rsidR="00621100" w:rsidRPr="008B7E48" w:rsidRDefault="00621100" w:rsidP="00621100">
      <w:pPr>
        <w:pStyle w:val="NormalWeb"/>
        <w:spacing w:line="480" w:lineRule="auto"/>
        <w:ind w:left="567" w:hanging="567"/>
        <w:contextualSpacing/>
        <w:rPr>
          <w:iCs/>
          <w:lang w:val="en-US"/>
        </w:rPr>
      </w:pPr>
      <w:r w:rsidRPr="008B7E48">
        <w:rPr>
          <w:iCs/>
          <w:lang w:val="en-US"/>
        </w:rPr>
        <w:t xml:space="preserve">Felder, B. E. (2004). Hope and coping in patients with cancer diagnoses. </w:t>
      </w:r>
      <w:r w:rsidRPr="008B7E48">
        <w:rPr>
          <w:i/>
          <w:iCs/>
          <w:lang w:val="en-US"/>
        </w:rPr>
        <w:t>Cancer Nursing, 27</w:t>
      </w:r>
      <w:r w:rsidRPr="008B7E48">
        <w:rPr>
          <w:iCs/>
          <w:lang w:val="en-US"/>
        </w:rPr>
        <w:t>(4)</w:t>
      </w:r>
      <w:r w:rsidRPr="008B7E48">
        <w:rPr>
          <w:i/>
          <w:iCs/>
          <w:lang w:val="en-US"/>
        </w:rPr>
        <w:t xml:space="preserve">, </w:t>
      </w:r>
      <w:r w:rsidRPr="008B7E48">
        <w:rPr>
          <w:iCs/>
          <w:lang w:val="en-US"/>
        </w:rPr>
        <w:t>320–324. doi:10.1097/00002820-200407000-00009</w:t>
      </w:r>
    </w:p>
    <w:p w:rsidR="00621100" w:rsidRPr="008B7E48" w:rsidRDefault="00621100" w:rsidP="00621100">
      <w:pPr>
        <w:pStyle w:val="NormalWeb"/>
        <w:spacing w:line="480" w:lineRule="auto"/>
        <w:ind w:left="567" w:hanging="567"/>
        <w:contextualSpacing/>
        <w:rPr>
          <w:iCs/>
          <w:lang w:val="en-US"/>
        </w:rPr>
      </w:pPr>
      <w:r w:rsidRPr="008B7E48">
        <w:rPr>
          <w:iCs/>
          <w:lang w:val="en-US"/>
        </w:rPr>
        <w:lastRenderedPageBreak/>
        <w:t>Germannn, J., Simmons, A., Stewart, S., Stuenzi, T., Le Vieux, J., &amp; Leavey, P. (2012, February).</w:t>
      </w:r>
      <w:r w:rsidRPr="008B7E48">
        <w:rPr>
          <w:i/>
          <w:iCs/>
          <w:lang w:val="en-US"/>
        </w:rPr>
        <w:t> Hope’s potential in promoting quality of life in a pediatric cancer population. </w:t>
      </w:r>
      <w:r w:rsidRPr="008B7E48">
        <w:rPr>
          <w:iCs/>
          <w:lang w:val="en-US"/>
        </w:rPr>
        <w:t>Poster session presented at the APOS 9th Annual Conference, Miami.</w:t>
      </w:r>
    </w:p>
    <w:p w:rsidR="00621100" w:rsidRPr="008B7E48" w:rsidRDefault="00621100" w:rsidP="00621100">
      <w:pPr>
        <w:pStyle w:val="NormalWeb"/>
        <w:spacing w:line="480" w:lineRule="auto"/>
        <w:ind w:left="567" w:hanging="567"/>
        <w:contextualSpacing/>
        <w:rPr>
          <w:bCs/>
          <w:lang w:val="en-US"/>
        </w:rPr>
      </w:pPr>
      <w:r w:rsidRPr="008B7E48">
        <w:rPr>
          <w:lang w:val="en-US"/>
        </w:rPr>
        <w:t xml:space="preserve">Hayes, A. F. (2013). </w:t>
      </w:r>
      <w:r w:rsidRPr="008B7E48">
        <w:rPr>
          <w:bCs/>
          <w:i/>
          <w:lang w:val="en-US"/>
        </w:rPr>
        <w:t>Introduction to mediation, moderation, and conditional process analysis: A regression-based approach</w:t>
      </w:r>
      <w:r w:rsidRPr="008B7E48">
        <w:rPr>
          <w:bCs/>
          <w:lang w:val="en-US"/>
        </w:rPr>
        <w:t xml:space="preserve"> (1ª ed.)</w:t>
      </w:r>
      <w:r w:rsidRPr="008B7E48">
        <w:rPr>
          <w:bCs/>
          <w:i/>
          <w:lang w:val="en-US"/>
        </w:rPr>
        <w:t>.</w:t>
      </w:r>
      <w:r w:rsidRPr="008B7E48">
        <w:rPr>
          <w:bCs/>
          <w:lang w:val="en-US"/>
        </w:rPr>
        <w:t xml:space="preserve"> New York: The Guilford Press.</w:t>
      </w:r>
    </w:p>
    <w:p w:rsidR="00621100" w:rsidRPr="008B7E48" w:rsidRDefault="00621100" w:rsidP="00621100">
      <w:pPr>
        <w:pStyle w:val="NormalWeb"/>
        <w:spacing w:line="480" w:lineRule="auto"/>
        <w:ind w:left="567" w:hanging="567"/>
        <w:contextualSpacing/>
        <w:rPr>
          <w:iCs/>
          <w:lang w:val="en-US"/>
        </w:rPr>
      </w:pPr>
      <w:r w:rsidRPr="008B7E48">
        <w:rPr>
          <w:iCs/>
          <w:lang w:val="en-US"/>
        </w:rPr>
        <w:t xml:space="preserve">Hedstrom, M., Ljungman, G., &amp; Von Essen, L., (2005). Perceptions of distress among adolescents recently diagnosed with cancer. </w:t>
      </w:r>
      <w:r w:rsidRPr="008B7E48">
        <w:rPr>
          <w:i/>
          <w:iCs/>
          <w:lang w:val="en-US"/>
        </w:rPr>
        <w:t>Journal of Pediatric Hematology Oncology, 27</w:t>
      </w:r>
      <w:r w:rsidRPr="008B7E48">
        <w:rPr>
          <w:iCs/>
          <w:lang w:val="en-US"/>
        </w:rPr>
        <w:t>(1), 15–22. doi:10.1097/01.mph.0000151803.72219.ec</w:t>
      </w:r>
    </w:p>
    <w:p w:rsidR="00621100" w:rsidRPr="008B7E48" w:rsidRDefault="00621100" w:rsidP="00621100">
      <w:pPr>
        <w:pStyle w:val="NormalWeb"/>
        <w:spacing w:line="480" w:lineRule="auto"/>
        <w:ind w:left="567" w:hanging="567"/>
        <w:contextualSpacing/>
        <w:rPr>
          <w:iCs/>
          <w:lang w:val="en-US"/>
        </w:rPr>
      </w:pPr>
      <w:r w:rsidRPr="008B7E48">
        <w:rPr>
          <w:iCs/>
          <w:lang w:val="en-US"/>
        </w:rPr>
        <w:t xml:space="preserve">Herth, K. A. (1989). The relationship between level of hope and level of coping response and other variables in patients with cancer. </w:t>
      </w:r>
      <w:r w:rsidRPr="008B7E48">
        <w:rPr>
          <w:i/>
          <w:iCs/>
          <w:lang w:val="en-US"/>
        </w:rPr>
        <w:t>Oncology Nursing</w:t>
      </w:r>
      <w:r w:rsidRPr="008B7E48">
        <w:rPr>
          <w:iCs/>
          <w:lang w:val="en-US"/>
        </w:rPr>
        <w:t xml:space="preserve"> </w:t>
      </w:r>
      <w:r w:rsidRPr="008B7E48">
        <w:rPr>
          <w:i/>
          <w:iCs/>
          <w:lang w:val="en-US"/>
        </w:rPr>
        <w:t>Forum, 16</w:t>
      </w:r>
      <w:r w:rsidRPr="008B7E48">
        <w:rPr>
          <w:iCs/>
          <w:lang w:val="en-US"/>
        </w:rPr>
        <w:t>(1)</w:t>
      </w:r>
      <w:r w:rsidRPr="008B7E48">
        <w:rPr>
          <w:i/>
          <w:iCs/>
          <w:lang w:val="en-US"/>
        </w:rPr>
        <w:t xml:space="preserve">, </w:t>
      </w:r>
      <w:r w:rsidRPr="008B7E48">
        <w:rPr>
          <w:iCs/>
          <w:lang w:val="en-US"/>
        </w:rPr>
        <w:t>67-72.</w:t>
      </w:r>
    </w:p>
    <w:p w:rsidR="00621100" w:rsidRPr="008B7E48" w:rsidRDefault="00621100" w:rsidP="00621100">
      <w:pPr>
        <w:pStyle w:val="NormalWeb"/>
        <w:spacing w:line="480" w:lineRule="auto"/>
        <w:ind w:left="567" w:hanging="567"/>
        <w:contextualSpacing/>
        <w:rPr>
          <w:iCs/>
          <w:lang w:val="en-US"/>
        </w:rPr>
      </w:pPr>
      <w:r w:rsidRPr="008B7E48">
        <w:rPr>
          <w:lang w:val="en-US"/>
        </w:rPr>
        <w:t xml:space="preserve">Herth, K. A., &amp; Cutcliffe, J. R. (2002a). The concept of hope in nursing 3: Hope and palliative care nursing. </w:t>
      </w:r>
      <w:r w:rsidRPr="008B7E48">
        <w:rPr>
          <w:i/>
          <w:iCs/>
          <w:lang w:val="en-US"/>
        </w:rPr>
        <w:t>British Journal of Nursing, 11</w:t>
      </w:r>
      <w:r w:rsidRPr="008B7E48">
        <w:rPr>
          <w:iCs/>
          <w:lang w:val="en-US"/>
        </w:rPr>
        <w:t>(14)</w:t>
      </w:r>
      <w:r w:rsidRPr="008B7E48">
        <w:rPr>
          <w:i/>
          <w:iCs/>
          <w:lang w:val="en-US"/>
        </w:rPr>
        <w:t>,</w:t>
      </w:r>
      <w:r w:rsidRPr="008B7E48">
        <w:rPr>
          <w:lang w:val="en-US"/>
        </w:rPr>
        <w:t xml:space="preserve"> 977-983.</w:t>
      </w:r>
    </w:p>
    <w:p w:rsidR="00621100" w:rsidRPr="008B7E48" w:rsidRDefault="00621100" w:rsidP="00621100">
      <w:pPr>
        <w:pStyle w:val="NormalWeb"/>
        <w:spacing w:line="480" w:lineRule="auto"/>
        <w:ind w:left="567" w:hanging="567"/>
        <w:contextualSpacing/>
        <w:rPr>
          <w:lang w:val="en-US"/>
        </w:rPr>
      </w:pPr>
      <w:r w:rsidRPr="008B7E48">
        <w:rPr>
          <w:lang w:val="en-US"/>
        </w:rPr>
        <w:t xml:space="preserve">Herth, K. A., &amp; Cutcliffe, J. R. (2002b). The concept of hope in nursing 6: Research/education/policy/practice. </w:t>
      </w:r>
      <w:r w:rsidRPr="008B7E48">
        <w:rPr>
          <w:i/>
          <w:iCs/>
          <w:lang w:val="en-US"/>
        </w:rPr>
        <w:t>British Journal of Nursing, 11</w:t>
      </w:r>
      <w:r w:rsidRPr="008B7E48">
        <w:rPr>
          <w:iCs/>
          <w:lang w:val="en-US"/>
        </w:rPr>
        <w:t>(21)</w:t>
      </w:r>
      <w:r w:rsidRPr="008B7E48">
        <w:rPr>
          <w:i/>
          <w:iCs/>
          <w:lang w:val="en-US"/>
        </w:rPr>
        <w:t>,</w:t>
      </w:r>
      <w:r w:rsidRPr="008B7E48">
        <w:rPr>
          <w:lang w:val="en-US"/>
        </w:rPr>
        <w:t xml:space="preserve"> 1404-1411.</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Hinds, P. S, Gattuso, J. S., Billups, C. A, West, N. K., Wu, J., Rivera, C., … Daw, N. C. (2009). Aggressive treatment of non-metastatic osteosarcoma improves health-related quality of life in children and adolescents. </w:t>
      </w:r>
      <w:r w:rsidRPr="008B7E48">
        <w:rPr>
          <w:i/>
          <w:iCs/>
          <w:noProof/>
          <w:lang w:val="en-US"/>
        </w:rPr>
        <w:t>European Journal of Cancer</w:t>
      </w:r>
      <w:r w:rsidRPr="008B7E48">
        <w:rPr>
          <w:noProof/>
          <w:lang w:val="en-US"/>
        </w:rPr>
        <w:t xml:space="preserve">, </w:t>
      </w:r>
      <w:r w:rsidRPr="008B7E48">
        <w:rPr>
          <w:i/>
          <w:iCs/>
          <w:noProof/>
          <w:lang w:val="en-US"/>
        </w:rPr>
        <w:t>45</w:t>
      </w:r>
      <w:r w:rsidRPr="008B7E48">
        <w:rPr>
          <w:noProof/>
          <w:lang w:val="en-US"/>
        </w:rPr>
        <w:t>(11), 2007–2014. doi:10.1016/j.ejca.2009.04.020</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Jörngården, A., Mattsson, E., &amp; Von Essen, L. (2007). Health-related quality of life, anxiety and depression among adolescents and young adults with cancer: A prospective longitudinal study. </w:t>
      </w:r>
      <w:r w:rsidRPr="008B7E48">
        <w:rPr>
          <w:i/>
          <w:iCs/>
          <w:noProof/>
          <w:lang w:val="en-US"/>
        </w:rPr>
        <w:t>European Journal of Cancer</w:t>
      </w:r>
      <w:r w:rsidRPr="008B7E48">
        <w:rPr>
          <w:noProof/>
          <w:lang w:val="en-US"/>
        </w:rPr>
        <w:t xml:space="preserve">, </w:t>
      </w:r>
      <w:r w:rsidRPr="008B7E48">
        <w:rPr>
          <w:i/>
          <w:iCs/>
          <w:noProof/>
          <w:lang w:val="en-US"/>
        </w:rPr>
        <w:t>43</w:t>
      </w:r>
      <w:r w:rsidRPr="008B7E48">
        <w:rPr>
          <w:noProof/>
          <w:lang w:val="en-US"/>
        </w:rPr>
        <w:t>(13), 1952–1958. doi:10.1016/j.ejca.2007.05.031</w:t>
      </w:r>
    </w:p>
    <w:p w:rsidR="00621100" w:rsidRPr="008B7E48" w:rsidRDefault="00621100" w:rsidP="00621100">
      <w:pPr>
        <w:pStyle w:val="NormalWeb"/>
        <w:spacing w:line="480" w:lineRule="auto"/>
        <w:ind w:left="567" w:hanging="567"/>
        <w:contextualSpacing/>
        <w:rPr>
          <w:noProof/>
          <w:lang w:val="en-US"/>
        </w:rPr>
      </w:pPr>
      <w:r w:rsidRPr="008B7E48">
        <w:rPr>
          <w:noProof/>
          <w:lang w:val="en-US"/>
        </w:rPr>
        <w:lastRenderedPageBreak/>
        <w:t xml:space="preserve">Jurbergs, N., Russell, K., Long, A., &amp; Phipps, S. (2008). Adaptive style and differences in parent and child report of health-related quality of life in children with cancer. </w:t>
      </w:r>
      <w:r w:rsidRPr="008B7E48">
        <w:rPr>
          <w:i/>
          <w:noProof/>
          <w:lang w:val="en-US"/>
        </w:rPr>
        <w:t>Psycho-oncology, 17</w:t>
      </w:r>
      <w:r w:rsidRPr="008B7E48">
        <w:rPr>
          <w:noProof/>
          <w:lang w:val="en-US"/>
        </w:rPr>
        <w:t>(1), 83–90. doi:10.1002/pon1195</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Kaatsch, P. (2010). Epidemiology of childhood cancer. </w:t>
      </w:r>
      <w:r w:rsidRPr="008B7E48">
        <w:rPr>
          <w:i/>
          <w:noProof/>
          <w:lang w:val="en-US"/>
        </w:rPr>
        <w:t>Cancer Treatment Reviews, 36</w:t>
      </w:r>
      <w:r w:rsidRPr="008B7E48">
        <w:rPr>
          <w:noProof/>
          <w:lang w:val="en-US"/>
        </w:rPr>
        <w:t>(4), 277-285. doi:10.1016/j.ctrv.2010.02.003</w:t>
      </w:r>
    </w:p>
    <w:p w:rsidR="00621100" w:rsidRPr="008B7E48" w:rsidRDefault="00621100" w:rsidP="00621100">
      <w:pPr>
        <w:pStyle w:val="NormalWeb"/>
        <w:spacing w:line="480" w:lineRule="auto"/>
        <w:ind w:left="567" w:hanging="567"/>
        <w:contextualSpacing/>
        <w:rPr>
          <w:iCs/>
          <w:lang w:val="en-US"/>
        </w:rPr>
      </w:pPr>
      <w:r w:rsidRPr="008B7E48">
        <w:rPr>
          <w:iCs/>
          <w:lang w:val="en-US"/>
        </w:rPr>
        <w:t>Kazak, A. E. (1994). Implications of survival: Pediatric oncology patients and their families. In D. J. Bearison &amp; R. K. Mulhern (Eds.),</w:t>
      </w:r>
      <w:r w:rsidRPr="008B7E48">
        <w:rPr>
          <w:i/>
          <w:iCs/>
          <w:lang w:val="en-US"/>
        </w:rPr>
        <w:t xml:space="preserve"> Pediatric psychooncology: Psychological perspectives on children with cancer</w:t>
      </w:r>
      <w:r w:rsidRPr="008B7E48">
        <w:rPr>
          <w:iCs/>
          <w:lang w:val="en-US"/>
        </w:rPr>
        <w:t xml:space="preserve"> (pp. 171–192). New York: Oxford University Press.</w:t>
      </w:r>
    </w:p>
    <w:p w:rsidR="00621100" w:rsidRPr="008B7E48" w:rsidRDefault="00621100" w:rsidP="00621100">
      <w:pPr>
        <w:pStyle w:val="NormalWeb"/>
        <w:spacing w:line="480" w:lineRule="auto"/>
        <w:ind w:left="567" w:hanging="567"/>
        <w:contextualSpacing/>
        <w:rPr>
          <w:bCs/>
          <w:lang w:val="en-US"/>
        </w:rPr>
      </w:pPr>
      <w:r w:rsidRPr="008B7E48">
        <w:rPr>
          <w:bCs/>
          <w:lang w:val="en-US"/>
        </w:rPr>
        <w:t>Kazak, A. E., Hocking, M. C., Ittenbach, R. F., Meadows, A. T., Hobbie, W., DeRosa, B. W</w:t>
      </w:r>
      <w:proofErr w:type="gramStart"/>
      <w:r w:rsidRPr="008B7E48">
        <w:rPr>
          <w:bCs/>
          <w:lang w:val="en-US"/>
        </w:rPr>
        <w:t>., …</w:t>
      </w:r>
      <w:proofErr w:type="gramEnd"/>
      <w:r w:rsidRPr="008B7E48">
        <w:rPr>
          <w:bCs/>
          <w:lang w:val="en-US"/>
        </w:rPr>
        <w:t xml:space="preserve"> Reilly, A. (2011). A revision of the intensity of treatment rating scale: Classifying the intensity of pediatric cancer treatment. </w:t>
      </w:r>
      <w:r w:rsidRPr="008B7E48">
        <w:rPr>
          <w:bCs/>
          <w:i/>
          <w:lang w:val="en-US"/>
        </w:rPr>
        <w:t>Pediatric Blood Cancer, 59</w:t>
      </w:r>
      <w:r w:rsidRPr="008B7E48">
        <w:rPr>
          <w:bCs/>
          <w:lang w:val="en-US"/>
        </w:rPr>
        <w:t xml:space="preserve">(1), 96-99. doi:10.1002/pbc.23320. </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Koopman, H. M., Koetsier, J. A, Taminiau, A. H., Hijnen, K. E., Bresters, D., &amp; Egeler, R. M. (2005). Health-related quality of life and coping strategies of children after treatment of a malignant bone tumor: A 5-year follow-up study. </w:t>
      </w:r>
      <w:r w:rsidRPr="008B7E48">
        <w:rPr>
          <w:i/>
          <w:iCs/>
          <w:noProof/>
          <w:lang w:val="en-US"/>
        </w:rPr>
        <w:t>Pediatric Blood &amp; Cancer</w:t>
      </w:r>
      <w:r w:rsidRPr="008B7E48">
        <w:rPr>
          <w:noProof/>
          <w:lang w:val="en-US"/>
        </w:rPr>
        <w:t xml:space="preserve">, </w:t>
      </w:r>
      <w:r w:rsidRPr="008B7E48">
        <w:rPr>
          <w:i/>
          <w:iCs/>
          <w:noProof/>
          <w:lang w:val="en-US"/>
        </w:rPr>
        <w:t>45</w:t>
      </w:r>
      <w:r w:rsidRPr="008B7E48">
        <w:rPr>
          <w:noProof/>
          <w:lang w:val="en-US"/>
        </w:rPr>
        <w:t>(5), 694-699. doi:10.1002/pbc.20408</w:t>
      </w:r>
    </w:p>
    <w:p w:rsidR="00621100" w:rsidRDefault="00621100" w:rsidP="00621100">
      <w:pPr>
        <w:pStyle w:val="NormalWeb"/>
        <w:spacing w:line="480" w:lineRule="auto"/>
        <w:ind w:left="567" w:hanging="567"/>
        <w:contextualSpacing/>
        <w:rPr>
          <w:noProof/>
          <w:lang w:val="en-US"/>
        </w:rPr>
      </w:pPr>
      <w:r w:rsidRPr="008B7E48">
        <w:rPr>
          <w:noProof/>
          <w:lang w:val="en-US"/>
        </w:rPr>
        <w:t xml:space="preserve">Landolt, M. A., Vollrath, M., Niggli, F. K., Gnehm, H. E., &amp; Sennhauser, F. H. (2006). Health-related quality of life in children with newly diagnosed cancer: A one year follow-up study. </w:t>
      </w:r>
      <w:r w:rsidRPr="008B7E48">
        <w:rPr>
          <w:i/>
          <w:iCs/>
          <w:noProof/>
          <w:lang w:val="en-US"/>
        </w:rPr>
        <w:t>Health and Quality of Life Outcomes</w:t>
      </w:r>
      <w:r w:rsidRPr="008B7E48">
        <w:rPr>
          <w:noProof/>
          <w:lang w:val="en-US"/>
        </w:rPr>
        <w:t xml:space="preserve">, </w:t>
      </w:r>
      <w:r w:rsidRPr="008B7E48">
        <w:rPr>
          <w:i/>
          <w:iCs/>
          <w:noProof/>
          <w:lang w:val="en-US"/>
        </w:rPr>
        <w:t>4</w:t>
      </w:r>
      <w:r w:rsidRPr="008B7E48">
        <w:rPr>
          <w:noProof/>
          <w:lang w:val="en-US"/>
        </w:rPr>
        <w:t>(1), 63-70. doi:10.1186/1477-7525-4-63</w:t>
      </w:r>
    </w:p>
    <w:p w:rsidR="0015570B" w:rsidRPr="0015570B" w:rsidRDefault="0015570B" w:rsidP="0015570B">
      <w:pPr>
        <w:pStyle w:val="NormalWeb"/>
        <w:spacing w:line="480" w:lineRule="auto"/>
        <w:ind w:left="567" w:hanging="567"/>
        <w:contextualSpacing/>
        <w:rPr>
          <w:noProof/>
          <w:lang w:val="en-US"/>
        </w:rPr>
      </w:pPr>
      <w:r w:rsidRPr="0015570B">
        <w:rPr>
          <w:noProof/>
          <w:lang w:val="en-US"/>
        </w:rPr>
        <w:t>Langeveld, N. E., Stam, H., Grootenhuis, M. A., &amp; Last, B. F. (2002). Quality of life in young adult survivors of childhood cancer.</w:t>
      </w:r>
      <w:r>
        <w:rPr>
          <w:noProof/>
          <w:lang w:val="en-US"/>
        </w:rPr>
        <w:t xml:space="preserve"> </w:t>
      </w:r>
      <w:r w:rsidRPr="0015570B">
        <w:rPr>
          <w:i/>
          <w:noProof/>
          <w:lang w:val="en-US"/>
        </w:rPr>
        <w:t>Supportive Care in Cancer, 10</w:t>
      </w:r>
      <w:r w:rsidRPr="0015570B">
        <w:rPr>
          <w:noProof/>
          <w:lang w:val="en-US"/>
        </w:rPr>
        <w:t>(8), 579–600. doi:10.1007/s00520-002-0388-6</w:t>
      </w:r>
    </w:p>
    <w:p w:rsidR="00621100" w:rsidRPr="008B7E48" w:rsidRDefault="00621100" w:rsidP="00621100">
      <w:pPr>
        <w:pStyle w:val="NormalWeb"/>
        <w:spacing w:line="480" w:lineRule="auto"/>
        <w:ind w:left="567" w:hanging="567"/>
        <w:contextualSpacing/>
        <w:rPr>
          <w:noProof/>
          <w:lang w:val="en-US"/>
        </w:rPr>
      </w:pPr>
      <w:r w:rsidRPr="008B7E48">
        <w:rPr>
          <w:noProof/>
          <w:lang w:val="en-US"/>
        </w:rPr>
        <w:lastRenderedPageBreak/>
        <w:t xml:space="preserve">Larsson, G., Mattsson, E., &amp; Von Essen, L. (2010). Aspects of quality of life, anxiety, and depression among persons diagnosed with cancer during adolescence: A long-term follow-up study. </w:t>
      </w:r>
      <w:r w:rsidRPr="008B7E48">
        <w:rPr>
          <w:i/>
          <w:iCs/>
          <w:noProof/>
          <w:lang w:val="en-US"/>
        </w:rPr>
        <w:t>European Journal of Cancer</w:t>
      </w:r>
      <w:r w:rsidRPr="008B7E48">
        <w:rPr>
          <w:noProof/>
          <w:lang w:val="en-US"/>
        </w:rPr>
        <w:t xml:space="preserve">, </w:t>
      </w:r>
      <w:r w:rsidRPr="008B7E48">
        <w:rPr>
          <w:i/>
          <w:iCs/>
          <w:noProof/>
          <w:lang w:val="en-US"/>
        </w:rPr>
        <w:t>46</w:t>
      </w:r>
      <w:r w:rsidRPr="008B7E48">
        <w:rPr>
          <w:noProof/>
          <w:lang w:val="en-US"/>
        </w:rPr>
        <w:t>(6), 1062–1068. doi:10.1016/j.ejca.2010.01.021</w:t>
      </w:r>
    </w:p>
    <w:p w:rsidR="00621100" w:rsidRPr="008B7E48" w:rsidRDefault="00621100" w:rsidP="00621100">
      <w:pPr>
        <w:pStyle w:val="NormalWeb"/>
        <w:spacing w:line="480" w:lineRule="auto"/>
        <w:ind w:left="567" w:hanging="567"/>
        <w:contextualSpacing/>
        <w:rPr>
          <w:iCs/>
          <w:lang w:val="en-US"/>
        </w:rPr>
      </w:pPr>
      <w:r w:rsidRPr="008B7E48">
        <w:rPr>
          <w:iCs/>
          <w:lang w:val="en-US"/>
        </w:rPr>
        <w:t>Leavey, P., Germannn, J., Leonard, D., Stewart, S., Stuenzi, T., &amp; Le Vieux, J. (2013, May).</w:t>
      </w:r>
      <w:r w:rsidRPr="008B7E48">
        <w:rPr>
          <w:i/>
          <w:iCs/>
          <w:lang w:val="en-US"/>
        </w:rPr>
        <w:t> Hope’s potential to impact quality of life in a pediatric cancer population. </w:t>
      </w:r>
      <w:r w:rsidRPr="008B7E48">
        <w:rPr>
          <w:iCs/>
          <w:lang w:val="en-US"/>
        </w:rPr>
        <w:t>Poster session presented at the ASPHO 25th Annual Meeting, Los Angeles.</w:t>
      </w:r>
    </w:p>
    <w:p w:rsidR="00621100" w:rsidRPr="008B7E48" w:rsidRDefault="00621100" w:rsidP="00621100">
      <w:pPr>
        <w:pStyle w:val="NormalWeb"/>
        <w:spacing w:line="480" w:lineRule="auto"/>
        <w:ind w:left="567" w:hanging="567"/>
        <w:contextualSpacing/>
        <w:rPr>
          <w:iCs/>
          <w:lang w:val="en-US"/>
        </w:rPr>
      </w:pPr>
      <w:r w:rsidRPr="008B7E48">
        <w:rPr>
          <w:iCs/>
          <w:lang w:val="en-US"/>
        </w:rPr>
        <w:t xml:space="preserve">Lee, E.H. (2001). Fatigue and hope: Relationships to psychosocial adjustment in Korean women with breast cancer. </w:t>
      </w:r>
      <w:r w:rsidRPr="008B7E48">
        <w:rPr>
          <w:i/>
          <w:iCs/>
          <w:lang w:val="en-US"/>
        </w:rPr>
        <w:t>Applied Nursing Research,</w:t>
      </w:r>
      <w:r w:rsidRPr="008B7E48">
        <w:rPr>
          <w:iCs/>
          <w:lang w:val="en-US"/>
        </w:rPr>
        <w:t xml:space="preserve"> </w:t>
      </w:r>
      <w:r w:rsidRPr="008B7E48">
        <w:rPr>
          <w:i/>
          <w:iCs/>
          <w:lang w:val="en-US"/>
        </w:rPr>
        <w:t>14</w:t>
      </w:r>
      <w:r w:rsidRPr="008B7E48">
        <w:rPr>
          <w:iCs/>
          <w:lang w:val="en-US"/>
        </w:rPr>
        <w:t>(2)</w:t>
      </w:r>
      <w:r w:rsidRPr="008B7E48">
        <w:rPr>
          <w:i/>
          <w:iCs/>
          <w:lang w:val="en-US"/>
        </w:rPr>
        <w:t xml:space="preserve">, </w:t>
      </w:r>
      <w:r w:rsidRPr="008B7E48">
        <w:rPr>
          <w:iCs/>
          <w:lang w:val="en-US"/>
        </w:rPr>
        <w:t>87–93. doi:10.1053/apnr.2001.22374</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Lewis, H. A., &amp; Kliewer, W. (1996). Hope, coping, and adjustment among children with sickle cell disease: Tests of mediator and moderator models. </w:t>
      </w:r>
      <w:r w:rsidRPr="008B7E48">
        <w:rPr>
          <w:i/>
          <w:iCs/>
          <w:noProof/>
          <w:lang w:val="en-US"/>
        </w:rPr>
        <w:t>Journal of Pediatric Psychology</w:t>
      </w:r>
      <w:r w:rsidRPr="008B7E48">
        <w:rPr>
          <w:noProof/>
          <w:lang w:val="en-US"/>
        </w:rPr>
        <w:t xml:space="preserve">, </w:t>
      </w:r>
      <w:r w:rsidRPr="008B7E48">
        <w:rPr>
          <w:i/>
          <w:iCs/>
          <w:noProof/>
          <w:lang w:val="en-US"/>
        </w:rPr>
        <w:t>21</w:t>
      </w:r>
      <w:r w:rsidRPr="008B7E48">
        <w:rPr>
          <w:noProof/>
          <w:lang w:val="en-US"/>
        </w:rPr>
        <w:t>(1), 25–41. doi:10.1093/jpepsy/21.1.25</w:t>
      </w:r>
    </w:p>
    <w:p w:rsidR="00621100" w:rsidRPr="008B7E48" w:rsidRDefault="00621100" w:rsidP="00621100">
      <w:pPr>
        <w:pStyle w:val="NormalWeb"/>
        <w:spacing w:line="480" w:lineRule="auto"/>
        <w:ind w:left="567" w:hanging="567"/>
        <w:contextualSpacing/>
        <w:rPr>
          <w:bCs/>
          <w:lang w:val="en-US"/>
        </w:rPr>
      </w:pPr>
      <w:r w:rsidRPr="008B7E48">
        <w:rPr>
          <w:bCs/>
          <w:lang w:val="en-US"/>
        </w:rPr>
        <w:t>Marques, S. C., Pais-Ribeiro, J., &amp; Lopez, S. J. (2009). Validation of a Portuguese version of the Children’s Hope Scale. </w:t>
      </w:r>
      <w:r w:rsidRPr="008B7E48">
        <w:rPr>
          <w:bCs/>
          <w:i/>
          <w:iCs/>
          <w:lang w:val="en-US"/>
        </w:rPr>
        <w:t>School Psychology International, 30</w:t>
      </w:r>
      <w:r w:rsidRPr="008B7E48">
        <w:rPr>
          <w:bCs/>
          <w:iCs/>
          <w:lang w:val="en-US"/>
        </w:rPr>
        <w:t>(5)</w:t>
      </w:r>
      <w:r w:rsidRPr="008B7E48">
        <w:rPr>
          <w:bCs/>
          <w:lang w:val="en-US"/>
        </w:rPr>
        <w:t>, 538-551. doi:10.1177/0143034309107069</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Matziou, V., Perdikaris, P., Feloni, D., Moschovi, M., Tsoumakas, K., &amp; Merkouris, A. (2008). Cancer in childhood: Children’s and parents' aspects for quality of life. </w:t>
      </w:r>
      <w:r w:rsidRPr="008B7E48">
        <w:rPr>
          <w:i/>
          <w:iCs/>
          <w:noProof/>
          <w:lang w:val="en-US"/>
        </w:rPr>
        <w:t>European Journal of Oncology Nursing </w:t>
      </w:r>
      <w:r w:rsidRPr="008B7E48">
        <w:rPr>
          <w:noProof/>
          <w:lang w:val="en-US"/>
        </w:rPr>
        <w:t xml:space="preserve">, </w:t>
      </w:r>
      <w:r w:rsidRPr="008B7E48">
        <w:rPr>
          <w:i/>
          <w:iCs/>
          <w:noProof/>
          <w:lang w:val="en-US"/>
        </w:rPr>
        <w:t>12</w:t>
      </w:r>
      <w:r w:rsidRPr="008B7E48">
        <w:rPr>
          <w:noProof/>
          <w:lang w:val="en-US"/>
        </w:rPr>
        <w:t>(3), 209–216. doi:10.1016/j.ejon.2007.10.005</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Meeske, K., Katz, E. R., Palmer, S. N., Burwinkle, T., &amp; Varni, J. W. (2004). Parent proxy-reported health-related quality of life and fatigue in pediatric patients diagnosed with brain tumors and acute lymphoblastic leukemia. </w:t>
      </w:r>
      <w:r w:rsidRPr="008B7E48">
        <w:rPr>
          <w:i/>
          <w:iCs/>
          <w:noProof/>
          <w:lang w:val="en-US"/>
        </w:rPr>
        <w:t>Cancer</w:t>
      </w:r>
      <w:r w:rsidRPr="008B7E48">
        <w:rPr>
          <w:noProof/>
          <w:lang w:val="en-US"/>
        </w:rPr>
        <w:t xml:space="preserve">, </w:t>
      </w:r>
      <w:r w:rsidRPr="008B7E48">
        <w:rPr>
          <w:i/>
          <w:iCs/>
          <w:noProof/>
          <w:lang w:val="en-US"/>
        </w:rPr>
        <w:t>101</w:t>
      </w:r>
      <w:r w:rsidRPr="008B7E48">
        <w:rPr>
          <w:noProof/>
          <w:lang w:val="en-US"/>
        </w:rPr>
        <w:t>(9), 2116–2125. doi:10.1002/cncr.20609</w:t>
      </w:r>
    </w:p>
    <w:p w:rsidR="00621100" w:rsidRPr="008B7E48" w:rsidRDefault="00621100" w:rsidP="00621100">
      <w:pPr>
        <w:pStyle w:val="NormalWeb"/>
        <w:spacing w:line="480" w:lineRule="auto"/>
        <w:ind w:left="567" w:hanging="567"/>
        <w:contextualSpacing/>
        <w:rPr>
          <w:lang w:val="en-US"/>
        </w:rPr>
      </w:pPr>
      <w:r w:rsidRPr="008B7E48">
        <w:rPr>
          <w:lang w:val="en-US"/>
        </w:rPr>
        <w:lastRenderedPageBreak/>
        <w:t xml:space="preserve">Muehlan, H. (2010). </w:t>
      </w:r>
      <w:r w:rsidRPr="008B7E48">
        <w:rPr>
          <w:i/>
          <w:lang w:val="en-US"/>
        </w:rPr>
        <w:t>Developing the DCGM-12: A short-form of the DISABKIDS condition-generic module assessing health related quality of life in children and adolescents with chronic conditions.</w:t>
      </w:r>
      <w:r w:rsidRPr="008B7E48">
        <w:rPr>
          <w:lang w:val="en-US"/>
        </w:rPr>
        <w:t xml:space="preserve"> Hamburg: University of Hamburg.</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Neville, K. (1996). Psychological distress in adolescents with cancer. </w:t>
      </w:r>
      <w:r w:rsidRPr="008B7E48">
        <w:rPr>
          <w:i/>
          <w:iCs/>
          <w:noProof/>
          <w:lang w:val="en-US"/>
        </w:rPr>
        <w:t>Journal of Pediatric Nursing</w:t>
      </w:r>
      <w:r w:rsidRPr="008B7E48">
        <w:rPr>
          <w:noProof/>
          <w:lang w:val="en-US"/>
        </w:rPr>
        <w:t xml:space="preserve">, </w:t>
      </w:r>
      <w:r w:rsidRPr="008B7E48">
        <w:rPr>
          <w:i/>
          <w:iCs/>
          <w:noProof/>
          <w:lang w:val="en-US"/>
        </w:rPr>
        <w:t>11</w:t>
      </w:r>
      <w:r w:rsidRPr="008B7E48">
        <w:rPr>
          <w:noProof/>
          <w:lang w:val="en-US"/>
        </w:rPr>
        <w:t>(4), 243–251. doi:10.1016/S0882-5963(96)80097-2</w:t>
      </w:r>
    </w:p>
    <w:p w:rsidR="00621100" w:rsidRPr="008B7E48" w:rsidRDefault="00621100" w:rsidP="00621100">
      <w:pPr>
        <w:pStyle w:val="NormalWeb"/>
        <w:spacing w:line="480" w:lineRule="auto"/>
        <w:ind w:left="567" w:hanging="567"/>
        <w:contextualSpacing/>
        <w:rPr>
          <w:iCs/>
          <w:lang w:val="en-US"/>
        </w:rPr>
      </w:pPr>
      <w:r w:rsidRPr="008B7E48">
        <w:rPr>
          <w:iCs/>
          <w:lang w:val="en-US"/>
        </w:rPr>
        <w:t xml:space="preserve">Noll, R. B., Kozlowski, K., Gerhardt, C., Vannatta, K., Taylor, J., &amp; Passo, M. (2000). Social, emotional, and behavioral functioning of children with juvenile rheumatoid arthritis. </w:t>
      </w:r>
      <w:r w:rsidRPr="008B7E48">
        <w:rPr>
          <w:i/>
          <w:iCs/>
          <w:lang w:val="en-US"/>
        </w:rPr>
        <w:t>Arthritis &amp; Rheumatism, 43</w:t>
      </w:r>
      <w:r w:rsidRPr="008B7E48">
        <w:rPr>
          <w:iCs/>
          <w:lang w:val="en-US"/>
        </w:rPr>
        <w:t>(6), 1387–1396. doi:10.1002/1529-0131(200006)</w:t>
      </w:r>
    </w:p>
    <w:p w:rsidR="00621100" w:rsidRDefault="00621100" w:rsidP="00621100">
      <w:pPr>
        <w:pStyle w:val="NormalWeb"/>
        <w:spacing w:line="480" w:lineRule="auto"/>
        <w:ind w:left="567" w:hanging="567"/>
        <w:contextualSpacing/>
        <w:rPr>
          <w:iCs/>
          <w:lang w:val="en-US"/>
        </w:rPr>
      </w:pPr>
      <w:r w:rsidRPr="008B7E48">
        <w:rPr>
          <w:iCs/>
          <w:lang w:val="en-US"/>
        </w:rPr>
        <w:t xml:space="preserve">Noll, R. B., Reiter-Purtill, J., Vannatta, K., Gerhardt, C., &amp; Short, A. (2007). Peer relationships and emotional well-being of children with sickle cell disease: A controlled replication. </w:t>
      </w:r>
      <w:r w:rsidRPr="008B7E48">
        <w:rPr>
          <w:i/>
          <w:iCs/>
          <w:lang w:val="en-US"/>
        </w:rPr>
        <w:t>Child Neuropsychology, 13</w:t>
      </w:r>
      <w:r w:rsidRPr="008B7E48">
        <w:rPr>
          <w:iCs/>
          <w:lang w:val="en-US"/>
        </w:rPr>
        <w:t>(2)</w:t>
      </w:r>
      <w:r w:rsidRPr="008B7E48">
        <w:rPr>
          <w:i/>
          <w:iCs/>
          <w:lang w:val="en-US"/>
        </w:rPr>
        <w:t>,</w:t>
      </w:r>
      <w:r w:rsidRPr="008B7E48">
        <w:rPr>
          <w:iCs/>
          <w:lang w:val="en-US"/>
        </w:rPr>
        <w:t xml:space="preserve"> 173–188. </w:t>
      </w:r>
      <w:proofErr w:type="gramStart"/>
      <w:r w:rsidRPr="008B7E48">
        <w:rPr>
          <w:iCs/>
          <w:lang w:val="en-US"/>
        </w:rPr>
        <w:t>doi:</w:t>
      </w:r>
      <w:proofErr w:type="gramEnd"/>
      <w:r w:rsidRPr="008B7E48">
        <w:rPr>
          <w:iCs/>
          <w:lang w:val="en-US"/>
        </w:rPr>
        <w:t>10.1080/09297040500473706</w:t>
      </w:r>
    </w:p>
    <w:p w:rsidR="00952241" w:rsidRPr="00952241" w:rsidRDefault="00952241" w:rsidP="00621100">
      <w:pPr>
        <w:pStyle w:val="NormalWeb"/>
        <w:spacing w:line="480" w:lineRule="auto"/>
        <w:ind w:left="567" w:hanging="567"/>
        <w:contextualSpacing/>
        <w:rPr>
          <w:iCs/>
          <w:lang w:val="en-US"/>
        </w:rPr>
      </w:pPr>
      <w:proofErr w:type="spellStart"/>
      <w:r>
        <w:rPr>
          <w:iCs/>
          <w:lang w:val="en-US"/>
        </w:rPr>
        <w:t>Pallant</w:t>
      </w:r>
      <w:proofErr w:type="spellEnd"/>
      <w:r>
        <w:rPr>
          <w:iCs/>
          <w:lang w:val="en-US"/>
        </w:rPr>
        <w:t xml:space="preserve">, J. (2007). </w:t>
      </w:r>
      <w:r>
        <w:rPr>
          <w:i/>
          <w:iCs/>
          <w:lang w:val="en-US"/>
        </w:rPr>
        <w:t xml:space="preserve">SPSS Survival Manual: A step by step guide to data analysis using the SPSS program </w:t>
      </w:r>
      <w:r>
        <w:rPr>
          <w:iCs/>
          <w:lang w:val="en-US"/>
        </w:rPr>
        <w:t xml:space="preserve">(3ª </w:t>
      </w:r>
      <w:proofErr w:type="gramStart"/>
      <w:r>
        <w:rPr>
          <w:iCs/>
          <w:lang w:val="en-US"/>
        </w:rPr>
        <w:t>ed</w:t>
      </w:r>
      <w:proofErr w:type="gramEnd"/>
      <w:r>
        <w:rPr>
          <w:iCs/>
          <w:lang w:val="en-US"/>
        </w:rPr>
        <w:t xml:space="preserve">.). </w:t>
      </w:r>
      <w:r w:rsidRPr="00952241">
        <w:rPr>
          <w:iCs/>
          <w:lang w:val="en-US"/>
        </w:rPr>
        <w:t>Buckingham: Open University Press.</w:t>
      </w:r>
    </w:p>
    <w:p w:rsidR="00621100" w:rsidRPr="008B7E48" w:rsidRDefault="00621100" w:rsidP="00621100">
      <w:pPr>
        <w:pStyle w:val="NormalWeb"/>
        <w:spacing w:line="480" w:lineRule="auto"/>
        <w:ind w:left="567" w:hanging="567"/>
        <w:contextualSpacing/>
        <w:rPr>
          <w:bCs/>
          <w:lang w:val="en-US"/>
        </w:rPr>
      </w:pPr>
      <w:proofErr w:type="spellStart"/>
      <w:r w:rsidRPr="00952241">
        <w:rPr>
          <w:bCs/>
        </w:rPr>
        <w:t>Pedrotti</w:t>
      </w:r>
      <w:proofErr w:type="spellEnd"/>
      <w:r w:rsidRPr="00952241">
        <w:rPr>
          <w:bCs/>
        </w:rPr>
        <w:t xml:space="preserve">, J. T., </w:t>
      </w:r>
      <w:proofErr w:type="spellStart"/>
      <w:r w:rsidRPr="00952241">
        <w:rPr>
          <w:bCs/>
        </w:rPr>
        <w:t>Lopez</w:t>
      </w:r>
      <w:proofErr w:type="spellEnd"/>
      <w:r w:rsidRPr="00952241">
        <w:rPr>
          <w:bCs/>
        </w:rPr>
        <w:t xml:space="preserve">, S. J., &amp; </w:t>
      </w:r>
      <w:proofErr w:type="spellStart"/>
      <w:r w:rsidRPr="00952241">
        <w:rPr>
          <w:bCs/>
        </w:rPr>
        <w:t>Krieshok</w:t>
      </w:r>
      <w:proofErr w:type="spellEnd"/>
      <w:r w:rsidRPr="00952241">
        <w:rPr>
          <w:bCs/>
        </w:rPr>
        <w:t xml:space="preserve">, T. (2000). </w:t>
      </w:r>
      <w:r w:rsidRPr="008B7E48">
        <w:rPr>
          <w:bCs/>
          <w:i/>
          <w:lang w:val="en-US"/>
        </w:rPr>
        <w:t>Making hope happen: A program fostering strengths in adolescents</w:t>
      </w:r>
      <w:r w:rsidRPr="008B7E48">
        <w:rPr>
          <w:bCs/>
          <w:lang w:val="en-US"/>
        </w:rPr>
        <w:t xml:space="preserve">. Manuscript submitted for publication. </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Penn, A., Lowis, S. P., Hunt, L. P., Shortman, R. I., Stevens, M. C., McCarter, R. L., … Sharples, P. M. (2008). Health related quality of life in the first year after diagnosis in children with brain tumours compared with matched healthy controls; a prospective longitudinal study. </w:t>
      </w:r>
      <w:r w:rsidRPr="008B7E48">
        <w:rPr>
          <w:i/>
          <w:iCs/>
          <w:noProof/>
          <w:lang w:val="en-US"/>
        </w:rPr>
        <w:t>European Journal of Cancer</w:t>
      </w:r>
      <w:r w:rsidRPr="008B7E48">
        <w:rPr>
          <w:noProof/>
          <w:lang w:val="en-US"/>
        </w:rPr>
        <w:t xml:space="preserve">, </w:t>
      </w:r>
      <w:r w:rsidRPr="008B7E48">
        <w:rPr>
          <w:i/>
          <w:iCs/>
          <w:noProof/>
          <w:lang w:val="en-US"/>
        </w:rPr>
        <w:t>44</w:t>
      </w:r>
      <w:r w:rsidRPr="008B7E48">
        <w:rPr>
          <w:noProof/>
          <w:lang w:val="en-US"/>
        </w:rPr>
        <w:t>(9), 1243–1252. doi:10.1016/j.ejca.2007.09.015</w:t>
      </w:r>
    </w:p>
    <w:p w:rsidR="00621100" w:rsidRPr="008B7E48" w:rsidRDefault="00621100" w:rsidP="00621100">
      <w:pPr>
        <w:pStyle w:val="NormalWeb"/>
        <w:spacing w:line="480" w:lineRule="auto"/>
        <w:ind w:left="567" w:hanging="567"/>
        <w:contextualSpacing/>
        <w:rPr>
          <w:iCs/>
          <w:lang w:val="en-US"/>
        </w:rPr>
      </w:pPr>
      <w:r w:rsidRPr="008B7E48">
        <w:rPr>
          <w:iCs/>
          <w:lang w:val="en-US"/>
        </w:rPr>
        <w:t xml:space="preserve">Post-White, J., Ceronsky, C., Kreitzer, M.J., Nickelson, K., Drew, D., Mackey, K.W., … Gutknecht, S. (1996). Hope, spirituality, sense of coherence, and quality of life in patients with cancer. </w:t>
      </w:r>
      <w:r w:rsidRPr="008B7E48">
        <w:rPr>
          <w:i/>
          <w:iCs/>
          <w:lang w:val="en-US"/>
        </w:rPr>
        <w:t>Oncology Nursing Forum, 23</w:t>
      </w:r>
      <w:r w:rsidRPr="008B7E48">
        <w:rPr>
          <w:iCs/>
          <w:lang w:val="en-US"/>
        </w:rPr>
        <w:t>(10)</w:t>
      </w:r>
      <w:r w:rsidRPr="008B7E48">
        <w:rPr>
          <w:i/>
          <w:iCs/>
          <w:lang w:val="en-US"/>
        </w:rPr>
        <w:t xml:space="preserve">, </w:t>
      </w:r>
      <w:r w:rsidRPr="008B7E48">
        <w:rPr>
          <w:iCs/>
          <w:lang w:val="en-US"/>
        </w:rPr>
        <w:t>1571–1579.</w:t>
      </w:r>
    </w:p>
    <w:p w:rsidR="00621100" w:rsidRPr="008B7E48" w:rsidRDefault="00DF660B" w:rsidP="00621100">
      <w:pPr>
        <w:pStyle w:val="NormalWeb"/>
        <w:spacing w:line="480" w:lineRule="auto"/>
        <w:ind w:left="567" w:hanging="567"/>
        <w:contextualSpacing/>
        <w:rPr>
          <w:lang w:val="en-US"/>
        </w:rPr>
      </w:pPr>
      <w:r>
        <w:rPr>
          <w:lang w:val="en-US"/>
        </w:rPr>
        <w:lastRenderedPageBreak/>
        <w:t>Preacher, K. J., &amp; Hayes</w:t>
      </w:r>
      <w:r w:rsidR="00621100" w:rsidRPr="008B7E48">
        <w:rPr>
          <w:lang w:val="en-US"/>
        </w:rPr>
        <w:t xml:space="preserve">, A. F. (2008). Asymptotic and resampling strategies for assessing and comparing indirect effects in multiple mediator models. </w:t>
      </w:r>
      <w:r w:rsidR="00621100" w:rsidRPr="008B7E48">
        <w:rPr>
          <w:i/>
          <w:lang w:val="en-US"/>
        </w:rPr>
        <w:t xml:space="preserve">Behavior Research Methods, 40 </w:t>
      </w:r>
      <w:r w:rsidR="00621100" w:rsidRPr="008B7E48">
        <w:rPr>
          <w:lang w:val="en-US"/>
        </w:rPr>
        <w:t>(3), 879-891. doi:10.3758/BRM.40.3.879</w:t>
      </w:r>
    </w:p>
    <w:p w:rsidR="00621100" w:rsidRPr="008B7E48" w:rsidRDefault="00621100" w:rsidP="00621100">
      <w:pPr>
        <w:pStyle w:val="NormalWeb"/>
        <w:spacing w:line="480" w:lineRule="auto"/>
        <w:ind w:left="567" w:hanging="567"/>
        <w:contextualSpacing/>
        <w:rPr>
          <w:noProof/>
        </w:rPr>
      </w:pPr>
      <w:r w:rsidRPr="008B7E48">
        <w:rPr>
          <w:noProof/>
          <w:lang w:val="en-US"/>
        </w:rPr>
        <w:t xml:space="preserve">Reinfjell, T., Lofstad, G. E., Veenstra, M., Vikan, A., &amp; Diseth, T. H. (2007). Health-related quality of life and intellectual functioning in children in remission from acute lymphoblastic leukaemia. </w:t>
      </w:r>
      <w:r w:rsidRPr="008B7E48">
        <w:rPr>
          <w:i/>
          <w:iCs/>
          <w:noProof/>
        </w:rPr>
        <w:t>Acta Paediatrica</w:t>
      </w:r>
      <w:r w:rsidRPr="008B7E48">
        <w:rPr>
          <w:noProof/>
        </w:rPr>
        <w:t xml:space="preserve">, </w:t>
      </w:r>
      <w:r w:rsidRPr="008B7E48">
        <w:rPr>
          <w:i/>
          <w:iCs/>
          <w:noProof/>
        </w:rPr>
        <w:t>96</w:t>
      </w:r>
      <w:r w:rsidRPr="008B7E48">
        <w:rPr>
          <w:noProof/>
        </w:rPr>
        <w:t xml:space="preserve">(9), 1280–1285. doi:10.1111/j.1651-2227.2007.00383.x </w:t>
      </w:r>
    </w:p>
    <w:p w:rsidR="00621100" w:rsidRPr="008B7E48" w:rsidRDefault="00621100" w:rsidP="00621100">
      <w:pPr>
        <w:pStyle w:val="NormalWeb"/>
        <w:spacing w:line="480" w:lineRule="auto"/>
        <w:ind w:left="567" w:hanging="567"/>
        <w:contextualSpacing/>
        <w:rPr>
          <w:lang w:val="en-US"/>
        </w:rPr>
      </w:pPr>
      <w:r w:rsidRPr="008B7E48">
        <w:t xml:space="preserve">Reynolds, C. R., &amp; Richmond, B. O. (2008). </w:t>
      </w:r>
      <w:r w:rsidRPr="008B7E48">
        <w:rPr>
          <w:i/>
          <w:iCs/>
          <w:lang w:val="en-US"/>
        </w:rPr>
        <w:t xml:space="preserve">Revised Children’s Manifest Anxiety Scale, Second Edition (RCMAS-2): Manual. </w:t>
      </w:r>
      <w:r w:rsidRPr="008B7E48">
        <w:rPr>
          <w:lang w:val="en-US"/>
        </w:rPr>
        <w:t>Los Angeles, CA: Western Psychological Services.</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Robinson, K. E., Gerhardt, C. A., Vannatta, K., &amp; Noll, R. B. (2007). Parent and family factors associated with child adjustment to pediatric cancer. </w:t>
      </w:r>
      <w:r w:rsidRPr="008B7E48">
        <w:rPr>
          <w:i/>
          <w:iCs/>
          <w:noProof/>
          <w:lang w:val="en-US"/>
        </w:rPr>
        <w:t>Journal of Pediatric Psychology</w:t>
      </w:r>
      <w:r w:rsidRPr="008B7E48">
        <w:rPr>
          <w:noProof/>
          <w:lang w:val="en-US"/>
        </w:rPr>
        <w:t xml:space="preserve">, </w:t>
      </w:r>
      <w:r w:rsidRPr="008B7E48">
        <w:rPr>
          <w:i/>
          <w:iCs/>
          <w:noProof/>
          <w:lang w:val="en-US"/>
        </w:rPr>
        <w:t>32</w:t>
      </w:r>
      <w:r w:rsidRPr="008B7E48">
        <w:rPr>
          <w:noProof/>
          <w:lang w:val="en-US"/>
        </w:rPr>
        <w:t>(4), 400–410. doi:10.1093/jpepsy/jsl038</w:t>
      </w:r>
    </w:p>
    <w:p w:rsidR="00621100" w:rsidRDefault="00621100" w:rsidP="00621100">
      <w:pPr>
        <w:pStyle w:val="NormalWeb"/>
        <w:spacing w:line="480" w:lineRule="auto"/>
        <w:ind w:left="567" w:hanging="567"/>
        <w:contextualSpacing/>
        <w:rPr>
          <w:noProof/>
        </w:rPr>
      </w:pPr>
      <w:r w:rsidRPr="008B7E48">
        <w:rPr>
          <w:noProof/>
          <w:lang w:val="en-US"/>
        </w:rPr>
        <w:t xml:space="preserve">Russell, K. M., Hudson, M., Long, A., &amp; Phipps, S. (2006). Assessment of health-related quality of life in children with cancer: Consistency and agreement between parent and child reports. </w:t>
      </w:r>
      <w:r w:rsidRPr="008B7E48">
        <w:rPr>
          <w:i/>
          <w:iCs/>
          <w:noProof/>
        </w:rPr>
        <w:t>Cancer</w:t>
      </w:r>
      <w:r w:rsidRPr="008B7E48">
        <w:rPr>
          <w:noProof/>
        </w:rPr>
        <w:t xml:space="preserve">, </w:t>
      </w:r>
      <w:r w:rsidRPr="008B7E48">
        <w:rPr>
          <w:i/>
          <w:iCs/>
          <w:noProof/>
        </w:rPr>
        <w:t>106</w:t>
      </w:r>
      <w:r w:rsidRPr="008B7E48">
        <w:rPr>
          <w:noProof/>
        </w:rPr>
        <w:t>(10), 2267–2274. doi:10.1002/cncr.21871</w:t>
      </w:r>
    </w:p>
    <w:p w:rsidR="00066C06" w:rsidRPr="0050236C" w:rsidRDefault="00066C06" w:rsidP="00066C06">
      <w:pPr>
        <w:pStyle w:val="NormalWeb"/>
        <w:spacing w:line="480" w:lineRule="auto"/>
        <w:ind w:left="567" w:hanging="567"/>
        <w:contextualSpacing/>
        <w:rPr>
          <w:lang w:val="en-US"/>
        </w:rPr>
      </w:pPr>
      <w:r w:rsidRPr="00066C06">
        <w:t xml:space="preserve">Santos, S., Crespo, C., Canavarro, M. C., &amp; Pinto, A. (2014). Intensidade do tratamento e qualidade </w:t>
      </w:r>
      <w:r w:rsidR="004D733E">
        <w:t>de vida relacionada com a saúde no cancro pediá</w:t>
      </w:r>
      <w:r w:rsidRPr="00066C06">
        <w:t>trico:</w:t>
      </w:r>
      <w:r w:rsidR="004D733E">
        <w:t xml:space="preserve"> Resultados da versã</w:t>
      </w:r>
      <w:r w:rsidRPr="00066C06">
        <w:t>o Portuguesa da Escala de Classificac</w:t>
      </w:r>
      <w:r w:rsidR="004D733E">
        <w:t>ã</w:t>
      </w:r>
      <w:r w:rsidRPr="00066C06">
        <w:t xml:space="preserve">o da Intensidade do Tratamento 3.0 [Intensity of treatment and health-related quality of life in pediatric cancer: Findings from the Portuguese version of Intensity of Treatment Rating Scale 3.0]. </w:t>
      </w:r>
      <w:r w:rsidR="002E5504" w:rsidRPr="00604952">
        <w:rPr>
          <w:i/>
          <w:lang w:val="en-US"/>
        </w:rPr>
        <w:t>Psychology, Community &amp; Health, 3</w:t>
      </w:r>
      <w:r w:rsidR="002E5504" w:rsidRPr="001E4506">
        <w:rPr>
          <w:lang w:val="en-US"/>
        </w:rPr>
        <w:t>, 158–171. doi:10.5964/pch.v3i3.97</w:t>
      </w:r>
    </w:p>
    <w:p w:rsidR="00621100" w:rsidRPr="008B7E48" w:rsidRDefault="00AD403A" w:rsidP="00621100">
      <w:pPr>
        <w:pStyle w:val="NormalWeb"/>
        <w:spacing w:line="480" w:lineRule="auto"/>
        <w:ind w:left="567" w:hanging="567"/>
        <w:contextualSpacing/>
        <w:rPr>
          <w:noProof/>
          <w:lang w:val="en-US"/>
        </w:rPr>
      </w:pPr>
      <w:r>
        <w:rPr>
          <w:noProof/>
          <w:lang w:val="en-US"/>
        </w:rPr>
        <w:t xml:space="preserve">Servitzoglou, M., Papadatou, D., Tsiantis, I., &amp; Vasilatou-Kosmidis, H. (2009). </w:t>
      </w:r>
      <w:r w:rsidR="00621100" w:rsidRPr="008B7E48">
        <w:rPr>
          <w:noProof/>
          <w:lang w:val="en-US"/>
        </w:rPr>
        <w:t xml:space="preserve">Quality of life of adolescent and young adult survivors of childhood cancer. </w:t>
      </w:r>
      <w:r w:rsidR="00621100" w:rsidRPr="008B7E48">
        <w:rPr>
          <w:i/>
          <w:iCs/>
          <w:noProof/>
          <w:lang w:val="en-US"/>
        </w:rPr>
        <w:t>Journal of Pediatric Nursing</w:t>
      </w:r>
      <w:r w:rsidR="00621100" w:rsidRPr="008B7E48">
        <w:rPr>
          <w:noProof/>
          <w:lang w:val="en-US"/>
        </w:rPr>
        <w:t xml:space="preserve">, </w:t>
      </w:r>
      <w:r w:rsidR="00621100" w:rsidRPr="008B7E48">
        <w:rPr>
          <w:i/>
          <w:iCs/>
          <w:noProof/>
          <w:lang w:val="en-US"/>
        </w:rPr>
        <w:t>24</w:t>
      </w:r>
      <w:r w:rsidR="00621100" w:rsidRPr="008B7E48">
        <w:rPr>
          <w:noProof/>
          <w:lang w:val="en-US"/>
        </w:rPr>
        <w:t>(5), 415–422. doi:10.1016/j.pedn.2007.02.073</w:t>
      </w:r>
    </w:p>
    <w:p w:rsidR="00621100" w:rsidRPr="008B7E48" w:rsidRDefault="00621100" w:rsidP="00621100">
      <w:pPr>
        <w:pStyle w:val="NormalWeb"/>
        <w:spacing w:line="480" w:lineRule="auto"/>
        <w:ind w:left="567" w:hanging="567"/>
        <w:contextualSpacing/>
        <w:rPr>
          <w:noProof/>
          <w:lang w:val="en-US"/>
        </w:rPr>
      </w:pPr>
      <w:r w:rsidRPr="008B7E48">
        <w:rPr>
          <w:noProof/>
          <w:lang w:val="en-US"/>
        </w:rPr>
        <w:lastRenderedPageBreak/>
        <w:t xml:space="preserve">Shankar, S., Robison, L., Jenney, M. E., Rockwood, T. H., Wu, E., Feusner, J., … Bhatia, S. (2005). Health-related quality of life in young survivors of childhood cancer using the Minneapolis-Manchester Quality of Life-Youth Form. </w:t>
      </w:r>
      <w:r w:rsidRPr="008B7E48">
        <w:rPr>
          <w:i/>
          <w:iCs/>
          <w:noProof/>
          <w:lang w:val="en-US"/>
        </w:rPr>
        <w:t>Pediatrics</w:t>
      </w:r>
      <w:r w:rsidRPr="008B7E48">
        <w:rPr>
          <w:noProof/>
          <w:lang w:val="en-US"/>
        </w:rPr>
        <w:t xml:space="preserve">, </w:t>
      </w:r>
      <w:r w:rsidRPr="008B7E48">
        <w:rPr>
          <w:i/>
          <w:iCs/>
          <w:noProof/>
          <w:lang w:val="en-US"/>
        </w:rPr>
        <w:t>115</w:t>
      </w:r>
      <w:r w:rsidRPr="008B7E48">
        <w:rPr>
          <w:noProof/>
          <w:lang w:val="en-US"/>
        </w:rPr>
        <w:t>(2), 435–442. doi:10.1542/peds.2004-0649</w:t>
      </w:r>
    </w:p>
    <w:p w:rsidR="00621100" w:rsidRPr="008B7E48" w:rsidRDefault="00621100" w:rsidP="00621100">
      <w:pPr>
        <w:pStyle w:val="NormalWeb"/>
        <w:spacing w:line="480" w:lineRule="auto"/>
        <w:ind w:left="567" w:hanging="567"/>
        <w:contextualSpacing/>
        <w:rPr>
          <w:lang w:val="en-US"/>
        </w:rPr>
      </w:pPr>
      <w:r w:rsidRPr="008B7E48">
        <w:rPr>
          <w:lang w:val="en-US"/>
        </w:rPr>
        <w:t>Siegel, R., DeSantis, C., Virgo, K., Stei</w:t>
      </w:r>
      <w:r>
        <w:rPr>
          <w:lang w:val="en-US"/>
        </w:rPr>
        <w:t>n, K., Mariotto, A., Smith, T.,</w:t>
      </w:r>
      <w:r w:rsidRPr="008B7E48">
        <w:rPr>
          <w:lang w:val="en-US"/>
        </w:rPr>
        <w:t xml:space="preserve"> … Ward, E. (2012). Cancer treatment and survivorship statistics, 2012. </w:t>
      </w:r>
      <w:r w:rsidRPr="008B7E48">
        <w:rPr>
          <w:i/>
          <w:lang w:val="en-US"/>
        </w:rPr>
        <w:t>CA: A Cancer Journal for Clinicians</w:t>
      </w:r>
      <w:r w:rsidRPr="008B7E48">
        <w:rPr>
          <w:lang w:val="en-US"/>
        </w:rPr>
        <w:t xml:space="preserve">, </w:t>
      </w:r>
      <w:r w:rsidRPr="008B7E48">
        <w:rPr>
          <w:i/>
          <w:lang w:val="en-US"/>
        </w:rPr>
        <w:t>62</w:t>
      </w:r>
      <w:r w:rsidRPr="008B7E48">
        <w:rPr>
          <w:lang w:val="en-US"/>
        </w:rPr>
        <w:t xml:space="preserve">(4), 220-241. doi:10.3322/caac.21149. </w:t>
      </w:r>
    </w:p>
    <w:p w:rsidR="00621100" w:rsidRPr="008B7E48" w:rsidRDefault="00621100" w:rsidP="00621100">
      <w:pPr>
        <w:pStyle w:val="NormalWeb"/>
        <w:spacing w:line="480" w:lineRule="auto"/>
        <w:ind w:left="567" w:hanging="567"/>
        <w:contextualSpacing/>
        <w:rPr>
          <w:shd w:val="clear" w:color="auto" w:fill="FFFFFF"/>
        </w:rPr>
      </w:pPr>
      <w:r w:rsidRPr="008B7E48">
        <w:rPr>
          <w:shd w:val="clear" w:color="auto" w:fill="FFFFFF"/>
        </w:rPr>
        <w:t>Simões, M. R. (1994).</w:t>
      </w:r>
      <w:r w:rsidRPr="008B7E48">
        <w:rPr>
          <w:rStyle w:val="apple-converted-space"/>
          <w:shd w:val="clear" w:color="auto" w:fill="FFFFFF"/>
        </w:rPr>
        <w:t> </w:t>
      </w:r>
      <w:r w:rsidRPr="008B7E48">
        <w:rPr>
          <w:i/>
          <w:iCs/>
          <w:shd w:val="clear" w:color="auto" w:fill="FFFFFF"/>
        </w:rPr>
        <w:t>Investigações no âmbito da aferição nacional do teste das Matrizes Progressivas de Raven [Raven’s Progressive Matrices: Aferition studies]</w:t>
      </w:r>
      <w:r w:rsidRPr="008B7E48">
        <w:rPr>
          <w:shd w:val="clear" w:color="auto" w:fill="FFFFFF"/>
        </w:rPr>
        <w:t>. Unpublished Doctoral Dissertation, Faculdade de Psicologia e de Ciências da Educacão, Universidade de Coimbra, Coimbra, Portugal.</w:t>
      </w:r>
    </w:p>
    <w:p w:rsidR="00621100" w:rsidRPr="008B7E48" w:rsidRDefault="00621100" w:rsidP="00621100">
      <w:pPr>
        <w:pStyle w:val="NormalWeb"/>
        <w:spacing w:line="480" w:lineRule="auto"/>
        <w:ind w:left="567" w:hanging="567"/>
        <w:contextualSpacing/>
        <w:rPr>
          <w:iCs/>
          <w:lang w:val="en-US"/>
        </w:rPr>
      </w:pPr>
      <w:r w:rsidRPr="008B7E48">
        <w:rPr>
          <w:iCs/>
          <w:lang w:val="en-US"/>
        </w:rPr>
        <w:t xml:space="preserve">Snyder, C. R. (1989). Reality negotiation: From excuses to hope and beyond. </w:t>
      </w:r>
      <w:r w:rsidRPr="008B7E48">
        <w:rPr>
          <w:i/>
          <w:iCs/>
          <w:lang w:val="en-US"/>
        </w:rPr>
        <w:t>Journal of Social and Clinical Psychology, 8</w:t>
      </w:r>
      <w:r w:rsidRPr="008B7E48">
        <w:rPr>
          <w:iCs/>
          <w:lang w:val="en-US"/>
        </w:rPr>
        <w:t>(2), 130-157. doi:10.1521/jscp.1989.8.2.130</w:t>
      </w:r>
    </w:p>
    <w:p w:rsidR="00621100" w:rsidRPr="008B7E48" w:rsidRDefault="00621100" w:rsidP="00621100">
      <w:pPr>
        <w:pStyle w:val="NormalWeb"/>
        <w:spacing w:line="480" w:lineRule="auto"/>
        <w:ind w:left="567" w:hanging="567"/>
        <w:contextualSpacing/>
        <w:rPr>
          <w:iCs/>
          <w:lang w:val="en-US"/>
        </w:rPr>
      </w:pPr>
      <w:r w:rsidRPr="008B7E48">
        <w:rPr>
          <w:iCs/>
          <w:lang w:val="en-US"/>
        </w:rPr>
        <w:t xml:space="preserve">Snyder, C. R. (1997). The development and validation of the Children's Hope Scale. </w:t>
      </w:r>
      <w:r w:rsidRPr="008B7E48">
        <w:rPr>
          <w:i/>
          <w:iCs/>
          <w:lang w:val="en-US"/>
        </w:rPr>
        <w:t>Journal of PediatricPsychology, 22</w:t>
      </w:r>
      <w:r w:rsidRPr="008B7E48">
        <w:rPr>
          <w:iCs/>
          <w:lang w:val="en-US"/>
        </w:rPr>
        <w:t xml:space="preserve">(3), 399-401. doi:10.1093/jpepsy/22.3.399 </w:t>
      </w:r>
    </w:p>
    <w:p w:rsidR="00621100" w:rsidRDefault="00621100" w:rsidP="00621100">
      <w:pPr>
        <w:pStyle w:val="NormalWeb"/>
        <w:spacing w:line="480" w:lineRule="auto"/>
        <w:ind w:left="567" w:hanging="567"/>
        <w:contextualSpacing/>
        <w:rPr>
          <w:iCs/>
          <w:lang w:val="en-US"/>
        </w:rPr>
      </w:pPr>
      <w:r w:rsidRPr="008B7E48">
        <w:rPr>
          <w:iCs/>
          <w:lang w:val="en-US"/>
        </w:rPr>
        <w:t xml:space="preserve">Snyder, C. R. (2000). </w:t>
      </w:r>
      <w:r w:rsidRPr="008B7E48">
        <w:rPr>
          <w:i/>
          <w:iCs/>
          <w:lang w:val="en-US"/>
        </w:rPr>
        <w:t xml:space="preserve">Handbook of hope: Theory, measures, and applications </w:t>
      </w:r>
      <w:r w:rsidRPr="008B7E48">
        <w:rPr>
          <w:iCs/>
          <w:lang w:val="en-US"/>
        </w:rPr>
        <w:t xml:space="preserve">(1ª ed.). San Diego, </w:t>
      </w:r>
      <w:r w:rsidR="00952241">
        <w:rPr>
          <w:iCs/>
          <w:lang w:val="en-US"/>
        </w:rPr>
        <w:t>CA: Academic Press.</w:t>
      </w:r>
    </w:p>
    <w:p w:rsidR="00952241" w:rsidRPr="00952241" w:rsidRDefault="00952241" w:rsidP="00621100">
      <w:pPr>
        <w:pStyle w:val="NormalWeb"/>
        <w:spacing w:line="480" w:lineRule="auto"/>
        <w:ind w:left="567" w:hanging="567"/>
        <w:contextualSpacing/>
        <w:rPr>
          <w:iCs/>
          <w:lang w:val="en-US"/>
        </w:rPr>
      </w:pPr>
      <w:r w:rsidRPr="008B7E48">
        <w:rPr>
          <w:iCs/>
          <w:lang w:val="en-US"/>
        </w:rPr>
        <w:t>Snyder, C. R. (200</w:t>
      </w:r>
      <w:r>
        <w:rPr>
          <w:iCs/>
          <w:lang w:val="en-US"/>
        </w:rPr>
        <w:t>3, March</w:t>
      </w:r>
      <w:r w:rsidRPr="008B7E48">
        <w:rPr>
          <w:iCs/>
          <w:lang w:val="en-US"/>
        </w:rPr>
        <w:t>).</w:t>
      </w:r>
      <w:r>
        <w:rPr>
          <w:i/>
          <w:iCs/>
          <w:lang w:val="en-US"/>
        </w:rPr>
        <w:t xml:space="preserve"> </w:t>
      </w:r>
      <w:proofErr w:type="gramStart"/>
      <w:r>
        <w:rPr>
          <w:i/>
          <w:iCs/>
          <w:lang w:val="en-US"/>
        </w:rPr>
        <w:t>Measuring Hope in Children.</w:t>
      </w:r>
      <w:proofErr w:type="gramEnd"/>
      <w:r>
        <w:rPr>
          <w:iCs/>
          <w:lang w:val="en-US"/>
        </w:rPr>
        <w:t xml:space="preserve"> Paper presented at the Indicators of Positive Development Conference, Washington, DC.</w:t>
      </w:r>
    </w:p>
    <w:p w:rsidR="00621100" w:rsidRPr="008B7E48" w:rsidRDefault="00621100" w:rsidP="00621100">
      <w:pPr>
        <w:pStyle w:val="NormalWeb"/>
        <w:spacing w:line="480" w:lineRule="auto"/>
        <w:ind w:left="567" w:hanging="567"/>
        <w:contextualSpacing/>
        <w:rPr>
          <w:iCs/>
          <w:lang w:val="en-US"/>
        </w:rPr>
      </w:pPr>
      <w:proofErr w:type="gramStart"/>
      <w:r w:rsidRPr="008B7E48">
        <w:rPr>
          <w:lang w:val="en-US"/>
        </w:rPr>
        <w:t>Snyder, C. R., Cheavens, J., &amp; Michael, S. T. (1999).</w:t>
      </w:r>
      <w:proofErr w:type="gramEnd"/>
      <w:r w:rsidRPr="008B7E48">
        <w:rPr>
          <w:lang w:val="en-US"/>
        </w:rPr>
        <w:t xml:space="preserve"> Hoping. In C. R. Snyder (Ed.), </w:t>
      </w:r>
      <w:r w:rsidRPr="008B7E48">
        <w:rPr>
          <w:i/>
          <w:lang w:val="en-US"/>
        </w:rPr>
        <w:t>Coping: The psychology of what works</w:t>
      </w:r>
      <w:r w:rsidRPr="008B7E48">
        <w:rPr>
          <w:lang w:val="en-US"/>
        </w:rPr>
        <w:t xml:space="preserve"> (pp. 205-231). New York: Oxford University Press.</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Snyder, C. R., Hoza, B., Pelham, W. E., Rapoff, M., Ware, L., Danovsky, M., … Stahl, K. J. (1997). The development and validation of the children’s hope scale. </w:t>
      </w:r>
      <w:r w:rsidRPr="008B7E48">
        <w:rPr>
          <w:i/>
          <w:iCs/>
          <w:noProof/>
          <w:lang w:val="en-US"/>
        </w:rPr>
        <w:t>Journal of Pediatric Psychology</w:t>
      </w:r>
      <w:r w:rsidRPr="008B7E48">
        <w:rPr>
          <w:noProof/>
          <w:lang w:val="en-US"/>
        </w:rPr>
        <w:t xml:space="preserve">, </w:t>
      </w:r>
      <w:r w:rsidRPr="008B7E48">
        <w:rPr>
          <w:i/>
          <w:iCs/>
          <w:noProof/>
          <w:lang w:val="en-US"/>
        </w:rPr>
        <w:t>22</w:t>
      </w:r>
      <w:r w:rsidRPr="008B7E48">
        <w:rPr>
          <w:noProof/>
          <w:lang w:val="en-US"/>
        </w:rPr>
        <w:t>(3), 399–421. doi:10.1093/jpepsy/22.3.399</w:t>
      </w:r>
    </w:p>
    <w:p w:rsidR="00621100" w:rsidRPr="008B7E48" w:rsidRDefault="00621100" w:rsidP="00621100">
      <w:pPr>
        <w:pStyle w:val="NormalWeb"/>
        <w:spacing w:line="480" w:lineRule="auto"/>
        <w:ind w:left="567" w:hanging="567"/>
        <w:contextualSpacing/>
        <w:rPr>
          <w:iCs/>
          <w:lang w:val="en-US"/>
        </w:rPr>
      </w:pPr>
      <w:r w:rsidRPr="008B7E48">
        <w:rPr>
          <w:lang w:val="en-US"/>
        </w:rPr>
        <w:lastRenderedPageBreak/>
        <w:t>Stanton, A. L. (19</w:t>
      </w:r>
      <w:r w:rsidR="00952241">
        <w:rPr>
          <w:lang w:val="en-US"/>
        </w:rPr>
        <w:t>9</w:t>
      </w:r>
      <w:r w:rsidRPr="008B7E48">
        <w:rPr>
          <w:lang w:val="en-US"/>
        </w:rPr>
        <w:t xml:space="preserve">8). Cancer: Behavioral and psychosocial aspects. In E. A. Blechman &amp; K. D. Brownell (Eds.), </w:t>
      </w:r>
      <w:r w:rsidRPr="008B7E48">
        <w:rPr>
          <w:i/>
          <w:lang w:val="en-US"/>
        </w:rPr>
        <w:t xml:space="preserve">Behavioral medicine and women: A comprehensive handbook </w:t>
      </w:r>
      <w:r w:rsidRPr="008B7E48">
        <w:rPr>
          <w:lang w:val="en-US"/>
        </w:rPr>
        <w:t>(pp. 588-594). New York: Guilford Press.</w:t>
      </w:r>
    </w:p>
    <w:p w:rsidR="00621100" w:rsidRPr="0050236C" w:rsidRDefault="00621100" w:rsidP="00621100">
      <w:pPr>
        <w:pStyle w:val="NormalWeb"/>
        <w:spacing w:line="480" w:lineRule="auto"/>
        <w:ind w:left="567" w:hanging="567"/>
        <w:contextualSpacing/>
        <w:rPr>
          <w:noProof/>
          <w:lang w:val="en-US"/>
        </w:rPr>
      </w:pPr>
      <w:r w:rsidRPr="008B7E48">
        <w:rPr>
          <w:noProof/>
          <w:lang w:val="en-US"/>
        </w:rPr>
        <w:t xml:space="preserve">Stevanovic, D., Jancic, J., &amp; Lakic, A. (2011). The impact of depression and anxiety disorder symptoms on the health-related quality of life of children and adolescents with epilepsy. </w:t>
      </w:r>
      <w:r w:rsidRPr="00604952">
        <w:rPr>
          <w:i/>
          <w:iCs/>
          <w:noProof/>
          <w:lang w:val="en-US"/>
        </w:rPr>
        <w:t>Epilepsia</w:t>
      </w:r>
      <w:r w:rsidRPr="001E4506">
        <w:rPr>
          <w:noProof/>
          <w:lang w:val="en-US"/>
        </w:rPr>
        <w:t xml:space="preserve">, </w:t>
      </w:r>
      <w:r w:rsidR="00AD403A">
        <w:rPr>
          <w:i/>
          <w:iCs/>
          <w:noProof/>
          <w:lang w:val="en-US"/>
        </w:rPr>
        <w:t>52</w:t>
      </w:r>
      <w:r w:rsidR="00AD403A">
        <w:rPr>
          <w:noProof/>
          <w:lang w:val="en-US"/>
        </w:rPr>
        <w:t>(8), 75–78. doi:10.1111/j.1528-1167.2011.03133.x</w:t>
      </w:r>
    </w:p>
    <w:p w:rsidR="00621100" w:rsidRDefault="00AD403A" w:rsidP="00621100">
      <w:pPr>
        <w:pStyle w:val="NormalWeb"/>
        <w:spacing w:line="480" w:lineRule="auto"/>
        <w:ind w:left="567" w:hanging="567"/>
        <w:contextualSpacing/>
        <w:rPr>
          <w:noProof/>
          <w:lang w:val="en-US"/>
        </w:rPr>
      </w:pPr>
      <w:r>
        <w:rPr>
          <w:noProof/>
          <w:lang w:val="en-US"/>
        </w:rPr>
        <w:t xml:space="preserve">Valle, M. F., Huebner, E. S., &amp; Suldo, S. M. (2006). </w:t>
      </w:r>
      <w:r w:rsidR="00621100" w:rsidRPr="008B7E48">
        <w:rPr>
          <w:noProof/>
          <w:lang w:val="en-US"/>
        </w:rPr>
        <w:t xml:space="preserve">An analysis of hope as a psychological strength. </w:t>
      </w:r>
      <w:r w:rsidR="00621100" w:rsidRPr="008B7E48">
        <w:rPr>
          <w:i/>
          <w:iCs/>
          <w:noProof/>
          <w:lang w:val="en-US"/>
        </w:rPr>
        <w:t>Journal of School Psychology</w:t>
      </w:r>
      <w:r w:rsidR="00621100" w:rsidRPr="008B7E48">
        <w:rPr>
          <w:noProof/>
          <w:lang w:val="en-US"/>
        </w:rPr>
        <w:t xml:space="preserve">, </w:t>
      </w:r>
      <w:r w:rsidR="00621100" w:rsidRPr="008B7E48">
        <w:rPr>
          <w:i/>
          <w:iCs/>
          <w:noProof/>
          <w:lang w:val="en-US"/>
        </w:rPr>
        <w:t>44</w:t>
      </w:r>
      <w:r w:rsidR="00621100" w:rsidRPr="008B7E48">
        <w:rPr>
          <w:noProof/>
          <w:lang w:val="en-US"/>
        </w:rPr>
        <w:t>(5), 393–406. doi:10.1016/j.jsp.2006.03.005</w:t>
      </w:r>
    </w:p>
    <w:p w:rsidR="0015570B" w:rsidRPr="008B7E48" w:rsidRDefault="0015570B" w:rsidP="00621100">
      <w:pPr>
        <w:pStyle w:val="NormalWeb"/>
        <w:spacing w:line="480" w:lineRule="auto"/>
        <w:ind w:left="567" w:hanging="567"/>
        <w:contextualSpacing/>
        <w:rPr>
          <w:noProof/>
          <w:lang w:val="en-US"/>
        </w:rPr>
      </w:pPr>
      <w:r w:rsidRPr="0015570B">
        <w:rPr>
          <w:noProof/>
          <w:lang w:val="en-US"/>
        </w:rPr>
        <w:t>Varni, J.</w:t>
      </w:r>
      <w:r>
        <w:rPr>
          <w:noProof/>
          <w:lang w:val="en-US"/>
        </w:rPr>
        <w:t xml:space="preserve"> </w:t>
      </w:r>
      <w:r w:rsidRPr="0015570B">
        <w:rPr>
          <w:noProof/>
          <w:lang w:val="en-US"/>
        </w:rPr>
        <w:t>W., Burwinkle, T.</w:t>
      </w:r>
      <w:r>
        <w:rPr>
          <w:noProof/>
          <w:lang w:val="en-US"/>
        </w:rPr>
        <w:t xml:space="preserve"> </w:t>
      </w:r>
      <w:r w:rsidRPr="0015570B">
        <w:rPr>
          <w:noProof/>
          <w:lang w:val="en-US"/>
        </w:rPr>
        <w:t>M., &amp; Lane, M.</w:t>
      </w:r>
      <w:r>
        <w:rPr>
          <w:noProof/>
          <w:lang w:val="en-US"/>
        </w:rPr>
        <w:t xml:space="preserve"> </w:t>
      </w:r>
      <w:r w:rsidRPr="0015570B">
        <w:rPr>
          <w:noProof/>
          <w:lang w:val="en-US"/>
        </w:rPr>
        <w:t xml:space="preserve">M. (2005). Health-related quality of life measurement in pediatric clinical practice: An appraisal and precept for future research and application. </w:t>
      </w:r>
      <w:r w:rsidRPr="006C5A7D">
        <w:rPr>
          <w:i/>
          <w:noProof/>
          <w:lang w:val="en-US"/>
        </w:rPr>
        <w:t>Health and Quality of Life Outcomes, 3</w:t>
      </w:r>
      <w:r w:rsidRPr="006C5A7D">
        <w:rPr>
          <w:noProof/>
          <w:lang w:val="en-US"/>
        </w:rPr>
        <w:t>(1), 34-43. doi:10.1186/1477-7525-3-34</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Varni, J. W., Limbers, C. A., &amp; Burwinkle, T. M. (2007). Impaired health-related quality of life in children and adolescents with chronic conditions: A comparative analysis of 10 disease clusters and 33 disease categories/severities utilizing the PedsQL 4.0 Generic Core Scales. </w:t>
      </w:r>
      <w:r w:rsidRPr="008B7E48">
        <w:rPr>
          <w:i/>
          <w:iCs/>
          <w:noProof/>
          <w:lang w:val="en-US"/>
        </w:rPr>
        <w:t>Health and Quality of Life Outcomes</w:t>
      </w:r>
      <w:r w:rsidRPr="008B7E48">
        <w:rPr>
          <w:noProof/>
          <w:lang w:val="en-US"/>
        </w:rPr>
        <w:t xml:space="preserve">, </w:t>
      </w:r>
      <w:r w:rsidRPr="008B7E48">
        <w:rPr>
          <w:i/>
          <w:iCs/>
          <w:noProof/>
          <w:lang w:val="en-US"/>
        </w:rPr>
        <w:t>5</w:t>
      </w:r>
      <w:r w:rsidRPr="008B7E48">
        <w:rPr>
          <w:noProof/>
          <w:lang w:val="en-US"/>
        </w:rPr>
        <w:t>(1), 43-58. doi:10.1186/1477-7525-5-43</w:t>
      </w:r>
    </w:p>
    <w:p w:rsidR="00621100" w:rsidRPr="008B7E48" w:rsidRDefault="00621100" w:rsidP="00621100">
      <w:pPr>
        <w:pStyle w:val="NormalWeb"/>
        <w:spacing w:line="480" w:lineRule="auto"/>
        <w:ind w:left="567" w:hanging="567"/>
        <w:contextualSpacing/>
        <w:rPr>
          <w:noProof/>
          <w:lang w:val="en-US"/>
        </w:rPr>
      </w:pPr>
      <w:r w:rsidRPr="008B7E48">
        <w:rPr>
          <w:noProof/>
          <w:lang w:val="en-US"/>
        </w:rPr>
        <w:t xml:space="preserve">Woodgate, R. L., &amp; Degner, L. F. (2002). “Nothing is carved in stone!”: Uncertainty in children with cancer and their families. </w:t>
      </w:r>
      <w:r w:rsidRPr="008B7E48">
        <w:rPr>
          <w:i/>
          <w:iCs/>
          <w:noProof/>
          <w:lang w:val="en-US"/>
        </w:rPr>
        <w:t>European Journal of Oncology Nursing</w:t>
      </w:r>
      <w:r w:rsidRPr="008B7E48">
        <w:rPr>
          <w:noProof/>
          <w:lang w:val="en-US"/>
        </w:rPr>
        <w:t xml:space="preserve">, </w:t>
      </w:r>
      <w:r w:rsidRPr="008B7E48">
        <w:rPr>
          <w:i/>
          <w:iCs/>
          <w:noProof/>
          <w:lang w:val="en-US"/>
        </w:rPr>
        <w:t>6</w:t>
      </w:r>
      <w:r w:rsidRPr="008B7E48">
        <w:rPr>
          <w:noProof/>
          <w:lang w:val="en-US"/>
        </w:rPr>
        <w:t>(4), 191–202. doi:10.1054/ejon.2002.0220</w:t>
      </w:r>
    </w:p>
    <w:p w:rsidR="00621100" w:rsidRPr="008B7E48" w:rsidRDefault="00621100" w:rsidP="00621100">
      <w:pPr>
        <w:pStyle w:val="NormalWeb"/>
        <w:spacing w:line="480" w:lineRule="auto"/>
        <w:ind w:left="567" w:hanging="567"/>
        <w:contextualSpacing/>
        <w:rPr>
          <w:lang w:val="en-US"/>
        </w:rPr>
      </w:pPr>
      <w:r w:rsidRPr="008B7E48">
        <w:rPr>
          <w:lang w:val="en-US"/>
        </w:rPr>
        <w:t xml:space="preserve">Wu, E., Robison, L. L., Jenney, M. E., Rockwood, T. H., Feusner, J., Friedman, D., … Bhatia, S. (2007). Assessment of health-related quality of life of adolescent cancer patients using the Minneapolis-Manchester quality of life adolescent </w:t>
      </w:r>
      <w:r w:rsidRPr="008B7E48">
        <w:rPr>
          <w:lang w:val="en-US"/>
        </w:rPr>
        <w:lastRenderedPageBreak/>
        <w:t>questionnaire</w:t>
      </w:r>
      <w:r w:rsidRPr="008B7E48">
        <w:rPr>
          <w:b/>
          <w:bCs/>
          <w:lang w:val="en-US"/>
        </w:rPr>
        <w:t xml:space="preserve">. </w:t>
      </w:r>
      <w:r w:rsidRPr="008B7E48">
        <w:rPr>
          <w:i/>
          <w:lang w:val="en-US"/>
        </w:rPr>
        <w:t>Pediatric Blood and Cancer</w:t>
      </w:r>
      <w:r w:rsidRPr="008B7E48">
        <w:rPr>
          <w:lang w:val="en-US"/>
        </w:rPr>
        <w:t xml:space="preserve">, </w:t>
      </w:r>
      <w:r w:rsidRPr="008B7E48">
        <w:rPr>
          <w:i/>
          <w:lang w:val="en-US"/>
        </w:rPr>
        <w:t>48</w:t>
      </w:r>
      <w:r w:rsidRPr="008B7E48">
        <w:rPr>
          <w:lang w:val="en-US"/>
        </w:rPr>
        <w:t>(7), 678-686. doi:10.1002/pbc.20874</w:t>
      </w:r>
    </w:p>
    <w:p w:rsidR="00621100" w:rsidRPr="008B7E48" w:rsidRDefault="00621100" w:rsidP="00621100">
      <w:pPr>
        <w:pStyle w:val="NormalWeb"/>
        <w:spacing w:line="480" w:lineRule="auto"/>
        <w:ind w:left="567" w:hanging="567"/>
        <w:contextualSpacing/>
        <w:rPr>
          <w:iCs/>
          <w:lang w:val="en-US"/>
        </w:rPr>
      </w:pPr>
      <w:r w:rsidRPr="008B7E48">
        <w:rPr>
          <w:noProof/>
          <w:lang w:val="en-US"/>
        </w:rPr>
        <w:t>Wu, L.-M., Sheen, J.-M., Shu, H</w:t>
      </w:r>
      <w:r w:rsidR="00DF660B">
        <w:rPr>
          <w:noProof/>
          <w:lang w:val="en-US"/>
        </w:rPr>
        <w:t xml:space="preserve">.-L., Chang, S.-C., &amp; Hsiao, C. </w:t>
      </w:r>
      <w:r w:rsidRPr="008B7E48">
        <w:rPr>
          <w:noProof/>
          <w:lang w:val="en-US"/>
        </w:rPr>
        <w:t xml:space="preserve">C. (2013). Predictors of anxiety and resilience in adolescents undergoing cancer treatment. </w:t>
      </w:r>
      <w:r w:rsidRPr="008B7E48">
        <w:rPr>
          <w:i/>
          <w:iCs/>
          <w:noProof/>
          <w:lang w:val="en-US"/>
        </w:rPr>
        <w:t>Journal of Advanced Nursing</w:t>
      </w:r>
      <w:r w:rsidRPr="008B7E48">
        <w:rPr>
          <w:noProof/>
          <w:lang w:val="en-US"/>
        </w:rPr>
        <w:t xml:space="preserve">, </w:t>
      </w:r>
      <w:r w:rsidRPr="008B7E48">
        <w:rPr>
          <w:i/>
          <w:iCs/>
          <w:noProof/>
          <w:lang w:val="en-US"/>
        </w:rPr>
        <w:t>69</w:t>
      </w:r>
      <w:r w:rsidRPr="008B7E48">
        <w:rPr>
          <w:noProof/>
          <w:lang w:val="en-US"/>
        </w:rPr>
        <w:t>(1), 158–166. doi:10.1111/j.1365-2648.2012.06003.x</w:t>
      </w:r>
    </w:p>
    <w:p w:rsidR="00F81BC7" w:rsidRDefault="00621100" w:rsidP="00F81BC7">
      <w:pPr>
        <w:pStyle w:val="NormalWeb"/>
        <w:spacing w:line="480" w:lineRule="auto"/>
        <w:ind w:left="567" w:hanging="567"/>
        <w:contextualSpacing/>
        <w:rPr>
          <w:lang w:val="en-US"/>
        </w:rPr>
      </w:pPr>
      <w:r w:rsidRPr="008B7E48">
        <w:rPr>
          <w:noProof/>
          <w:lang w:val="en-US"/>
        </w:rPr>
        <w:t xml:space="preserve">Zebrack, B. J., &amp; Zeltzer, L. K. (2003). Quality of life issues and cancer survivorship. </w:t>
      </w:r>
      <w:r w:rsidRPr="00082793">
        <w:rPr>
          <w:i/>
          <w:iCs/>
          <w:noProof/>
          <w:lang w:val="en-US"/>
        </w:rPr>
        <w:t>Current Problems in Cancer</w:t>
      </w:r>
      <w:r w:rsidRPr="00082793">
        <w:rPr>
          <w:noProof/>
          <w:lang w:val="en-US"/>
        </w:rPr>
        <w:t xml:space="preserve">, </w:t>
      </w:r>
      <w:r w:rsidRPr="00082793">
        <w:rPr>
          <w:i/>
          <w:iCs/>
          <w:noProof/>
          <w:lang w:val="en-US"/>
        </w:rPr>
        <w:t>27</w:t>
      </w:r>
      <w:r w:rsidRPr="00082793">
        <w:rPr>
          <w:noProof/>
          <w:lang w:val="en-US"/>
        </w:rPr>
        <w:t>(4), 198–211. doi:10.1016/S0147-0272(03)00027-8</w:t>
      </w:r>
      <w:r w:rsidR="008B4B3B" w:rsidRPr="008B7E48">
        <w:rPr>
          <w:lang w:val="en-US"/>
        </w:rPr>
        <w:fldChar w:fldCharType="end"/>
      </w:r>
    </w:p>
    <w:p w:rsidR="00F81BC7" w:rsidRDefault="00F81BC7" w:rsidP="00F81BC7">
      <w:pPr>
        <w:pStyle w:val="NormalWeb"/>
        <w:spacing w:line="480" w:lineRule="auto"/>
        <w:contextualSpacing/>
        <w:rPr>
          <w:lang w:val="en-US"/>
        </w:rPr>
        <w:sectPr w:rsidR="00F81BC7" w:rsidSect="003F5A17">
          <w:headerReference w:type="default" r:id="rId9"/>
          <w:pgSz w:w="11906" w:h="16838"/>
          <w:pgMar w:top="1417" w:right="1701" w:bottom="1417" w:left="1701" w:header="708" w:footer="708" w:gutter="0"/>
          <w:lnNumType w:countBy="1" w:restart="continuous"/>
          <w:cols w:space="708"/>
          <w:docGrid w:linePitch="360"/>
        </w:sectPr>
      </w:pPr>
    </w:p>
    <w:p w:rsidR="00F81BC7" w:rsidRDefault="00F81BC7" w:rsidP="00F81BC7">
      <w:pPr>
        <w:widowControl/>
        <w:spacing w:line="276" w:lineRule="auto"/>
        <w:ind w:firstLine="0"/>
        <w:jc w:val="left"/>
        <w:rPr>
          <w:b/>
          <w:sz w:val="24"/>
          <w:lang w:val="en-US"/>
        </w:rPr>
      </w:pPr>
      <w:r>
        <w:rPr>
          <w:b/>
          <w:sz w:val="24"/>
          <w:lang w:val="en-US"/>
        </w:rPr>
        <w:lastRenderedPageBreak/>
        <w:t>Table 1</w:t>
      </w:r>
    </w:p>
    <w:p w:rsidR="00F81BC7" w:rsidRDefault="00F81BC7" w:rsidP="00F81BC7">
      <w:pPr>
        <w:widowControl/>
        <w:spacing w:line="276" w:lineRule="auto"/>
        <w:ind w:firstLine="0"/>
        <w:jc w:val="left"/>
        <w:rPr>
          <w:sz w:val="24"/>
          <w:lang w:val="en-US"/>
        </w:rPr>
      </w:pPr>
      <w:r>
        <w:rPr>
          <w:sz w:val="24"/>
          <w:lang w:val="en-US"/>
        </w:rPr>
        <w:t>Socio-demographic and clinical characteristics of the sample</w:t>
      </w:r>
    </w:p>
    <w:p w:rsidR="00F81BC7" w:rsidRDefault="00F81BC7" w:rsidP="00F81BC7">
      <w:pPr>
        <w:widowControl/>
        <w:spacing w:line="276" w:lineRule="auto"/>
        <w:ind w:firstLine="0"/>
        <w:jc w:val="left"/>
        <w:rPr>
          <w:sz w:val="20"/>
          <w:szCs w:val="20"/>
          <w:lang w:val="en-US"/>
        </w:rPr>
      </w:pPr>
    </w:p>
    <w:tbl>
      <w:tblPr>
        <w:tblStyle w:val="Tabelacomgrelh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127"/>
        <w:gridCol w:w="2126"/>
        <w:gridCol w:w="1984"/>
      </w:tblGrid>
      <w:tr w:rsidR="00F81BC7" w:rsidTr="00F81BC7">
        <w:tc>
          <w:tcPr>
            <w:tcW w:w="2376" w:type="dxa"/>
            <w:tcBorders>
              <w:top w:val="single" w:sz="4" w:space="0" w:color="auto"/>
              <w:left w:val="nil"/>
              <w:bottom w:val="single" w:sz="4" w:space="0" w:color="auto"/>
              <w:right w:val="nil"/>
            </w:tcBorders>
          </w:tcPr>
          <w:p w:rsidR="00F81BC7" w:rsidRDefault="00F81BC7">
            <w:pPr>
              <w:widowControl/>
              <w:spacing w:line="276" w:lineRule="auto"/>
              <w:ind w:firstLine="0"/>
              <w:jc w:val="left"/>
              <w:rPr>
                <w:szCs w:val="20"/>
                <w:lang w:val="en-US"/>
              </w:rPr>
            </w:pPr>
          </w:p>
        </w:tc>
        <w:tc>
          <w:tcPr>
            <w:tcW w:w="2127" w:type="dxa"/>
            <w:tcBorders>
              <w:top w:val="single" w:sz="4" w:space="0" w:color="auto"/>
              <w:left w:val="nil"/>
              <w:bottom w:val="single" w:sz="4" w:space="0" w:color="auto"/>
              <w:right w:val="nil"/>
            </w:tcBorders>
            <w:hideMark/>
          </w:tcPr>
          <w:p w:rsidR="00F81BC7" w:rsidRDefault="00F81BC7">
            <w:pPr>
              <w:widowControl/>
              <w:spacing w:line="276" w:lineRule="auto"/>
              <w:ind w:firstLine="0"/>
              <w:jc w:val="left"/>
              <w:rPr>
                <w:szCs w:val="20"/>
                <w:lang w:val="en-US"/>
              </w:rPr>
            </w:pPr>
            <w:r>
              <w:rPr>
                <w:szCs w:val="20"/>
                <w:lang w:val="en-US"/>
              </w:rPr>
              <w:t xml:space="preserve">On-Treatment </w:t>
            </w:r>
          </w:p>
          <w:p w:rsidR="00F81BC7" w:rsidRDefault="00F81BC7">
            <w:pPr>
              <w:widowControl/>
              <w:spacing w:line="276" w:lineRule="auto"/>
              <w:ind w:firstLine="0"/>
              <w:jc w:val="left"/>
              <w:rPr>
                <w:szCs w:val="20"/>
                <w:lang w:val="en-US"/>
              </w:rPr>
            </w:pPr>
            <w:r>
              <w:rPr>
                <w:szCs w:val="20"/>
                <w:lang w:val="en-US"/>
              </w:rPr>
              <w:t>(</w:t>
            </w:r>
            <w:r>
              <w:rPr>
                <w:i/>
                <w:szCs w:val="20"/>
                <w:lang w:val="en-US"/>
              </w:rPr>
              <w:t>n</w:t>
            </w:r>
            <w:r>
              <w:rPr>
                <w:szCs w:val="20"/>
                <w:lang w:val="en-US"/>
              </w:rPr>
              <w:t xml:space="preserve"> = 97)</w:t>
            </w:r>
          </w:p>
        </w:tc>
        <w:tc>
          <w:tcPr>
            <w:tcW w:w="2126" w:type="dxa"/>
            <w:tcBorders>
              <w:top w:val="single" w:sz="4" w:space="0" w:color="auto"/>
              <w:left w:val="nil"/>
              <w:bottom w:val="single" w:sz="4" w:space="0" w:color="auto"/>
              <w:right w:val="nil"/>
            </w:tcBorders>
            <w:hideMark/>
          </w:tcPr>
          <w:p w:rsidR="00F81BC7" w:rsidRDefault="00F81BC7">
            <w:pPr>
              <w:widowControl/>
              <w:spacing w:line="276" w:lineRule="auto"/>
              <w:ind w:firstLine="0"/>
              <w:jc w:val="left"/>
              <w:rPr>
                <w:szCs w:val="20"/>
                <w:lang w:val="en-US"/>
              </w:rPr>
            </w:pPr>
            <w:r>
              <w:rPr>
                <w:szCs w:val="20"/>
                <w:lang w:val="en-US"/>
              </w:rPr>
              <w:t xml:space="preserve">Off-Treatment </w:t>
            </w:r>
          </w:p>
          <w:p w:rsidR="00F81BC7" w:rsidRDefault="00F81BC7">
            <w:pPr>
              <w:widowControl/>
              <w:spacing w:line="276" w:lineRule="auto"/>
              <w:ind w:firstLine="0"/>
              <w:jc w:val="left"/>
              <w:rPr>
                <w:szCs w:val="20"/>
                <w:lang w:val="en-US"/>
              </w:rPr>
            </w:pPr>
            <w:r>
              <w:rPr>
                <w:szCs w:val="20"/>
                <w:lang w:val="en-US"/>
              </w:rPr>
              <w:t>(</w:t>
            </w:r>
            <w:r>
              <w:rPr>
                <w:i/>
                <w:szCs w:val="20"/>
                <w:lang w:val="en-US"/>
              </w:rPr>
              <w:t>n</w:t>
            </w:r>
            <w:r>
              <w:rPr>
                <w:szCs w:val="20"/>
                <w:lang w:val="en-US"/>
              </w:rPr>
              <w:t>= 114)</w:t>
            </w:r>
          </w:p>
        </w:tc>
        <w:tc>
          <w:tcPr>
            <w:tcW w:w="1984" w:type="dxa"/>
            <w:tcBorders>
              <w:top w:val="single" w:sz="4" w:space="0" w:color="auto"/>
              <w:left w:val="nil"/>
              <w:bottom w:val="single" w:sz="4" w:space="0" w:color="auto"/>
              <w:right w:val="nil"/>
            </w:tcBorders>
            <w:hideMark/>
          </w:tcPr>
          <w:p w:rsidR="00F81BC7" w:rsidRDefault="00F81BC7">
            <w:pPr>
              <w:widowControl/>
              <w:spacing w:line="276" w:lineRule="auto"/>
              <w:ind w:firstLine="0"/>
              <w:jc w:val="left"/>
              <w:rPr>
                <w:szCs w:val="20"/>
                <w:vertAlign w:val="superscript"/>
                <w:lang w:val="en-US"/>
              </w:rPr>
            </w:pPr>
            <w:r>
              <w:rPr>
                <w:szCs w:val="20"/>
                <w:lang w:val="en-US"/>
              </w:rPr>
              <w:t xml:space="preserve">Differences between </w:t>
            </w:r>
            <w:proofErr w:type="spellStart"/>
            <w:r>
              <w:rPr>
                <w:szCs w:val="20"/>
                <w:lang w:val="en-US"/>
              </w:rPr>
              <w:t>groups</w:t>
            </w:r>
            <w:r>
              <w:rPr>
                <w:szCs w:val="20"/>
                <w:vertAlign w:val="superscript"/>
                <w:lang w:val="en-US"/>
              </w:rPr>
              <w:t>c</w:t>
            </w:r>
            <w:proofErr w:type="spellEnd"/>
          </w:p>
        </w:tc>
      </w:tr>
      <w:tr w:rsidR="00F81BC7" w:rsidTr="00F81BC7">
        <w:tc>
          <w:tcPr>
            <w:tcW w:w="2376" w:type="dxa"/>
            <w:tcBorders>
              <w:top w:val="single" w:sz="4" w:space="0" w:color="auto"/>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Age (</w:t>
            </w:r>
            <w:r>
              <w:rPr>
                <w:i/>
                <w:szCs w:val="20"/>
                <w:lang w:val="en-US"/>
              </w:rPr>
              <w:t>M</w:t>
            </w:r>
            <w:r>
              <w:rPr>
                <w:szCs w:val="20"/>
                <w:lang w:val="en-US"/>
              </w:rPr>
              <w:t>/</w:t>
            </w:r>
            <w:r>
              <w:rPr>
                <w:i/>
                <w:szCs w:val="20"/>
                <w:lang w:val="en-US"/>
              </w:rPr>
              <w:t>SD</w:t>
            </w:r>
            <w:r>
              <w:rPr>
                <w:szCs w:val="20"/>
                <w:lang w:val="en-US"/>
              </w:rPr>
              <w:t>)</w:t>
            </w:r>
          </w:p>
        </w:tc>
        <w:tc>
          <w:tcPr>
            <w:tcW w:w="2127" w:type="dxa"/>
            <w:tcBorders>
              <w:top w:val="single" w:sz="4" w:space="0" w:color="auto"/>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12.96 (3.51)</w:t>
            </w:r>
          </w:p>
        </w:tc>
        <w:tc>
          <w:tcPr>
            <w:tcW w:w="2126" w:type="dxa"/>
            <w:tcBorders>
              <w:top w:val="single" w:sz="4" w:space="0" w:color="auto"/>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13.57 (3.59)</w:t>
            </w:r>
          </w:p>
        </w:tc>
        <w:tc>
          <w:tcPr>
            <w:tcW w:w="1984" w:type="dxa"/>
            <w:tcBorders>
              <w:top w:val="single" w:sz="4" w:space="0" w:color="auto"/>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 xml:space="preserve">t </w:t>
            </w:r>
            <w:r>
              <w:rPr>
                <w:szCs w:val="20"/>
                <w:vertAlign w:val="subscript"/>
                <w:lang w:val="en-US"/>
              </w:rPr>
              <w:t>(209)</w:t>
            </w:r>
            <w:r>
              <w:rPr>
                <w:szCs w:val="20"/>
                <w:lang w:val="en-US"/>
              </w:rPr>
              <w:t xml:space="preserve"> = 1.24; </w:t>
            </w:r>
            <w:r>
              <w:rPr>
                <w:i/>
                <w:szCs w:val="20"/>
                <w:lang w:val="en-US"/>
              </w:rPr>
              <w:t xml:space="preserve">p </w:t>
            </w:r>
            <w:r>
              <w:rPr>
                <w:szCs w:val="20"/>
                <w:lang w:val="en-US"/>
              </w:rPr>
              <w:t>&gt; .05</w:t>
            </w:r>
          </w:p>
        </w:tc>
      </w:tr>
      <w:tr w:rsidR="00F81BC7" w:rsidTr="00F81BC7">
        <w:tc>
          <w:tcPr>
            <w:tcW w:w="2376"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2127"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2126"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Age group (n/%)</w:t>
            </w:r>
          </w:p>
        </w:tc>
        <w:tc>
          <w:tcPr>
            <w:tcW w:w="2127"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2126"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Children (8-12)</w:t>
            </w:r>
          </w:p>
        </w:tc>
        <w:tc>
          <w:tcPr>
            <w:tcW w:w="2127"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44 (45.4)</w:t>
            </w:r>
          </w:p>
        </w:tc>
        <w:tc>
          <w:tcPr>
            <w:tcW w:w="212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44 (38.6)</w:t>
            </w:r>
          </w:p>
        </w:tc>
        <w:tc>
          <w:tcPr>
            <w:tcW w:w="1984"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χ</w:t>
            </w:r>
            <w:r>
              <w:rPr>
                <w:szCs w:val="20"/>
                <w:vertAlign w:val="superscript"/>
                <w:lang w:val="en-US"/>
              </w:rPr>
              <w:t>2</w:t>
            </w:r>
            <w:r>
              <w:rPr>
                <w:szCs w:val="20"/>
                <w:lang w:val="en-US"/>
              </w:rPr>
              <w:t xml:space="preserve"> </w:t>
            </w:r>
            <w:r>
              <w:rPr>
                <w:szCs w:val="20"/>
                <w:vertAlign w:val="subscript"/>
                <w:lang w:val="en-US"/>
              </w:rPr>
              <w:t>(1)</w:t>
            </w:r>
            <w:r>
              <w:rPr>
                <w:szCs w:val="20"/>
                <w:lang w:val="en-US"/>
              </w:rPr>
              <w:t xml:space="preserve"> = .73; </w:t>
            </w:r>
            <w:r>
              <w:rPr>
                <w:i/>
                <w:szCs w:val="20"/>
                <w:lang w:val="en-US"/>
              </w:rPr>
              <w:t xml:space="preserve">p </w:t>
            </w:r>
            <w:r>
              <w:rPr>
                <w:szCs w:val="20"/>
                <w:lang w:val="en-US"/>
              </w:rPr>
              <w:t>&gt; .05</w:t>
            </w: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Adolescents (13-18)</w:t>
            </w:r>
          </w:p>
        </w:tc>
        <w:tc>
          <w:tcPr>
            <w:tcW w:w="2127"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53 (54.6)</w:t>
            </w:r>
          </w:p>
        </w:tc>
        <w:tc>
          <w:tcPr>
            <w:tcW w:w="212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70 (61.4)</w:t>
            </w: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2127"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2126"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Gender (n/%)</w:t>
            </w:r>
          </w:p>
        </w:tc>
        <w:tc>
          <w:tcPr>
            <w:tcW w:w="2127"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2126"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Male</w:t>
            </w:r>
          </w:p>
        </w:tc>
        <w:tc>
          <w:tcPr>
            <w:tcW w:w="2127"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58 (59.8)</w:t>
            </w:r>
          </w:p>
        </w:tc>
        <w:tc>
          <w:tcPr>
            <w:tcW w:w="212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54 (47.4)</w:t>
            </w:r>
          </w:p>
        </w:tc>
        <w:tc>
          <w:tcPr>
            <w:tcW w:w="1984"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χ</w:t>
            </w:r>
            <w:r>
              <w:rPr>
                <w:szCs w:val="20"/>
                <w:vertAlign w:val="superscript"/>
                <w:lang w:val="en-US"/>
              </w:rPr>
              <w:t>2</w:t>
            </w:r>
            <w:r>
              <w:rPr>
                <w:szCs w:val="20"/>
                <w:lang w:val="en-US"/>
              </w:rPr>
              <w:t xml:space="preserve"> </w:t>
            </w:r>
            <w:r>
              <w:rPr>
                <w:szCs w:val="20"/>
                <w:vertAlign w:val="subscript"/>
                <w:lang w:val="en-US"/>
              </w:rPr>
              <w:t>(1)</w:t>
            </w:r>
            <w:r>
              <w:rPr>
                <w:szCs w:val="20"/>
                <w:lang w:val="en-US"/>
              </w:rPr>
              <w:t xml:space="preserve"> = 2.77; </w:t>
            </w:r>
            <w:r>
              <w:rPr>
                <w:i/>
                <w:szCs w:val="20"/>
                <w:lang w:val="en-US"/>
              </w:rPr>
              <w:t xml:space="preserve">p </w:t>
            </w:r>
            <w:r>
              <w:rPr>
                <w:szCs w:val="20"/>
                <w:lang w:val="en-US"/>
              </w:rPr>
              <w:t>&gt; .05</w:t>
            </w: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Female</w:t>
            </w:r>
          </w:p>
        </w:tc>
        <w:tc>
          <w:tcPr>
            <w:tcW w:w="2127"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39 (40.2)</w:t>
            </w:r>
          </w:p>
        </w:tc>
        <w:tc>
          <w:tcPr>
            <w:tcW w:w="212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60 (52.6)</w:t>
            </w: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2127"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2126"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School year attended (</w:t>
            </w:r>
            <w:r>
              <w:rPr>
                <w:i/>
                <w:szCs w:val="20"/>
                <w:lang w:val="en-US"/>
              </w:rPr>
              <w:t>M</w:t>
            </w:r>
            <w:r>
              <w:rPr>
                <w:szCs w:val="20"/>
                <w:lang w:val="en-US"/>
              </w:rPr>
              <w:t>/</w:t>
            </w:r>
            <w:r>
              <w:rPr>
                <w:i/>
                <w:szCs w:val="20"/>
                <w:lang w:val="en-US"/>
              </w:rPr>
              <w:t>SD</w:t>
            </w:r>
            <w:r>
              <w:rPr>
                <w:szCs w:val="20"/>
                <w:lang w:val="en-US"/>
              </w:rPr>
              <w:t>)</w:t>
            </w:r>
          </w:p>
        </w:tc>
        <w:tc>
          <w:tcPr>
            <w:tcW w:w="2127"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7.05 (3.38)</w:t>
            </w:r>
          </w:p>
        </w:tc>
        <w:tc>
          <w:tcPr>
            <w:tcW w:w="212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7.89 (3.38)</w:t>
            </w:r>
          </w:p>
        </w:tc>
        <w:tc>
          <w:tcPr>
            <w:tcW w:w="1984"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 xml:space="preserve">t </w:t>
            </w:r>
            <w:r>
              <w:rPr>
                <w:szCs w:val="20"/>
                <w:vertAlign w:val="subscript"/>
                <w:lang w:val="en-US"/>
              </w:rPr>
              <w:t>(209)</w:t>
            </w:r>
            <w:r>
              <w:rPr>
                <w:szCs w:val="20"/>
                <w:lang w:val="en-US"/>
              </w:rPr>
              <w:t xml:space="preserve"> = 1.79; </w:t>
            </w:r>
            <w:r>
              <w:rPr>
                <w:i/>
                <w:szCs w:val="20"/>
                <w:lang w:val="en-US"/>
              </w:rPr>
              <w:t xml:space="preserve">p </w:t>
            </w:r>
            <w:r>
              <w:rPr>
                <w:szCs w:val="20"/>
                <w:lang w:val="en-US"/>
              </w:rPr>
              <w:t>&gt; .05</w:t>
            </w:r>
          </w:p>
        </w:tc>
      </w:tr>
      <w:tr w:rsidR="00F81BC7" w:rsidTr="00F81BC7">
        <w:tc>
          <w:tcPr>
            <w:tcW w:w="2376"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2127"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2126"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SES</w:t>
            </w:r>
            <w:r>
              <w:rPr>
                <w:szCs w:val="20"/>
                <w:vertAlign w:val="superscript"/>
                <w:lang w:val="en-US"/>
              </w:rPr>
              <w:t xml:space="preserve"> </w:t>
            </w:r>
            <w:r>
              <w:rPr>
                <w:szCs w:val="20"/>
                <w:lang w:val="en-US"/>
              </w:rPr>
              <w:t>(n/%)</w:t>
            </w:r>
          </w:p>
        </w:tc>
        <w:tc>
          <w:tcPr>
            <w:tcW w:w="2127"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2126"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Low</w:t>
            </w:r>
          </w:p>
        </w:tc>
        <w:tc>
          <w:tcPr>
            <w:tcW w:w="2127"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55 (56.7)</w:t>
            </w:r>
          </w:p>
        </w:tc>
        <w:tc>
          <w:tcPr>
            <w:tcW w:w="212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63 (55.3)</w:t>
            </w:r>
          </w:p>
        </w:tc>
        <w:tc>
          <w:tcPr>
            <w:tcW w:w="1984"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χ</w:t>
            </w:r>
            <w:r>
              <w:rPr>
                <w:szCs w:val="20"/>
                <w:vertAlign w:val="superscript"/>
                <w:lang w:val="en-US"/>
              </w:rPr>
              <w:t>2</w:t>
            </w:r>
            <w:r>
              <w:rPr>
                <w:szCs w:val="20"/>
                <w:lang w:val="en-US"/>
              </w:rPr>
              <w:t xml:space="preserve"> </w:t>
            </w:r>
            <w:r>
              <w:rPr>
                <w:szCs w:val="20"/>
                <w:vertAlign w:val="subscript"/>
                <w:lang w:val="en-US"/>
              </w:rPr>
              <w:t>(2)</w:t>
            </w:r>
            <w:r>
              <w:rPr>
                <w:szCs w:val="20"/>
                <w:lang w:val="en-US"/>
              </w:rPr>
              <w:t xml:space="preserve"> = 1.61; </w:t>
            </w:r>
            <w:r>
              <w:rPr>
                <w:i/>
                <w:szCs w:val="20"/>
                <w:lang w:val="en-US"/>
              </w:rPr>
              <w:t xml:space="preserve">p </w:t>
            </w:r>
            <w:r>
              <w:rPr>
                <w:szCs w:val="20"/>
                <w:lang w:val="en-US"/>
              </w:rPr>
              <w:t>&gt; .05</w:t>
            </w: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Medium</w:t>
            </w:r>
          </w:p>
        </w:tc>
        <w:tc>
          <w:tcPr>
            <w:tcW w:w="2127"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30 (30.9)</w:t>
            </w:r>
          </w:p>
        </w:tc>
        <w:tc>
          <w:tcPr>
            <w:tcW w:w="212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42 (36.8)</w:t>
            </w: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High</w:t>
            </w:r>
          </w:p>
        </w:tc>
        <w:tc>
          <w:tcPr>
            <w:tcW w:w="2127"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12 (12.4)</w:t>
            </w:r>
          </w:p>
        </w:tc>
        <w:tc>
          <w:tcPr>
            <w:tcW w:w="212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9 (7.9)</w:t>
            </w: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2127"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2126"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Family structure (n/%)</w:t>
            </w:r>
          </w:p>
        </w:tc>
        <w:tc>
          <w:tcPr>
            <w:tcW w:w="2127"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2126"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Intact</w:t>
            </w:r>
          </w:p>
        </w:tc>
        <w:tc>
          <w:tcPr>
            <w:tcW w:w="2127"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74 (76.3)</w:t>
            </w:r>
          </w:p>
        </w:tc>
        <w:tc>
          <w:tcPr>
            <w:tcW w:w="212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90 (78.9)</w:t>
            </w:r>
          </w:p>
        </w:tc>
        <w:tc>
          <w:tcPr>
            <w:tcW w:w="1984"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χ</w:t>
            </w:r>
            <w:r>
              <w:rPr>
                <w:szCs w:val="20"/>
                <w:vertAlign w:val="superscript"/>
                <w:lang w:val="en-US"/>
              </w:rPr>
              <w:t>2</w:t>
            </w:r>
            <w:r>
              <w:rPr>
                <w:szCs w:val="20"/>
                <w:lang w:val="en-US"/>
              </w:rPr>
              <w:t xml:space="preserve"> </w:t>
            </w:r>
            <w:r>
              <w:rPr>
                <w:szCs w:val="20"/>
                <w:vertAlign w:val="subscript"/>
                <w:lang w:val="en-US"/>
              </w:rPr>
              <w:t>(3)</w:t>
            </w:r>
            <w:r>
              <w:rPr>
                <w:szCs w:val="20"/>
                <w:lang w:val="en-US"/>
              </w:rPr>
              <w:t xml:space="preserve"> = 2.04; </w:t>
            </w:r>
            <w:r>
              <w:rPr>
                <w:i/>
                <w:szCs w:val="20"/>
                <w:lang w:val="en-US"/>
              </w:rPr>
              <w:t xml:space="preserve">p </w:t>
            </w:r>
            <w:r>
              <w:rPr>
                <w:szCs w:val="20"/>
                <w:lang w:val="en-US"/>
              </w:rPr>
              <w:t>&gt; .05</w:t>
            </w: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Extended</w:t>
            </w:r>
          </w:p>
        </w:tc>
        <w:tc>
          <w:tcPr>
            <w:tcW w:w="2127"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11 (11.3)</w:t>
            </w:r>
          </w:p>
        </w:tc>
        <w:tc>
          <w:tcPr>
            <w:tcW w:w="212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15 (13.2)</w:t>
            </w: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Parent</w:t>
            </w:r>
          </w:p>
        </w:tc>
        <w:tc>
          <w:tcPr>
            <w:tcW w:w="2127"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11 (11.3)</w:t>
            </w:r>
          </w:p>
        </w:tc>
        <w:tc>
          <w:tcPr>
            <w:tcW w:w="212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7 (6.1)</w:t>
            </w: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Step-families</w:t>
            </w:r>
          </w:p>
        </w:tc>
        <w:tc>
          <w:tcPr>
            <w:tcW w:w="2127"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1 (1.0)</w:t>
            </w:r>
          </w:p>
        </w:tc>
        <w:tc>
          <w:tcPr>
            <w:tcW w:w="212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2 (1.8)</w:t>
            </w: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2127"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2126"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 xml:space="preserve">Time since </w:t>
            </w:r>
            <w:proofErr w:type="spellStart"/>
            <w:r>
              <w:rPr>
                <w:szCs w:val="20"/>
                <w:lang w:val="en-US"/>
              </w:rPr>
              <w:t>diagnosis</w:t>
            </w:r>
            <w:r>
              <w:rPr>
                <w:szCs w:val="20"/>
                <w:vertAlign w:val="superscript"/>
                <w:lang w:val="en-US"/>
              </w:rPr>
              <w:t>a</w:t>
            </w:r>
            <w:proofErr w:type="spellEnd"/>
            <w:r>
              <w:rPr>
                <w:szCs w:val="20"/>
                <w:lang w:val="en-US"/>
              </w:rPr>
              <w:t xml:space="preserve"> (</w:t>
            </w:r>
            <w:r>
              <w:rPr>
                <w:i/>
                <w:szCs w:val="20"/>
                <w:lang w:val="en-US"/>
              </w:rPr>
              <w:t>M</w:t>
            </w:r>
            <w:r>
              <w:rPr>
                <w:szCs w:val="20"/>
                <w:lang w:val="en-US"/>
              </w:rPr>
              <w:t>/</w:t>
            </w:r>
            <w:r>
              <w:rPr>
                <w:i/>
                <w:szCs w:val="20"/>
                <w:lang w:val="en-US"/>
              </w:rPr>
              <w:t>SD</w:t>
            </w:r>
            <w:r>
              <w:rPr>
                <w:szCs w:val="20"/>
                <w:lang w:val="en-US"/>
              </w:rPr>
              <w:t>)</w:t>
            </w:r>
          </w:p>
        </w:tc>
        <w:tc>
          <w:tcPr>
            <w:tcW w:w="2127"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17.36 (21.18)</w:t>
            </w:r>
          </w:p>
        </w:tc>
        <w:tc>
          <w:tcPr>
            <w:tcW w:w="212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36.77 (24.12)</w:t>
            </w:r>
          </w:p>
        </w:tc>
        <w:tc>
          <w:tcPr>
            <w:tcW w:w="1984"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 xml:space="preserve">t </w:t>
            </w:r>
            <w:r>
              <w:rPr>
                <w:szCs w:val="20"/>
                <w:vertAlign w:val="subscript"/>
                <w:lang w:val="en-US"/>
              </w:rPr>
              <w:t>(209)</w:t>
            </w:r>
            <w:r>
              <w:rPr>
                <w:szCs w:val="20"/>
                <w:lang w:val="en-US"/>
              </w:rPr>
              <w:t xml:space="preserve"> = 6.16; </w:t>
            </w:r>
            <w:r>
              <w:rPr>
                <w:i/>
                <w:szCs w:val="20"/>
                <w:lang w:val="en-US"/>
              </w:rPr>
              <w:t xml:space="preserve">p </w:t>
            </w:r>
            <w:r>
              <w:rPr>
                <w:szCs w:val="20"/>
                <w:lang w:val="en-US"/>
              </w:rPr>
              <w:t>&lt; .001</w:t>
            </w: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 xml:space="preserve">Time since the end of </w:t>
            </w:r>
            <w:proofErr w:type="spellStart"/>
            <w:r>
              <w:rPr>
                <w:szCs w:val="20"/>
                <w:lang w:val="en-US"/>
              </w:rPr>
              <w:t>treatment</w:t>
            </w:r>
            <w:r>
              <w:rPr>
                <w:szCs w:val="20"/>
                <w:vertAlign w:val="superscript"/>
                <w:lang w:val="en-US"/>
              </w:rPr>
              <w:t>b</w:t>
            </w:r>
            <w:proofErr w:type="spellEnd"/>
            <w:r>
              <w:rPr>
                <w:szCs w:val="20"/>
                <w:lang w:val="en-US"/>
              </w:rPr>
              <w:t xml:space="preserve"> (</w:t>
            </w:r>
            <w:r>
              <w:rPr>
                <w:i/>
                <w:szCs w:val="20"/>
                <w:lang w:val="en-US"/>
              </w:rPr>
              <w:t>M</w:t>
            </w:r>
            <w:r>
              <w:rPr>
                <w:szCs w:val="20"/>
                <w:lang w:val="en-US"/>
              </w:rPr>
              <w:t>/</w:t>
            </w:r>
            <w:r>
              <w:rPr>
                <w:i/>
                <w:szCs w:val="20"/>
                <w:lang w:val="en-US"/>
              </w:rPr>
              <w:t>SD</w:t>
            </w:r>
            <w:r>
              <w:rPr>
                <w:szCs w:val="20"/>
                <w:lang w:val="en-US"/>
              </w:rPr>
              <w:t>)</w:t>
            </w:r>
          </w:p>
        </w:tc>
        <w:tc>
          <w:tcPr>
            <w:tcW w:w="2127" w:type="dxa"/>
            <w:tcBorders>
              <w:top w:val="nil"/>
              <w:left w:val="nil"/>
              <w:bottom w:val="nil"/>
              <w:right w:val="nil"/>
            </w:tcBorders>
          </w:tcPr>
          <w:p w:rsidR="00F81BC7" w:rsidRDefault="00F81BC7">
            <w:pPr>
              <w:widowControl/>
              <w:spacing w:line="276" w:lineRule="auto"/>
              <w:ind w:firstLine="0"/>
              <w:jc w:val="left"/>
              <w:rPr>
                <w:szCs w:val="20"/>
                <w:lang w:val="en-US"/>
              </w:rPr>
            </w:pPr>
          </w:p>
          <w:p w:rsidR="00F81BC7" w:rsidRDefault="00F81BC7">
            <w:pPr>
              <w:widowControl/>
              <w:spacing w:line="276" w:lineRule="auto"/>
              <w:ind w:firstLine="0"/>
              <w:jc w:val="left"/>
              <w:rPr>
                <w:szCs w:val="20"/>
                <w:lang w:val="en-US"/>
              </w:rPr>
            </w:pPr>
            <w:proofErr w:type="spellStart"/>
            <w:r>
              <w:rPr>
                <w:szCs w:val="20"/>
                <w:lang w:val="en-US"/>
              </w:rPr>
              <w:t>NA</w:t>
            </w:r>
            <w:r>
              <w:rPr>
                <w:szCs w:val="20"/>
                <w:vertAlign w:val="superscript"/>
                <w:lang w:val="en-US"/>
              </w:rPr>
              <w:t>d</w:t>
            </w:r>
            <w:proofErr w:type="spellEnd"/>
          </w:p>
        </w:tc>
        <w:tc>
          <w:tcPr>
            <w:tcW w:w="2126" w:type="dxa"/>
            <w:tcBorders>
              <w:top w:val="nil"/>
              <w:left w:val="nil"/>
              <w:bottom w:val="nil"/>
              <w:right w:val="nil"/>
            </w:tcBorders>
          </w:tcPr>
          <w:p w:rsidR="00F81BC7" w:rsidRDefault="00F81BC7">
            <w:pPr>
              <w:widowControl/>
              <w:spacing w:line="276" w:lineRule="auto"/>
              <w:ind w:firstLine="0"/>
              <w:jc w:val="left"/>
              <w:rPr>
                <w:szCs w:val="20"/>
                <w:lang w:val="en-US"/>
              </w:rPr>
            </w:pPr>
          </w:p>
          <w:p w:rsidR="00F81BC7" w:rsidRDefault="00F81BC7">
            <w:pPr>
              <w:widowControl/>
              <w:spacing w:line="276" w:lineRule="auto"/>
              <w:ind w:firstLine="0"/>
              <w:jc w:val="left"/>
              <w:rPr>
                <w:szCs w:val="20"/>
                <w:lang w:val="en-US"/>
              </w:rPr>
            </w:pPr>
            <w:r>
              <w:rPr>
                <w:szCs w:val="20"/>
                <w:lang w:val="en-US"/>
              </w:rPr>
              <w:t>18.94 (14.45)</w:t>
            </w: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2127"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2126"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Treatment intensity (n/%)</w:t>
            </w:r>
          </w:p>
        </w:tc>
        <w:tc>
          <w:tcPr>
            <w:tcW w:w="2127"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2126" w:type="dxa"/>
            <w:tcBorders>
              <w:top w:val="nil"/>
              <w:left w:val="nil"/>
              <w:bottom w:val="nil"/>
              <w:right w:val="nil"/>
            </w:tcBorders>
          </w:tcPr>
          <w:p w:rsidR="00F81BC7" w:rsidRDefault="00F81BC7">
            <w:pPr>
              <w:widowControl/>
              <w:spacing w:line="276" w:lineRule="auto"/>
              <w:ind w:firstLine="0"/>
              <w:jc w:val="left"/>
              <w:rPr>
                <w:szCs w:val="20"/>
                <w:lang w:val="en-US"/>
              </w:rPr>
            </w:pP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I</w:t>
            </w:r>
          </w:p>
        </w:tc>
        <w:tc>
          <w:tcPr>
            <w:tcW w:w="2127"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3 (3.1)</w:t>
            </w:r>
          </w:p>
        </w:tc>
        <w:tc>
          <w:tcPr>
            <w:tcW w:w="212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4 (3.5)</w:t>
            </w:r>
          </w:p>
        </w:tc>
        <w:tc>
          <w:tcPr>
            <w:tcW w:w="1984"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χ</w:t>
            </w:r>
            <w:r>
              <w:rPr>
                <w:szCs w:val="20"/>
                <w:vertAlign w:val="superscript"/>
                <w:lang w:val="en-US"/>
              </w:rPr>
              <w:t>2</w:t>
            </w:r>
            <w:r>
              <w:rPr>
                <w:szCs w:val="20"/>
                <w:lang w:val="en-US"/>
              </w:rPr>
              <w:t xml:space="preserve"> </w:t>
            </w:r>
            <w:r>
              <w:rPr>
                <w:szCs w:val="20"/>
                <w:vertAlign w:val="subscript"/>
                <w:lang w:val="en-US"/>
              </w:rPr>
              <w:t>(3)</w:t>
            </w:r>
            <w:r>
              <w:rPr>
                <w:szCs w:val="20"/>
                <w:lang w:val="en-US"/>
              </w:rPr>
              <w:t xml:space="preserve"> = 4.91; </w:t>
            </w:r>
            <w:r>
              <w:rPr>
                <w:i/>
                <w:szCs w:val="20"/>
                <w:lang w:val="en-US"/>
              </w:rPr>
              <w:t xml:space="preserve">p </w:t>
            </w:r>
            <w:r>
              <w:rPr>
                <w:szCs w:val="20"/>
                <w:lang w:val="en-US"/>
              </w:rPr>
              <w:t>&gt; .05</w:t>
            </w: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II</w:t>
            </w:r>
          </w:p>
        </w:tc>
        <w:tc>
          <w:tcPr>
            <w:tcW w:w="2127"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30 (30.9)</w:t>
            </w:r>
          </w:p>
        </w:tc>
        <w:tc>
          <w:tcPr>
            <w:tcW w:w="212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51 (44.7)</w:t>
            </w: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III</w:t>
            </w:r>
          </w:p>
        </w:tc>
        <w:tc>
          <w:tcPr>
            <w:tcW w:w="2127"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49 (50.5)</w:t>
            </w:r>
          </w:p>
        </w:tc>
        <w:tc>
          <w:tcPr>
            <w:tcW w:w="2126" w:type="dxa"/>
            <w:tcBorders>
              <w:top w:val="nil"/>
              <w:left w:val="nil"/>
              <w:bottom w:val="nil"/>
              <w:right w:val="nil"/>
            </w:tcBorders>
            <w:hideMark/>
          </w:tcPr>
          <w:p w:rsidR="00F81BC7" w:rsidRDefault="00F81BC7">
            <w:pPr>
              <w:widowControl/>
              <w:spacing w:line="276" w:lineRule="auto"/>
              <w:ind w:firstLine="0"/>
              <w:jc w:val="left"/>
              <w:rPr>
                <w:szCs w:val="20"/>
                <w:lang w:val="en-US"/>
              </w:rPr>
            </w:pPr>
            <w:r>
              <w:rPr>
                <w:szCs w:val="20"/>
                <w:lang w:val="en-US"/>
              </w:rPr>
              <w:t>42 (36.8)</w:t>
            </w:r>
          </w:p>
        </w:tc>
        <w:tc>
          <w:tcPr>
            <w:tcW w:w="1984" w:type="dxa"/>
            <w:tcBorders>
              <w:top w:val="nil"/>
              <w:left w:val="nil"/>
              <w:bottom w:val="nil"/>
              <w:right w:val="nil"/>
            </w:tcBorders>
          </w:tcPr>
          <w:p w:rsidR="00F81BC7" w:rsidRDefault="00F81BC7">
            <w:pPr>
              <w:widowControl/>
              <w:spacing w:line="276" w:lineRule="auto"/>
              <w:ind w:firstLine="0"/>
              <w:jc w:val="left"/>
              <w:rPr>
                <w:szCs w:val="20"/>
                <w:lang w:val="en-US"/>
              </w:rPr>
            </w:pPr>
          </w:p>
        </w:tc>
      </w:tr>
      <w:tr w:rsidR="00F81BC7" w:rsidTr="00F81BC7">
        <w:tc>
          <w:tcPr>
            <w:tcW w:w="2376" w:type="dxa"/>
            <w:tcBorders>
              <w:top w:val="nil"/>
              <w:left w:val="nil"/>
              <w:bottom w:val="single" w:sz="4" w:space="0" w:color="auto"/>
              <w:right w:val="nil"/>
            </w:tcBorders>
            <w:hideMark/>
          </w:tcPr>
          <w:p w:rsidR="00F81BC7" w:rsidRDefault="00F81BC7">
            <w:pPr>
              <w:widowControl/>
              <w:spacing w:line="276" w:lineRule="auto"/>
              <w:ind w:firstLine="0"/>
              <w:jc w:val="left"/>
              <w:rPr>
                <w:szCs w:val="20"/>
                <w:lang w:val="en-US"/>
              </w:rPr>
            </w:pPr>
            <w:r>
              <w:rPr>
                <w:szCs w:val="20"/>
                <w:lang w:val="en-US"/>
              </w:rPr>
              <w:t>IV</w:t>
            </w:r>
          </w:p>
        </w:tc>
        <w:tc>
          <w:tcPr>
            <w:tcW w:w="2127" w:type="dxa"/>
            <w:tcBorders>
              <w:top w:val="nil"/>
              <w:left w:val="nil"/>
              <w:bottom w:val="single" w:sz="4" w:space="0" w:color="auto"/>
              <w:right w:val="nil"/>
            </w:tcBorders>
            <w:hideMark/>
          </w:tcPr>
          <w:p w:rsidR="00F81BC7" w:rsidRDefault="00F81BC7">
            <w:pPr>
              <w:widowControl/>
              <w:spacing w:line="276" w:lineRule="auto"/>
              <w:ind w:firstLine="0"/>
              <w:jc w:val="left"/>
              <w:rPr>
                <w:szCs w:val="20"/>
                <w:lang w:val="en-US"/>
              </w:rPr>
            </w:pPr>
            <w:r>
              <w:rPr>
                <w:szCs w:val="20"/>
                <w:lang w:val="en-US"/>
              </w:rPr>
              <w:t>15 (15.5)</w:t>
            </w:r>
          </w:p>
        </w:tc>
        <w:tc>
          <w:tcPr>
            <w:tcW w:w="2126" w:type="dxa"/>
            <w:tcBorders>
              <w:top w:val="nil"/>
              <w:left w:val="nil"/>
              <w:bottom w:val="single" w:sz="4" w:space="0" w:color="auto"/>
              <w:right w:val="nil"/>
            </w:tcBorders>
            <w:hideMark/>
          </w:tcPr>
          <w:p w:rsidR="00F81BC7" w:rsidRDefault="00F81BC7">
            <w:pPr>
              <w:widowControl/>
              <w:spacing w:line="276" w:lineRule="auto"/>
              <w:ind w:firstLine="0"/>
              <w:jc w:val="left"/>
              <w:rPr>
                <w:szCs w:val="20"/>
                <w:lang w:val="en-US"/>
              </w:rPr>
            </w:pPr>
            <w:r>
              <w:rPr>
                <w:szCs w:val="20"/>
                <w:lang w:val="en-US"/>
              </w:rPr>
              <w:t>17 (14.9)</w:t>
            </w:r>
          </w:p>
        </w:tc>
        <w:tc>
          <w:tcPr>
            <w:tcW w:w="1984" w:type="dxa"/>
            <w:tcBorders>
              <w:top w:val="nil"/>
              <w:left w:val="nil"/>
              <w:bottom w:val="single" w:sz="4" w:space="0" w:color="auto"/>
              <w:right w:val="nil"/>
            </w:tcBorders>
          </w:tcPr>
          <w:p w:rsidR="00F81BC7" w:rsidRDefault="00F81BC7">
            <w:pPr>
              <w:widowControl/>
              <w:spacing w:line="276" w:lineRule="auto"/>
              <w:ind w:firstLine="0"/>
              <w:jc w:val="left"/>
              <w:rPr>
                <w:szCs w:val="20"/>
                <w:lang w:val="en-US"/>
              </w:rPr>
            </w:pPr>
          </w:p>
        </w:tc>
      </w:tr>
    </w:tbl>
    <w:p w:rsidR="00F81BC7" w:rsidRDefault="00F81BC7" w:rsidP="00F81BC7">
      <w:pPr>
        <w:widowControl/>
        <w:spacing w:line="276" w:lineRule="auto"/>
        <w:ind w:firstLine="0"/>
        <w:rPr>
          <w:i/>
          <w:sz w:val="24"/>
          <w:lang w:val="en-US"/>
        </w:rPr>
      </w:pPr>
    </w:p>
    <w:p w:rsidR="00F81BC7" w:rsidRDefault="00F81BC7" w:rsidP="00F81BC7">
      <w:pPr>
        <w:widowControl/>
        <w:spacing w:line="276" w:lineRule="auto"/>
        <w:ind w:firstLine="0"/>
        <w:rPr>
          <w:sz w:val="24"/>
          <w:vertAlign w:val="superscript"/>
          <w:lang w:val="en-US"/>
        </w:rPr>
      </w:pPr>
      <w:proofErr w:type="gramStart"/>
      <w:r>
        <w:rPr>
          <w:i/>
          <w:sz w:val="24"/>
          <w:lang w:val="en-US"/>
        </w:rPr>
        <w:t>Notes</w:t>
      </w:r>
      <w:r>
        <w:rPr>
          <w:sz w:val="24"/>
          <w:lang w:val="en-US"/>
        </w:rPr>
        <w:t>.</w:t>
      </w:r>
      <w:proofErr w:type="gramEnd"/>
      <w:r>
        <w:rPr>
          <w:sz w:val="24"/>
          <w:vertAlign w:val="superscript"/>
          <w:lang w:val="en-US"/>
        </w:rPr>
        <w:t xml:space="preserve"> </w:t>
      </w:r>
      <w:proofErr w:type="spellStart"/>
      <w:proofErr w:type="gramStart"/>
      <w:r>
        <w:rPr>
          <w:sz w:val="24"/>
          <w:vertAlign w:val="superscript"/>
          <w:lang w:val="en-US"/>
        </w:rPr>
        <w:t>a</w:t>
      </w:r>
      <w:r>
        <w:rPr>
          <w:sz w:val="24"/>
          <w:lang w:val="en-US"/>
        </w:rPr>
        <w:t>The</w:t>
      </w:r>
      <w:proofErr w:type="spellEnd"/>
      <w:proofErr w:type="gramEnd"/>
      <w:r>
        <w:rPr>
          <w:sz w:val="24"/>
          <w:lang w:val="en-US"/>
        </w:rPr>
        <w:t xml:space="preserve"> time since diagnosis (in months) was reported by parents. </w:t>
      </w:r>
    </w:p>
    <w:p w:rsidR="00F81BC7" w:rsidRDefault="00F81BC7" w:rsidP="00F81BC7">
      <w:pPr>
        <w:widowControl/>
        <w:spacing w:line="276" w:lineRule="auto"/>
        <w:ind w:firstLine="0"/>
        <w:rPr>
          <w:sz w:val="24"/>
          <w:lang w:val="en-US"/>
        </w:rPr>
      </w:pPr>
      <w:proofErr w:type="spellStart"/>
      <w:proofErr w:type="gramStart"/>
      <w:r>
        <w:rPr>
          <w:sz w:val="24"/>
          <w:vertAlign w:val="superscript"/>
          <w:lang w:val="en-US"/>
        </w:rPr>
        <w:t>b</w:t>
      </w:r>
      <w:r>
        <w:rPr>
          <w:sz w:val="24"/>
          <w:lang w:val="en-US"/>
        </w:rPr>
        <w:t>The</w:t>
      </w:r>
      <w:proofErr w:type="spellEnd"/>
      <w:proofErr w:type="gramEnd"/>
      <w:r>
        <w:rPr>
          <w:sz w:val="24"/>
          <w:lang w:val="en-US"/>
        </w:rPr>
        <w:t xml:space="preserve"> time since the end of treatment (in months) was derived from clinical records.</w:t>
      </w:r>
    </w:p>
    <w:p w:rsidR="00F81BC7" w:rsidRDefault="00F81BC7" w:rsidP="00F81BC7">
      <w:pPr>
        <w:widowControl/>
        <w:spacing w:line="276" w:lineRule="auto"/>
        <w:ind w:firstLine="0"/>
        <w:rPr>
          <w:sz w:val="24"/>
          <w:lang w:val="en-US"/>
        </w:rPr>
      </w:pPr>
      <w:proofErr w:type="spellStart"/>
      <w:proofErr w:type="gramStart"/>
      <w:r>
        <w:rPr>
          <w:sz w:val="24"/>
          <w:vertAlign w:val="superscript"/>
          <w:lang w:val="en-US"/>
        </w:rPr>
        <w:t>c</w:t>
      </w:r>
      <w:r>
        <w:rPr>
          <w:sz w:val="24"/>
          <w:lang w:val="en-US"/>
        </w:rPr>
        <w:t>Results</w:t>
      </w:r>
      <w:proofErr w:type="spellEnd"/>
      <w:proofErr w:type="gramEnd"/>
      <w:r>
        <w:rPr>
          <w:sz w:val="24"/>
          <w:lang w:val="en-US"/>
        </w:rPr>
        <w:t xml:space="preserve"> of comparison tests between on-treatment and off-treatment sample groups.</w:t>
      </w:r>
    </w:p>
    <w:p w:rsidR="00F81BC7" w:rsidRDefault="00F81BC7" w:rsidP="00F81BC7">
      <w:pPr>
        <w:widowControl/>
        <w:spacing w:line="276" w:lineRule="auto"/>
        <w:ind w:firstLine="0"/>
        <w:rPr>
          <w:sz w:val="24"/>
          <w:lang w:val="en-US"/>
        </w:rPr>
      </w:pPr>
      <w:proofErr w:type="spellStart"/>
      <w:proofErr w:type="gramStart"/>
      <w:r>
        <w:rPr>
          <w:szCs w:val="20"/>
          <w:vertAlign w:val="superscript"/>
          <w:lang w:val="en-US"/>
        </w:rPr>
        <w:t>d</w:t>
      </w:r>
      <w:r>
        <w:rPr>
          <w:szCs w:val="20"/>
          <w:lang w:val="en-US"/>
        </w:rPr>
        <w:t>Not</w:t>
      </w:r>
      <w:proofErr w:type="spellEnd"/>
      <w:proofErr w:type="gramEnd"/>
      <w:r>
        <w:rPr>
          <w:szCs w:val="20"/>
          <w:lang w:val="en-US"/>
        </w:rPr>
        <w:t xml:space="preserve"> </w:t>
      </w:r>
      <w:r>
        <w:rPr>
          <w:sz w:val="24"/>
          <w:lang w:val="en-US"/>
        </w:rPr>
        <w:t>applicable.</w:t>
      </w:r>
    </w:p>
    <w:p w:rsidR="00F81BC7" w:rsidRDefault="00F81BC7" w:rsidP="00F81BC7">
      <w:pPr>
        <w:widowControl/>
        <w:spacing w:line="276" w:lineRule="auto"/>
        <w:ind w:firstLine="0"/>
        <w:rPr>
          <w:sz w:val="24"/>
          <w:lang w:val="en-US"/>
        </w:rPr>
        <w:sectPr w:rsidR="00F81BC7" w:rsidSect="00F81BC7">
          <w:pgSz w:w="11906" w:h="16838"/>
          <w:pgMar w:top="1417" w:right="1701" w:bottom="1417" w:left="1701" w:header="708" w:footer="708" w:gutter="0"/>
          <w:cols w:space="708"/>
          <w:docGrid w:linePitch="360"/>
        </w:sectPr>
      </w:pPr>
    </w:p>
    <w:p w:rsidR="00F81BC7" w:rsidRPr="00870CA5" w:rsidRDefault="00F81BC7" w:rsidP="00F81BC7">
      <w:pPr>
        <w:widowControl/>
        <w:spacing w:line="276" w:lineRule="auto"/>
        <w:ind w:firstLine="0"/>
        <w:contextualSpacing/>
        <w:jc w:val="left"/>
        <w:rPr>
          <w:rFonts w:eastAsia="Calibri"/>
          <w:b/>
          <w:sz w:val="24"/>
          <w:lang w:val="en-US"/>
        </w:rPr>
      </w:pPr>
      <w:r w:rsidRPr="00870CA5">
        <w:rPr>
          <w:rFonts w:eastAsia="Calibri"/>
          <w:b/>
          <w:sz w:val="24"/>
          <w:lang w:val="en-US"/>
        </w:rPr>
        <w:lastRenderedPageBreak/>
        <w:t>Table 2</w:t>
      </w:r>
    </w:p>
    <w:p w:rsidR="00F81BC7" w:rsidRPr="00870CA5" w:rsidRDefault="00F81BC7" w:rsidP="00F81BC7">
      <w:pPr>
        <w:widowControl/>
        <w:spacing w:line="276" w:lineRule="auto"/>
        <w:ind w:firstLine="0"/>
        <w:contextualSpacing/>
        <w:jc w:val="left"/>
        <w:rPr>
          <w:rFonts w:eastAsia="Calibri"/>
          <w:sz w:val="24"/>
          <w:lang w:val="en-US"/>
        </w:rPr>
      </w:pPr>
      <w:r w:rsidRPr="00870CA5">
        <w:rPr>
          <w:rFonts w:eastAsia="Calibri"/>
          <w:sz w:val="24"/>
          <w:lang w:val="en-US"/>
        </w:rPr>
        <w:t xml:space="preserve">Descriptive statistics, </w:t>
      </w:r>
      <w:proofErr w:type="spellStart"/>
      <w:r w:rsidRPr="00870CA5">
        <w:rPr>
          <w:rFonts w:eastAsia="Calibri"/>
          <w:sz w:val="24"/>
          <w:lang w:val="en-US"/>
        </w:rPr>
        <w:t>Cronbach’s</w:t>
      </w:r>
      <w:proofErr w:type="spellEnd"/>
      <w:r w:rsidRPr="00870CA5">
        <w:rPr>
          <w:rFonts w:eastAsia="Calibri"/>
          <w:sz w:val="24"/>
          <w:lang w:val="en-US"/>
        </w:rPr>
        <w:t xml:space="preserve"> alphas and matrix of inter-correlations among study variables for children/adolescents on-treatment (</w:t>
      </w:r>
      <w:r>
        <w:rPr>
          <w:rFonts w:eastAsia="Calibri"/>
          <w:sz w:val="24"/>
          <w:lang w:val="en-US"/>
        </w:rPr>
        <w:t>“On”</w:t>
      </w:r>
      <w:r w:rsidRPr="00870CA5">
        <w:rPr>
          <w:rFonts w:eastAsia="Calibri"/>
          <w:sz w:val="24"/>
          <w:lang w:val="en-US"/>
        </w:rPr>
        <w:t>) and off-treatment (</w:t>
      </w:r>
      <w:r>
        <w:rPr>
          <w:rFonts w:eastAsia="Calibri"/>
          <w:sz w:val="24"/>
          <w:lang w:val="en-US"/>
        </w:rPr>
        <w:t>“Off”</w:t>
      </w:r>
      <w:r w:rsidRPr="00870CA5">
        <w:rPr>
          <w:rFonts w:eastAsia="Calibri"/>
          <w:sz w:val="24"/>
          <w:lang w:val="en-US"/>
        </w:rPr>
        <w:t>)</w:t>
      </w:r>
    </w:p>
    <w:p w:rsidR="00F81BC7" w:rsidRPr="00870CA5" w:rsidRDefault="00F81BC7" w:rsidP="00F81BC7">
      <w:pPr>
        <w:widowControl/>
        <w:spacing w:line="276" w:lineRule="auto"/>
        <w:ind w:firstLine="0"/>
        <w:contextualSpacing/>
        <w:rPr>
          <w:rFonts w:eastAsia="Calibri"/>
          <w:sz w:val="24"/>
          <w:lang w:val="en-US"/>
        </w:rPr>
      </w:pPr>
    </w:p>
    <w:tbl>
      <w:tblPr>
        <w:tblStyle w:val="Tabelacomgrelha1"/>
        <w:tblW w:w="15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1073"/>
        <w:gridCol w:w="1418"/>
        <w:gridCol w:w="1417"/>
        <w:gridCol w:w="1417"/>
        <w:gridCol w:w="992"/>
        <w:gridCol w:w="1559"/>
        <w:gridCol w:w="1559"/>
        <w:gridCol w:w="1276"/>
        <w:gridCol w:w="1134"/>
        <w:gridCol w:w="1184"/>
        <w:gridCol w:w="1184"/>
      </w:tblGrid>
      <w:tr w:rsidR="00F81BC7" w:rsidRPr="00870CA5" w:rsidTr="00CE43A3">
        <w:trPr>
          <w:jc w:val="center"/>
        </w:trPr>
        <w:tc>
          <w:tcPr>
            <w:tcW w:w="2490" w:type="dxa"/>
            <w:gridSpan w:val="2"/>
            <w:tcBorders>
              <w:top w:val="single" w:sz="4" w:space="0" w:color="auto"/>
            </w:tcBorders>
            <w:vAlign w:val="center"/>
          </w:tcPr>
          <w:p w:rsidR="00F81BC7" w:rsidRPr="00870CA5" w:rsidRDefault="00F81BC7" w:rsidP="00CE43A3">
            <w:pPr>
              <w:widowControl/>
              <w:spacing w:line="276" w:lineRule="auto"/>
              <w:ind w:firstLine="0"/>
              <w:contextualSpacing/>
              <w:jc w:val="left"/>
              <w:rPr>
                <w:sz w:val="24"/>
                <w:lang w:val="en-US"/>
              </w:rPr>
            </w:pPr>
          </w:p>
          <w:p w:rsidR="00F81BC7" w:rsidRPr="00870CA5" w:rsidRDefault="00F81BC7" w:rsidP="00CE43A3">
            <w:pPr>
              <w:widowControl/>
              <w:spacing w:line="276" w:lineRule="auto"/>
              <w:ind w:firstLine="0"/>
              <w:contextualSpacing/>
              <w:jc w:val="left"/>
              <w:rPr>
                <w:sz w:val="24"/>
                <w:lang w:val="en-US"/>
              </w:rPr>
            </w:pPr>
            <w:r w:rsidRPr="00870CA5">
              <w:rPr>
                <w:sz w:val="24"/>
                <w:lang w:val="en-US"/>
              </w:rPr>
              <w:t>Variables</w:t>
            </w:r>
          </w:p>
          <w:p w:rsidR="00F81BC7" w:rsidRPr="00870CA5" w:rsidRDefault="00F81BC7" w:rsidP="00CE43A3">
            <w:pPr>
              <w:widowControl/>
              <w:spacing w:line="276" w:lineRule="auto"/>
              <w:ind w:firstLine="0"/>
              <w:contextualSpacing/>
              <w:jc w:val="left"/>
              <w:rPr>
                <w:sz w:val="24"/>
                <w:lang w:val="en-US"/>
              </w:rPr>
            </w:pPr>
          </w:p>
        </w:tc>
        <w:tc>
          <w:tcPr>
            <w:tcW w:w="1418" w:type="dxa"/>
            <w:tcBorders>
              <w:top w:val="single" w:sz="4" w:space="0" w:color="auto"/>
            </w:tcBorders>
            <w:vAlign w:val="center"/>
          </w:tcPr>
          <w:p w:rsidR="00F81BC7" w:rsidRPr="00870CA5" w:rsidRDefault="00F81BC7" w:rsidP="00CE43A3">
            <w:pPr>
              <w:widowControl/>
              <w:spacing w:line="276" w:lineRule="auto"/>
              <w:ind w:firstLine="0"/>
              <w:contextualSpacing/>
              <w:jc w:val="center"/>
              <w:rPr>
                <w:sz w:val="24"/>
                <w:lang w:val="en-US"/>
              </w:rPr>
            </w:pPr>
            <w:r w:rsidRPr="00870CA5">
              <w:rPr>
                <w:sz w:val="24"/>
                <w:lang w:val="en-US"/>
              </w:rPr>
              <w:t>Mean</w:t>
            </w:r>
          </w:p>
        </w:tc>
        <w:tc>
          <w:tcPr>
            <w:tcW w:w="1417" w:type="dxa"/>
            <w:tcBorders>
              <w:top w:val="single" w:sz="4" w:space="0" w:color="auto"/>
            </w:tcBorders>
          </w:tcPr>
          <w:p w:rsidR="00F81BC7" w:rsidRDefault="00F81BC7" w:rsidP="00CE43A3">
            <w:pPr>
              <w:widowControl/>
              <w:spacing w:line="276" w:lineRule="auto"/>
              <w:ind w:firstLine="0"/>
              <w:contextualSpacing/>
              <w:jc w:val="center"/>
              <w:rPr>
                <w:sz w:val="24"/>
                <w:lang w:val="en-US"/>
              </w:rPr>
            </w:pPr>
          </w:p>
          <w:p w:rsidR="00F81BC7" w:rsidRPr="00870CA5" w:rsidRDefault="00F81BC7" w:rsidP="00CE43A3">
            <w:pPr>
              <w:widowControl/>
              <w:spacing w:line="276" w:lineRule="auto"/>
              <w:ind w:firstLine="0"/>
              <w:contextualSpacing/>
              <w:jc w:val="center"/>
              <w:rPr>
                <w:sz w:val="24"/>
                <w:lang w:val="en-US"/>
              </w:rPr>
            </w:pPr>
            <w:r>
              <w:rPr>
                <w:sz w:val="24"/>
                <w:lang w:val="en-US"/>
              </w:rPr>
              <w:t>Range</w:t>
            </w:r>
          </w:p>
        </w:tc>
        <w:tc>
          <w:tcPr>
            <w:tcW w:w="1417" w:type="dxa"/>
            <w:tcBorders>
              <w:top w:val="single" w:sz="4" w:space="0" w:color="auto"/>
            </w:tcBorders>
            <w:vAlign w:val="center"/>
          </w:tcPr>
          <w:p w:rsidR="00F81BC7" w:rsidRPr="00870CA5" w:rsidRDefault="00F81BC7" w:rsidP="00CE43A3">
            <w:pPr>
              <w:widowControl/>
              <w:spacing w:line="276" w:lineRule="auto"/>
              <w:ind w:firstLine="0"/>
              <w:contextualSpacing/>
              <w:jc w:val="center"/>
              <w:rPr>
                <w:sz w:val="24"/>
                <w:lang w:val="en-US"/>
              </w:rPr>
            </w:pPr>
            <w:r w:rsidRPr="00870CA5">
              <w:rPr>
                <w:sz w:val="24"/>
                <w:lang w:val="en-US"/>
              </w:rPr>
              <w:t>SD</w:t>
            </w:r>
          </w:p>
        </w:tc>
        <w:tc>
          <w:tcPr>
            <w:tcW w:w="992" w:type="dxa"/>
            <w:tcBorders>
              <w:top w:val="single" w:sz="4" w:space="0" w:color="auto"/>
            </w:tcBorders>
            <w:vAlign w:val="center"/>
          </w:tcPr>
          <w:p w:rsidR="00F81BC7" w:rsidRPr="00870CA5" w:rsidRDefault="00F81BC7" w:rsidP="00CE43A3">
            <w:pPr>
              <w:widowControl/>
              <w:spacing w:line="276" w:lineRule="auto"/>
              <w:ind w:firstLine="0"/>
              <w:contextualSpacing/>
              <w:jc w:val="center"/>
              <w:rPr>
                <w:sz w:val="24"/>
                <w:lang w:val="en-US"/>
              </w:rPr>
            </w:pPr>
            <w:r w:rsidRPr="00870CA5">
              <w:rPr>
                <w:sz w:val="24"/>
                <w:lang w:val="en-US"/>
              </w:rPr>
              <w:t>α</w:t>
            </w:r>
          </w:p>
        </w:tc>
        <w:tc>
          <w:tcPr>
            <w:tcW w:w="6712" w:type="dxa"/>
            <w:gridSpan w:val="5"/>
            <w:tcBorders>
              <w:top w:val="single" w:sz="4" w:space="0" w:color="auto"/>
              <w:bottom w:val="single" w:sz="4" w:space="0" w:color="auto"/>
            </w:tcBorders>
            <w:vAlign w:val="center"/>
          </w:tcPr>
          <w:p w:rsidR="00F81BC7" w:rsidRPr="00870CA5" w:rsidRDefault="00F81BC7" w:rsidP="00CE43A3">
            <w:pPr>
              <w:widowControl/>
              <w:spacing w:line="276" w:lineRule="auto"/>
              <w:ind w:firstLine="0"/>
              <w:contextualSpacing/>
              <w:jc w:val="left"/>
              <w:rPr>
                <w:sz w:val="24"/>
                <w:lang w:val="en-US"/>
              </w:rPr>
            </w:pPr>
            <w:r w:rsidRPr="00870CA5">
              <w:rPr>
                <w:sz w:val="24"/>
                <w:lang w:val="en-US"/>
              </w:rPr>
              <w:t>Correlations</w:t>
            </w:r>
          </w:p>
        </w:tc>
        <w:tc>
          <w:tcPr>
            <w:tcW w:w="1184" w:type="dxa"/>
            <w:tcBorders>
              <w:top w:val="single" w:sz="4" w:space="0" w:color="auto"/>
              <w:bottom w:val="single" w:sz="4" w:space="0" w:color="auto"/>
            </w:tcBorders>
          </w:tcPr>
          <w:p w:rsidR="00F81BC7" w:rsidRPr="00870CA5" w:rsidRDefault="00F81BC7" w:rsidP="00CE43A3">
            <w:pPr>
              <w:widowControl/>
              <w:spacing w:line="276" w:lineRule="auto"/>
              <w:ind w:firstLine="0"/>
              <w:contextualSpacing/>
              <w:jc w:val="left"/>
              <w:rPr>
                <w:sz w:val="24"/>
                <w:lang w:val="en-US"/>
              </w:rPr>
            </w:pPr>
          </w:p>
        </w:tc>
      </w:tr>
      <w:tr w:rsidR="00F81BC7" w:rsidRPr="00870CA5" w:rsidTr="00CE43A3">
        <w:trPr>
          <w:jc w:val="center"/>
        </w:trPr>
        <w:tc>
          <w:tcPr>
            <w:tcW w:w="2490" w:type="dxa"/>
            <w:gridSpan w:val="2"/>
            <w:tcBorders>
              <w:bottom w:val="single" w:sz="4" w:space="0" w:color="auto"/>
            </w:tcBorders>
            <w:vAlign w:val="center"/>
          </w:tcPr>
          <w:p w:rsidR="00F81BC7" w:rsidRPr="00870CA5" w:rsidRDefault="00F81BC7" w:rsidP="00CE43A3">
            <w:pPr>
              <w:widowControl/>
              <w:spacing w:line="276" w:lineRule="auto"/>
              <w:ind w:firstLine="0"/>
              <w:contextualSpacing/>
              <w:jc w:val="left"/>
              <w:rPr>
                <w:sz w:val="24"/>
                <w:lang w:val="en-US"/>
              </w:rPr>
            </w:pPr>
          </w:p>
        </w:tc>
        <w:tc>
          <w:tcPr>
            <w:tcW w:w="1418" w:type="dxa"/>
            <w:tcBorders>
              <w:bottom w:val="single" w:sz="4" w:space="0" w:color="auto"/>
            </w:tcBorders>
            <w:vAlign w:val="center"/>
          </w:tcPr>
          <w:p w:rsidR="00F81BC7" w:rsidRPr="00870CA5" w:rsidRDefault="00F81BC7" w:rsidP="00CE43A3">
            <w:pPr>
              <w:widowControl/>
              <w:spacing w:line="276" w:lineRule="auto"/>
              <w:ind w:firstLine="0"/>
              <w:contextualSpacing/>
              <w:jc w:val="left"/>
              <w:rPr>
                <w:sz w:val="24"/>
                <w:lang w:val="en-US"/>
              </w:rPr>
            </w:pPr>
          </w:p>
        </w:tc>
        <w:tc>
          <w:tcPr>
            <w:tcW w:w="1417" w:type="dxa"/>
            <w:tcBorders>
              <w:bottom w:val="single" w:sz="4" w:space="0" w:color="auto"/>
            </w:tcBorders>
          </w:tcPr>
          <w:p w:rsidR="00F81BC7" w:rsidRPr="00870CA5" w:rsidRDefault="00F81BC7" w:rsidP="00CE43A3">
            <w:pPr>
              <w:widowControl/>
              <w:spacing w:line="276" w:lineRule="auto"/>
              <w:ind w:firstLine="0"/>
              <w:contextualSpacing/>
              <w:jc w:val="left"/>
              <w:rPr>
                <w:sz w:val="24"/>
                <w:lang w:val="en-US"/>
              </w:rPr>
            </w:pPr>
          </w:p>
        </w:tc>
        <w:tc>
          <w:tcPr>
            <w:tcW w:w="1417" w:type="dxa"/>
            <w:tcBorders>
              <w:bottom w:val="single" w:sz="4" w:space="0" w:color="auto"/>
            </w:tcBorders>
            <w:vAlign w:val="center"/>
          </w:tcPr>
          <w:p w:rsidR="00F81BC7" w:rsidRPr="00870CA5" w:rsidRDefault="00F81BC7" w:rsidP="00CE43A3">
            <w:pPr>
              <w:widowControl/>
              <w:spacing w:line="276" w:lineRule="auto"/>
              <w:ind w:firstLine="0"/>
              <w:contextualSpacing/>
              <w:jc w:val="left"/>
              <w:rPr>
                <w:sz w:val="24"/>
                <w:lang w:val="en-US"/>
              </w:rPr>
            </w:pPr>
          </w:p>
        </w:tc>
        <w:tc>
          <w:tcPr>
            <w:tcW w:w="992" w:type="dxa"/>
            <w:tcBorders>
              <w:bottom w:val="single" w:sz="4" w:space="0" w:color="auto"/>
            </w:tcBorders>
            <w:vAlign w:val="center"/>
          </w:tcPr>
          <w:p w:rsidR="00F81BC7" w:rsidRPr="00870CA5" w:rsidRDefault="00F81BC7" w:rsidP="00CE43A3">
            <w:pPr>
              <w:widowControl/>
              <w:spacing w:line="276" w:lineRule="auto"/>
              <w:ind w:firstLine="0"/>
              <w:contextualSpacing/>
              <w:jc w:val="left"/>
              <w:rPr>
                <w:sz w:val="24"/>
                <w:lang w:val="en-US"/>
              </w:rPr>
            </w:pPr>
          </w:p>
        </w:tc>
        <w:tc>
          <w:tcPr>
            <w:tcW w:w="1559" w:type="dxa"/>
            <w:tcBorders>
              <w:top w:val="single" w:sz="4" w:space="0" w:color="auto"/>
              <w:bottom w:val="single" w:sz="4" w:space="0" w:color="auto"/>
            </w:tcBorders>
            <w:vAlign w:val="center"/>
          </w:tcPr>
          <w:p w:rsidR="00F81BC7" w:rsidRPr="00870CA5" w:rsidRDefault="00F81BC7" w:rsidP="00CE43A3">
            <w:pPr>
              <w:widowControl/>
              <w:spacing w:line="276" w:lineRule="auto"/>
              <w:ind w:firstLine="0"/>
              <w:contextualSpacing/>
              <w:jc w:val="center"/>
              <w:rPr>
                <w:sz w:val="24"/>
                <w:lang w:val="en-US"/>
              </w:rPr>
            </w:pPr>
            <w:r w:rsidRPr="00870CA5">
              <w:rPr>
                <w:sz w:val="24"/>
                <w:lang w:val="en-US"/>
              </w:rPr>
              <w:t>1</w:t>
            </w:r>
          </w:p>
        </w:tc>
        <w:tc>
          <w:tcPr>
            <w:tcW w:w="1559" w:type="dxa"/>
            <w:tcBorders>
              <w:top w:val="single" w:sz="4" w:space="0" w:color="auto"/>
              <w:bottom w:val="single" w:sz="4" w:space="0" w:color="auto"/>
            </w:tcBorders>
            <w:vAlign w:val="center"/>
          </w:tcPr>
          <w:p w:rsidR="00F81BC7" w:rsidRPr="00870CA5" w:rsidRDefault="00F81BC7" w:rsidP="00CE43A3">
            <w:pPr>
              <w:widowControl/>
              <w:spacing w:line="276" w:lineRule="auto"/>
              <w:ind w:firstLine="0"/>
              <w:contextualSpacing/>
              <w:jc w:val="center"/>
              <w:rPr>
                <w:sz w:val="24"/>
                <w:lang w:val="en-US"/>
              </w:rPr>
            </w:pPr>
            <w:r w:rsidRPr="00870CA5">
              <w:rPr>
                <w:sz w:val="24"/>
                <w:lang w:val="en-US"/>
              </w:rPr>
              <w:t>2</w:t>
            </w:r>
          </w:p>
        </w:tc>
        <w:tc>
          <w:tcPr>
            <w:tcW w:w="1276" w:type="dxa"/>
            <w:tcBorders>
              <w:top w:val="single" w:sz="4" w:space="0" w:color="auto"/>
              <w:bottom w:val="single" w:sz="4" w:space="0" w:color="auto"/>
            </w:tcBorders>
            <w:vAlign w:val="center"/>
          </w:tcPr>
          <w:p w:rsidR="00F81BC7" w:rsidRPr="00870CA5" w:rsidRDefault="00F81BC7" w:rsidP="00CE43A3">
            <w:pPr>
              <w:widowControl/>
              <w:spacing w:line="276" w:lineRule="auto"/>
              <w:ind w:firstLine="0"/>
              <w:contextualSpacing/>
              <w:jc w:val="center"/>
              <w:rPr>
                <w:sz w:val="24"/>
                <w:lang w:val="en-US"/>
              </w:rPr>
            </w:pPr>
            <w:r w:rsidRPr="00870CA5">
              <w:rPr>
                <w:sz w:val="24"/>
                <w:lang w:val="en-US"/>
              </w:rPr>
              <w:t>3</w:t>
            </w:r>
          </w:p>
        </w:tc>
        <w:tc>
          <w:tcPr>
            <w:tcW w:w="1134" w:type="dxa"/>
            <w:tcBorders>
              <w:top w:val="single" w:sz="4" w:space="0" w:color="auto"/>
              <w:bottom w:val="single" w:sz="4" w:space="0" w:color="auto"/>
            </w:tcBorders>
            <w:vAlign w:val="center"/>
          </w:tcPr>
          <w:p w:rsidR="00F81BC7" w:rsidRPr="00870CA5" w:rsidRDefault="00F81BC7" w:rsidP="00CE43A3">
            <w:pPr>
              <w:widowControl/>
              <w:spacing w:line="276" w:lineRule="auto"/>
              <w:ind w:firstLine="0"/>
              <w:contextualSpacing/>
              <w:jc w:val="center"/>
              <w:rPr>
                <w:sz w:val="24"/>
                <w:lang w:val="en-US"/>
              </w:rPr>
            </w:pPr>
            <w:r w:rsidRPr="00870CA5">
              <w:rPr>
                <w:sz w:val="24"/>
                <w:lang w:val="en-US"/>
              </w:rPr>
              <w:t>4</w:t>
            </w:r>
          </w:p>
        </w:tc>
        <w:tc>
          <w:tcPr>
            <w:tcW w:w="1184" w:type="dxa"/>
            <w:tcBorders>
              <w:top w:val="single" w:sz="4" w:space="0" w:color="auto"/>
              <w:bottom w:val="single" w:sz="4" w:space="0" w:color="auto"/>
            </w:tcBorders>
            <w:vAlign w:val="center"/>
          </w:tcPr>
          <w:p w:rsidR="00F81BC7" w:rsidRPr="00870CA5" w:rsidRDefault="00F81BC7" w:rsidP="00CE43A3">
            <w:pPr>
              <w:widowControl/>
              <w:spacing w:line="276" w:lineRule="auto"/>
              <w:ind w:firstLine="0"/>
              <w:contextualSpacing/>
              <w:jc w:val="center"/>
              <w:rPr>
                <w:sz w:val="24"/>
                <w:lang w:val="en-US"/>
              </w:rPr>
            </w:pPr>
            <w:r w:rsidRPr="00870CA5">
              <w:rPr>
                <w:sz w:val="24"/>
                <w:lang w:val="en-US"/>
              </w:rPr>
              <w:t>5</w:t>
            </w:r>
          </w:p>
        </w:tc>
        <w:tc>
          <w:tcPr>
            <w:tcW w:w="1184" w:type="dxa"/>
            <w:tcBorders>
              <w:top w:val="single" w:sz="4" w:space="0" w:color="auto"/>
              <w:bottom w:val="single" w:sz="4" w:space="0" w:color="auto"/>
            </w:tcBorders>
          </w:tcPr>
          <w:p w:rsidR="00F81BC7" w:rsidRPr="00870CA5" w:rsidRDefault="00F81BC7" w:rsidP="00CE43A3">
            <w:pPr>
              <w:widowControl/>
              <w:spacing w:line="276" w:lineRule="auto"/>
              <w:ind w:firstLine="0"/>
              <w:contextualSpacing/>
              <w:jc w:val="center"/>
              <w:rPr>
                <w:sz w:val="24"/>
                <w:lang w:val="en-US"/>
              </w:rPr>
            </w:pPr>
            <w:r>
              <w:rPr>
                <w:sz w:val="24"/>
                <w:lang w:val="en-US"/>
              </w:rPr>
              <w:t>6</w:t>
            </w:r>
          </w:p>
        </w:tc>
      </w:tr>
      <w:tr w:rsidR="00F81BC7" w:rsidRPr="00870CA5" w:rsidTr="00CE43A3">
        <w:trPr>
          <w:jc w:val="center"/>
        </w:trPr>
        <w:tc>
          <w:tcPr>
            <w:tcW w:w="2490" w:type="dxa"/>
            <w:gridSpan w:val="2"/>
            <w:tcBorders>
              <w:bottom w:val="single" w:sz="4" w:space="0" w:color="auto"/>
            </w:tcBorders>
            <w:vAlign w:val="center"/>
          </w:tcPr>
          <w:p w:rsidR="00F81BC7" w:rsidRPr="006E0B9A" w:rsidRDefault="00F81BC7" w:rsidP="00CE43A3">
            <w:pPr>
              <w:widowControl/>
              <w:spacing w:line="276" w:lineRule="auto"/>
              <w:ind w:firstLine="0"/>
              <w:contextualSpacing/>
              <w:jc w:val="center"/>
              <w:rPr>
                <w:szCs w:val="22"/>
                <w:lang w:val="en-US"/>
              </w:rPr>
            </w:pPr>
          </w:p>
        </w:tc>
        <w:tc>
          <w:tcPr>
            <w:tcW w:w="1418" w:type="dxa"/>
            <w:tcBorders>
              <w:bottom w:val="single" w:sz="4" w:space="0" w:color="auto"/>
            </w:tcBorders>
            <w:vAlign w:val="center"/>
          </w:tcPr>
          <w:p w:rsidR="00F81BC7" w:rsidRPr="006E0B9A" w:rsidRDefault="00F81BC7" w:rsidP="00CE43A3">
            <w:pPr>
              <w:widowControl/>
              <w:spacing w:line="276" w:lineRule="auto"/>
              <w:ind w:firstLine="0"/>
              <w:contextualSpacing/>
              <w:jc w:val="center"/>
              <w:rPr>
                <w:szCs w:val="22"/>
                <w:lang w:val="en-US"/>
              </w:rPr>
            </w:pPr>
            <w:r w:rsidRPr="006E0B9A">
              <w:rPr>
                <w:szCs w:val="22"/>
                <w:lang w:val="en-US"/>
              </w:rPr>
              <w:t>On | Off</w:t>
            </w:r>
          </w:p>
        </w:tc>
        <w:tc>
          <w:tcPr>
            <w:tcW w:w="1417" w:type="dxa"/>
            <w:tcBorders>
              <w:bottom w:val="single" w:sz="4" w:space="0" w:color="auto"/>
            </w:tcBorders>
          </w:tcPr>
          <w:p w:rsidR="00F81BC7" w:rsidRPr="006E0B9A" w:rsidRDefault="00F81BC7" w:rsidP="00CE43A3">
            <w:pPr>
              <w:widowControl/>
              <w:spacing w:line="276" w:lineRule="auto"/>
              <w:ind w:firstLine="0"/>
              <w:contextualSpacing/>
              <w:jc w:val="center"/>
              <w:rPr>
                <w:szCs w:val="22"/>
                <w:lang w:val="en-US"/>
              </w:rPr>
            </w:pPr>
            <w:r>
              <w:rPr>
                <w:szCs w:val="22"/>
                <w:lang w:val="en-US"/>
              </w:rPr>
              <w:t>-</w:t>
            </w:r>
          </w:p>
        </w:tc>
        <w:tc>
          <w:tcPr>
            <w:tcW w:w="1417" w:type="dxa"/>
            <w:tcBorders>
              <w:bottom w:val="single" w:sz="4" w:space="0" w:color="auto"/>
            </w:tcBorders>
            <w:vAlign w:val="center"/>
          </w:tcPr>
          <w:p w:rsidR="00F81BC7" w:rsidRPr="006E0B9A" w:rsidRDefault="00F81BC7" w:rsidP="00CE43A3">
            <w:pPr>
              <w:widowControl/>
              <w:spacing w:line="276" w:lineRule="auto"/>
              <w:ind w:firstLine="0"/>
              <w:contextualSpacing/>
              <w:jc w:val="center"/>
              <w:rPr>
                <w:szCs w:val="22"/>
                <w:lang w:val="en-US"/>
              </w:rPr>
            </w:pPr>
            <w:r w:rsidRPr="006E0B9A">
              <w:rPr>
                <w:szCs w:val="22"/>
                <w:lang w:val="en-US"/>
              </w:rPr>
              <w:t>On | Off</w:t>
            </w:r>
          </w:p>
        </w:tc>
        <w:tc>
          <w:tcPr>
            <w:tcW w:w="992" w:type="dxa"/>
            <w:tcBorders>
              <w:bottom w:val="single" w:sz="4" w:space="0" w:color="auto"/>
            </w:tcBorders>
            <w:vAlign w:val="center"/>
          </w:tcPr>
          <w:p w:rsidR="00F81BC7" w:rsidRPr="006E0B9A" w:rsidRDefault="00F81BC7" w:rsidP="00CE43A3">
            <w:pPr>
              <w:widowControl/>
              <w:spacing w:line="276" w:lineRule="auto"/>
              <w:ind w:firstLine="0"/>
              <w:contextualSpacing/>
              <w:jc w:val="center"/>
              <w:rPr>
                <w:szCs w:val="22"/>
                <w:lang w:val="en-US"/>
              </w:rPr>
            </w:pPr>
            <w:r w:rsidRPr="006E0B9A">
              <w:rPr>
                <w:szCs w:val="22"/>
                <w:lang w:val="en-US"/>
              </w:rPr>
              <w:t>On | Off</w:t>
            </w:r>
          </w:p>
        </w:tc>
        <w:tc>
          <w:tcPr>
            <w:tcW w:w="1559" w:type="dxa"/>
            <w:tcBorders>
              <w:top w:val="single" w:sz="4" w:space="0" w:color="auto"/>
              <w:bottom w:val="single" w:sz="4" w:space="0" w:color="auto"/>
            </w:tcBorders>
            <w:vAlign w:val="center"/>
          </w:tcPr>
          <w:p w:rsidR="00F81BC7" w:rsidRPr="006E0B9A" w:rsidRDefault="00F81BC7" w:rsidP="00CE43A3">
            <w:pPr>
              <w:widowControl/>
              <w:spacing w:line="276" w:lineRule="auto"/>
              <w:ind w:firstLine="0"/>
              <w:contextualSpacing/>
              <w:jc w:val="center"/>
              <w:rPr>
                <w:szCs w:val="22"/>
                <w:lang w:val="en-US"/>
              </w:rPr>
            </w:pPr>
            <w:r w:rsidRPr="006E0B9A">
              <w:rPr>
                <w:szCs w:val="22"/>
                <w:lang w:val="en-US"/>
              </w:rPr>
              <w:t>On | Off</w:t>
            </w:r>
          </w:p>
        </w:tc>
        <w:tc>
          <w:tcPr>
            <w:tcW w:w="1559" w:type="dxa"/>
            <w:tcBorders>
              <w:top w:val="single" w:sz="4" w:space="0" w:color="auto"/>
              <w:bottom w:val="single" w:sz="4" w:space="0" w:color="auto"/>
            </w:tcBorders>
            <w:vAlign w:val="center"/>
          </w:tcPr>
          <w:p w:rsidR="00F81BC7" w:rsidRPr="006E0B9A" w:rsidRDefault="00F81BC7" w:rsidP="00CE43A3">
            <w:pPr>
              <w:widowControl/>
              <w:spacing w:line="276" w:lineRule="auto"/>
              <w:ind w:firstLine="0"/>
              <w:contextualSpacing/>
              <w:jc w:val="center"/>
              <w:rPr>
                <w:szCs w:val="22"/>
                <w:lang w:val="en-US"/>
              </w:rPr>
            </w:pPr>
            <w:r w:rsidRPr="006E0B9A">
              <w:rPr>
                <w:szCs w:val="22"/>
                <w:lang w:val="en-US"/>
              </w:rPr>
              <w:t>On | Off</w:t>
            </w:r>
          </w:p>
        </w:tc>
        <w:tc>
          <w:tcPr>
            <w:tcW w:w="1276" w:type="dxa"/>
            <w:tcBorders>
              <w:top w:val="single" w:sz="4" w:space="0" w:color="auto"/>
              <w:bottom w:val="single" w:sz="4" w:space="0" w:color="auto"/>
            </w:tcBorders>
            <w:vAlign w:val="center"/>
          </w:tcPr>
          <w:p w:rsidR="00F81BC7" w:rsidRPr="006E0B9A" w:rsidRDefault="00F81BC7" w:rsidP="00CE43A3">
            <w:pPr>
              <w:widowControl/>
              <w:spacing w:line="276" w:lineRule="auto"/>
              <w:ind w:firstLine="0"/>
              <w:contextualSpacing/>
              <w:jc w:val="center"/>
              <w:rPr>
                <w:szCs w:val="22"/>
                <w:lang w:val="en-US"/>
              </w:rPr>
            </w:pPr>
            <w:r w:rsidRPr="006E0B9A">
              <w:rPr>
                <w:szCs w:val="22"/>
                <w:lang w:val="en-US"/>
              </w:rPr>
              <w:t>On | Off</w:t>
            </w:r>
          </w:p>
        </w:tc>
        <w:tc>
          <w:tcPr>
            <w:tcW w:w="1134" w:type="dxa"/>
            <w:tcBorders>
              <w:top w:val="single" w:sz="4" w:space="0" w:color="auto"/>
              <w:bottom w:val="single" w:sz="4" w:space="0" w:color="auto"/>
            </w:tcBorders>
            <w:vAlign w:val="center"/>
          </w:tcPr>
          <w:p w:rsidR="00F81BC7" w:rsidRPr="006E0B9A" w:rsidRDefault="00F81BC7" w:rsidP="00CE43A3">
            <w:pPr>
              <w:widowControl/>
              <w:spacing w:line="276" w:lineRule="auto"/>
              <w:ind w:firstLine="0"/>
              <w:contextualSpacing/>
              <w:jc w:val="center"/>
              <w:rPr>
                <w:szCs w:val="22"/>
                <w:lang w:val="en-US"/>
              </w:rPr>
            </w:pPr>
            <w:r w:rsidRPr="006E0B9A">
              <w:rPr>
                <w:szCs w:val="22"/>
                <w:lang w:val="en-US"/>
              </w:rPr>
              <w:t>On | Off</w:t>
            </w:r>
          </w:p>
        </w:tc>
        <w:tc>
          <w:tcPr>
            <w:tcW w:w="1184" w:type="dxa"/>
            <w:tcBorders>
              <w:top w:val="single" w:sz="4" w:space="0" w:color="auto"/>
              <w:bottom w:val="single" w:sz="4" w:space="0" w:color="auto"/>
            </w:tcBorders>
            <w:vAlign w:val="center"/>
          </w:tcPr>
          <w:p w:rsidR="00F81BC7" w:rsidRPr="006E0B9A" w:rsidRDefault="00F81BC7" w:rsidP="00CE43A3">
            <w:pPr>
              <w:widowControl/>
              <w:spacing w:line="276" w:lineRule="auto"/>
              <w:ind w:firstLine="0"/>
              <w:contextualSpacing/>
              <w:jc w:val="center"/>
              <w:rPr>
                <w:szCs w:val="22"/>
                <w:lang w:val="en-US"/>
              </w:rPr>
            </w:pPr>
            <w:r w:rsidRPr="006E0B9A">
              <w:rPr>
                <w:szCs w:val="22"/>
                <w:lang w:val="en-US"/>
              </w:rPr>
              <w:t>On | Off</w:t>
            </w:r>
          </w:p>
        </w:tc>
        <w:tc>
          <w:tcPr>
            <w:tcW w:w="1184" w:type="dxa"/>
            <w:tcBorders>
              <w:top w:val="single" w:sz="4" w:space="0" w:color="auto"/>
              <w:bottom w:val="single" w:sz="4" w:space="0" w:color="auto"/>
            </w:tcBorders>
          </w:tcPr>
          <w:p w:rsidR="00F81BC7" w:rsidRPr="006E0B9A" w:rsidRDefault="00F81BC7" w:rsidP="00CE43A3">
            <w:pPr>
              <w:widowControl/>
              <w:spacing w:line="276" w:lineRule="auto"/>
              <w:ind w:firstLine="0"/>
              <w:contextualSpacing/>
              <w:jc w:val="center"/>
              <w:rPr>
                <w:szCs w:val="22"/>
                <w:lang w:val="en-US"/>
              </w:rPr>
            </w:pPr>
            <w:r w:rsidRPr="006E0B9A">
              <w:rPr>
                <w:szCs w:val="22"/>
                <w:lang w:val="en-US"/>
              </w:rPr>
              <w:t>On | Off</w:t>
            </w:r>
          </w:p>
        </w:tc>
      </w:tr>
      <w:tr w:rsidR="00F81BC7" w:rsidRPr="00870CA5" w:rsidTr="00CE43A3">
        <w:trPr>
          <w:jc w:val="center"/>
        </w:trPr>
        <w:tc>
          <w:tcPr>
            <w:tcW w:w="2490" w:type="dxa"/>
            <w:gridSpan w:val="2"/>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1. Hope</w:t>
            </w:r>
          </w:p>
        </w:tc>
        <w:tc>
          <w:tcPr>
            <w:tcW w:w="1418"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 xml:space="preserve">  4.55|4.52</w:t>
            </w:r>
          </w:p>
        </w:tc>
        <w:tc>
          <w:tcPr>
            <w:tcW w:w="1417" w:type="dxa"/>
          </w:tcPr>
          <w:p w:rsidR="00F81BC7" w:rsidRPr="006E0B9A" w:rsidRDefault="00F81BC7" w:rsidP="00CE43A3">
            <w:pPr>
              <w:widowControl/>
              <w:spacing w:line="276" w:lineRule="auto"/>
              <w:ind w:firstLine="0"/>
              <w:contextualSpacing/>
              <w:jc w:val="center"/>
              <w:rPr>
                <w:sz w:val="24"/>
                <w:lang w:val="en-US"/>
              </w:rPr>
            </w:pPr>
            <w:r>
              <w:rPr>
                <w:sz w:val="24"/>
                <w:lang w:val="en-US"/>
              </w:rPr>
              <w:t>1-6</w:t>
            </w:r>
          </w:p>
        </w:tc>
        <w:tc>
          <w:tcPr>
            <w:tcW w:w="1417"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 xml:space="preserve">    .78|.79</w:t>
            </w:r>
          </w:p>
        </w:tc>
        <w:tc>
          <w:tcPr>
            <w:tcW w:w="992"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.76|.79</w:t>
            </w:r>
          </w:p>
        </w:tc>
        <w:tc>
          <w:tcPr>
            <w:tcW w:w="1559" w:type="dxa"/>
            <w:vAlign w:val="center"/>
          </w:tcPr>
          <w:p w:rsidR="00F81BC7" w:rsidRPr="006E0B9A" w:rsidRDefault="00F81BC7" w:rsidP="00CE43A3">
            <w:pPr>
              <w:widowControl/>
              <w:spacing w:line="276" w:lineRule="auto"/>
              <w:ind w:firstLine="0"/>
              <w:contextualSpacing/>
              <w:jc w:val="left"/>
              <w:rPr>
                <w:sz w:val="24"/>
                <w:lang w:val="en-US"/>
              </w:rPr>
            </w:pPr>
          </w:p>
        </w:tc>
        <w:tc>
          <w:tcPr>
            <w:tcW w:w="1559" w:type="dxa"/>
            <w:vAlign w:val="center"/>
          </w:tcPr>
          <w:p w:rsidR="00F81BC7" w:rsidRPr="006E0B9A" w:rsidRDefault="00F81BC7" w:rsidP="00CE43A3">
            <w:pPr>
              <w:widowControl/>
              <w:spacing w:line="276" w:lineRule="auto"/>
              <w:ind w:firstLine="0"/>
              <w:contextualSpacing/>
              <w:jc w:val="left"/>
              <w:rPr>
                <w:sz w:val="24"/>
                <w:lang w:val="en-US"/>
              </w:rPr>
            </w:pPr>
          </w:p>
        </w:tc>
        <w:tc>
          <w:tcPr>
            <w:tcW w:w="1276" w:type="dxa"/>
            <w:vAlign w:val="center"/>
          </w:tcPr>
          <w:p w:rsidR="00F81BC7" w:rsidRPr="006E0B9A" w:rsidRDefault="00F81BC7" w:rsidP="00CE43A3">
            <w:pPr>
              <w:widowControl/>
              <w:spacing w:line="276" w:lineRule="auto"/>
              <w:ind w:firstLine="0"/>
              <w:contextualSpacing/>
              <w:jc w:val="left"/>
              <w:rPr>
                <w:sz w:val="24"/>
                <w:lang w:val="en-US"/>
              </w:rPr>
            </w:pPr>
          </w:p>
        </w:tc>
        <w:tc>
          <w:tcPr>
            <w:tcW w:w="1134" w:type="dxa"/>
            <w:vAlign w:val="center"/>
          </w:tcPr>
          <w:p w:rsidR="00F81BC7" w:rsidRPr="006E0B9A" w:rsidRDefault="00F81BC7" w:rsidP="00CE43A3">
            <w:pPr>
              <w:widowControl/>
              <w:spacing w:line="276" w:lineRule="auto"/>
              <w:ind w:firstLine="0"/>
              <w:contextualSpacing/>
              <w:jc w:val="left"/>
              <w:rPr>
                <w:sz w:val="24"/>
                <w:lang w:val="en-US"/>
              </w:rPr>
            </w:pPr>
          </w:p>
        </w:tc>
        <w:tc>
          <w:tcPr>
            <w:tcW w:w="1184" w:type="dxa"/>
            <w:vMerge w:val="restart"/>
            <w:vAlign w:val="center"/>
          </w:tcPr>
          <w:p w:rsidR="00F81BC7" w:rsidRPr="006E0B9A" w:rsidRDefault="00F81BC7" w:rsidP="00CE43A3">
            <w:pPr>
              <w:widowControl/>
              <w:spacing w:line="276" w:lineRule="auto"/>
              <w:ind w:firstLine="0"/>
              <w:contextualSpacing/>
              <w:jc w:val="left"/>
              <w:rPr>
                <w:sz w:val="24"/>
                <w:lang w:val="en-US"/>
              </w:rPr>
            </w:pPr>
          </w:p>
        </w:tc>
        <w:tc>
          <w:tcPr>
            <w:tcW w:w="1184" w:type="dxa"/>
          </w:tcPr>
          <w:p w:rsidR="00F81BC7" w:rsidRPr="006E0B9A" w:rsidRDefault="00F81BC7" w:rsidP="00CE43A3">
            <w:pPr>
              <w:widowControl/>
              <w:spacing w:line="276" w:lineRule="auto"/>
              <w:ind w:firstLine="0"/>
              <w:contextualSpacing/>
              <w:jc w:val="left"/>
              <w:rPr>
                <w:sz w:val="24"/>
                <w:lang w:val="en-US"/>
              </w:rPr>
            </w:pPr>
          </w:p>
        </w:tc>
      </w:tr>
      <w:tr w:rsidR="00F81BC7" w:rsidRPr="00870CA5" w:rsidTr="00CE43A3">
        <w:trPr>
          <w:jc w:val="center"/>
        </w:trPr>
        <w:tc>
          <w:tcPr>
            <w:tcW w:w="2490" w:type="dxa"/>
            <w:gridSpan w:val="2"/>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2. Anxiety</w:t>
            </w:r>
          </w:p>
        </w:tc>
        <w:tc>
          <w:tcPr>
            <w:tcW w:w="1418"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 xml:space="preserve">  2.72|2.59</w:t>
            </w:r>
          </w:p>
        </w:tc>
        <w:tc>
          <w:tcPr>
            <w:tcW w:w="1417" w:type="dxa"/>
          </w:tcPr>
          <w:p w:rsidR="00F81BC7" w:rsidRPr="006E0B9A" w:rsidRDefault="00F81BC7" w:rsidP="00CE43A3">
            <w:pPr>
              <w:widowControl/>
              <w:spacing w:line="276" w:lineRule="auto"/>
              <w:ind w:firstLine="0"/>
              <w:contextualSpacing/>
              <w:jc w:val="center"/>
              <w:rPr>
                <w:sz w:val="24"/>
                <w:lang w:val="en-US"/>
              </w:rPr>
            </w:pPr>
            <w:r>
              <w:rPr>
                <w:sz w:val="24"/>
                <w:lang w:val="en-US"/>
              </w:rPr>
              <w:t>1-10</w:t>
            </w:r>
          </w:p>
        </w:tc>
        <w:tc>
          <w:tcPr>
            <w:tcW w:w="1417"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 xml:space="preserve">  2.00|1.95</w:t>
            </w:r>
          </w:p>
        </w:tc>
        <w:tc>
          <w:tcPr>
            <w:tcW w:w="992"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.63|.64</w:t>
            </w:r>
          </w:p>
        </w:tc>
        <w:tc>
          <w:tcPr>
            <w:tcW w:w="1559"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 .23</w:t>
            </w:r>
            <w:r w:rsidRPr="006E0B9A">
              <w:rPr>
                <w:sz w:val="24"/>
                <w:vertAlign w:val="superscript"/>
                <w:lang w:val="en-US"/>
              </w:rPr>
              <w:t>*</w:t>
            </w:r>
            <w:r w:rsidRPr="006E0B9A">
              <w:rPr>
                <w:sz w:val="24"/>
                <w:lang w:val="en-US"/>
              </w:rPr>
              <w:t>|-.37</w:t>
            </w:r>
            <w:r w:rsidRPr="006E0B9A">
              <w:rPr>
                <w:sz w:val="24"/>
                <w:vertAlign w:val="superscript"/>
                <w:lang w:val="en-US"/>
              </w:rPr>
              <w:t>***</w:t>
            </w:r>
          </w:p>
        </w:tc>
        <w:tc>
          <w:tcPr>
            <w:tcW w:w="1559" w:type="dxa"/>
            <w:vAlign w:val="center"/>
          </w:tcPr>
          <w:p w:rsidR="00F81BC7" w:rsidRPr="006E0B9A" w:rsidRDefault="00F81BC7" w:rsidP="00CE43A3">
            <w:pPr>
              <w:widowControl/>
              <w:spacing w:line="276" w:lineRule="auto"/>
              <w:ind w:firstLine="0"/>
              <w:contextualSpacing/>
              <w:jc w:val="left"/>
              <w:rPr>
                <w:sz w:val="24"/>
                <w:lang w:val="en-US"/>
              </w:rPr>
            </w:pPr>
          </w:p>
        </w:tc>
        <w:tc>
          <w:tcPr>
            <w:tcW w:w="1276" w:type="dxa"/>
            <w:vAlign w:val="center"/>
          </w:tcPr>
          <w:p w:rsidR="00F81BC7" w:rsidRPr="006E0B9A" w:rsidRDefault="00F81BC7" w:rsidP="00CE43A3">
            <w:pPr>
              <w:widowControl/>
              <w:spacing w:line="276" w:lineRule="auto"/>
              <w:ind w:firstLine="0"/>
              <w:contextualSpacing/>
              <w:jc w:val="left"/>
              <w:rPr>
                <w:sz w:val="24"/>
                <w:lang w:val="en-US"/>
              </w:rPr>
            </w:pPr>
          </w:p>
        </w:tc>
        <w:tc>
          <w:tcPr>
            <w:tcW w:w="1134" w:type="dxa"/>
            <w:vAlign w:val="center"/>
          </w:tcPr>
          <w:p w:rsidR="00F81BC7" w:rsidRPr="006E0B9A" w:rsidRDefault="00F81BC7" w:rsidP="00CE43A3">
            <w:pPr>
              <w:widowControl/>
              <w:spacing w:line="276" w:lineRule="auto"/>
              <w:ind w:firstLine="0"/>
              <w:contextualSpacing/>
              <w:jc w:val="left"/>
              <w:rPr>
                <w:sz w:val="24"/>
                <w:lang w:val="en-US"/>
              </w:rPr>
            </w:pPr>
          </w:p>
        </w:tc>
        <w:tc>
          <w:tcPr>
            <w:tcW w:w="1184" w:type="dxa"/>
            <w:vMerge/>
            <w:vAlign w:val="center"/>
          </w:tcPr>
          <w:p w:rsidR="00F81BC7" w:rsidRPr="006E0B9A" w:rsidRDefault="00F81BC7" w:rsidP="00CE43A3">
            <w:pPr>
              <w:widowControl/>
              <w:spacing w:line="276" w:lineRule="auto"/>
              <w:ind w:firstLine="0"/>
              <w:contextualSpacing/>
              <w:jc w:val="left"/>
              <w:rPr>
                <w:sz w:val="24"/>
                <w:lang w:val="en-US"/>
              </w:rPr>
            </w:pPr>
          </w:p>
        </w:tc>
        <w:tc>
          <w:tcPr>
            <w:tcW w:w="1184" w:type="dxa"/>
          </w:tcPr>
          <w:p w:rsidR="00F81BC7" w:rsidRPr="006E0B9A" w:rsidRDefault="00F81BC7" w:rsidP="00CE43A3">
            <w:pPr>
              <w:widowControl/>
              <w:spacing w:line="276" w:lineRule="auto"/>
              <w:ind w:firstLine="0"/>
              <w:contextualSpacing/>
              <w:jc w:val="left"/>
              <w:rPr>
                <w:sz w:val="24"/>
                <w:lang w:val="en-US"/>
              </w:rPr>
            </w:pPr>
          </w:p>
        </w:tc>
      </w:tr>
      <w:tr w:rsidR="00F81BC7" w:rsidRPr="00870CA5" w:rsidTr="00CE43A3">
        <w:trPr>
          <w:jc w:val="center"/>
        </w:trPr>
        <w:tc>
          <w:tcPr>
            <w:tcW w:w="2490" w:type="dxa"/>
            <w:gridSpan w:val="2"/>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 xml:space="preserve">3. </w:t>
            </w:r>
            <w:proofErr w:type="spellStart"/>
            <w:r w:rsidRPr="006E0B9A">
              <w:rPr>
                <w:sz w:val="24"/>
                <w:lang w:val="en-US"/>
              </w:rPr>
              <w:t>HRQoL</w:t>
            </w:r>
            <w:proofErr w:type="spellEnd"/>
            <w:r w:rsidRPr="006E0B9A">
              <w:rPr>
                <w:sz w:val="24"/>
                <w:lang w:val="en-US"/>
              </w:rPr>
              <w:t xml:space="preserve"> </w:t>
            </w:r>
          </w:p>
        </w:tc>
        <w:tc>
          <w:tcPr>
            <w:tcW w:w="1418"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 xml:space="preserve">  4.06|4.39</w:t>
            </w:r>
          </w:p>
        </w:tc>
        <w:tc>
          <w:tcPr>
            <w:tcW w:w="1417" w:type="dxa"/>
          </w:tcPr>
          <w:p w:rsidR="00F81BC7" w:rsidRPr="006E0B9A" w:rsidRDefault="00F81BC7" w:rsidP="00CE43A3">
            <w:pPr>
              <w:widowControl/>
              <w:spacing w:line="276" w:lineRule="auto"/>
              <w:ind w:firstLine="0"/>
              <w:contextualSpacing/>
              <w:jc w:val="center"/>
              <w:rPr>
                <w:sz w:val="24"/>
                <w:lang w:val="en-US"/>
              </w:rPr>
            </w:pPr>
            <w:r>
              <w:rPr>
                <w:sz w:val="24"/>
                <w:lang w:val="en-US"/>
              </w:rPr>
              <w:t>1-5</w:t>
            </w:r>
          </w:p>
        </w:tc>
        <w:tc>
          <w:tcPr>
            <w:tcW w:w="1417"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 xml:space="preserve">    .67|.53</w:t>
            </w:r>
          </w:p>
        </w:tc>
        <w:tc>
          <w:tcPr>
            <w:tcW w:w="992"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.83|.81</w:t>
            </w:r>
          </w:p>
        </w:tc>
        <w:tc>
          <w:tcPr>
            <w:tcW w:w="1559"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 xml:space="preserve">  .30</w:t>
            </w:r>
            <w:r w:rsidRPr="006E0B9A">
              <w:rPr>
                <w:sz w:val="24"/>
                <w:vertAlign w:val="superscript"/>
                <w:lang w:val="en-US"/>
              </w:rPr>
              <w:t>**</w:t>
            </w:r>
            <w:r w:rsidRPr="006E0B9A">
              <w:rPr>
                <w:sz w:val="24"/>
                <w:lang w:val="en-US"/>
              </w:rPr>
              <w:t>|.26</w:t>
            </w:r>
            <w:r w:rsidRPr="006E0B9A">
              <w:rPr>
                <w:sz w:val="24"/>
                <w:vertAlign w:val="superscript"/>
                <w:lang w:val="en-US"/>
              </w:rPr>
              <w:t>**</w:t>
            </w:r>
          </w:p>
        </w:tc>
        <w:tc>
          <w:tcPr>
            <w:tcW w:w="1559"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-.57</w:t>
            </w:r>
            <w:r w:rsidRPr="006E0B9A">
              <w:rPr>
                <w:sz w:val="24"/>
                <w:vertAlign w:val="superscript"/>
                <w:lang w:val="en-US"/>
              </w:rPr>
              <w:t>***</w:t>
            </w:r>
            <w:r w:rsidRPr="006E0B9A">
              <w:rPr>
                <w:sz w:val="24"/>
                <w:lang w:val="en-US"/>
              </w:rPr>
              <w:t>|-.38</w:t>
            </w:r>
            <w:r w:rsidRPr="006E0B9A">
              <w:rPr>
                <w:sz w:val="24"/>
                <w:vertAlign w:val="superscript"/>
                <w:lang w:val="en-US"/>
              </w:rPr>
              <w:t>***</w:t>
            </w:r>
          </w:p>
        </w:tc>
        <w:tc>
          <w:tcPr>
            <w:tcW w:w="1276" w:type="dxa"/>
            <w:vAlign w:val="center"/>
          </w:tcPr>
          <w:p w:rsidR="00F81BC7" w:rsidRPr="006E0B9A" w:rsidRDefault="00F81BC7" w:rsidP="00CE43A3">
            <w:pPr>
              <w:widowControl/>
              <w:spacing w:line="276" w:lineRule="auto"/>
              <w:ind w:firstLine="0"/>
              <w:contextualSpacing/>
              <w:jc w:val="left"/>
              <w:rPr>
                <w:sz w:val="24"/>
                <w:lang w:val="en-US"/>
              </w:rPr>
            </w:pPr>
          </w:p>
        </w:tc>
        <w:tc>
          <w:tcPr>
            <w:tcW w:w="1134" w:type="dxa"/>
            <w:vAlign w:val="center"/>
          </w:tcPr>
          <w:p w:rsidR="00F81BC7" w:rsidRPr="006E0B9A" w:rsidRDefault="00F81BC7" w:rsidP="00CE43A3">
            <w:pPr>
              <w:widowControl/>
              <w:spacing w:line="276" w:lineRule="auto"/>
              <w:ind w:firstLine="0"/>
              <w:contextualSpacing/>
              <w:jc w:val="left"/>
              <w:rPr>
                <w:sz w:val="24"/>
                <w:lang w:val="en-US"/>
              </w:rPr>
            </w:pPr>
          </w:p>
        </w:tc>
        <w:tc>
          <w:tcPr>
            <w:tcW w:w="1184" w:type="dxa"/>
            <w:vMerge/>
            <w:vAlign w:val="center"/>
          </w:tcPr>
          <w:p w:rsidR="00F81BC7" w:rsidRPr="006E0B9A" w:rsidRDefault="00F81BC7" w:rsidP="00CE43A3">
            <w:pPr>
              <w:widowControl/>
              <w:spacing w:line="276" w:lineRule="auto"/>
              <w:ind w:firstLine="0"/>
              <w:contextualSpacing/>
              <w:jc w:val="left"/>
              <w:rPr>
                <w:sz w:val="24"/>
                <w:lang w:val="en-US"/>
              </w:rPr>
            </w:pPr>
          </w:p>
        </w:tc>
        <w:tc>
          <w:tcPr>
            <w:tcW w:w="1184" w:type="dxa"/>
          </w:tcPr>
          <w:p w:rsidR="00F81BC7" w:rsidRPr="006E0B9A" w:rsidRDefault="00F81BC7" w:rsidP="00CE43A3">
            <w:pPr>
              <w:widowControl/>
              <w:spacing w:line="276" w:lineRule="auto"/>
              <w:ind w:firstLine="0"/>
              <w:contextualSpacing/>
              <w:jc w:val="left"/>
              <w:rPr>
                <w:sz w:val="24"/>
                <w:lang w:val="en-US"/>
              </w:rPr>
            </w:pPr>
          </w:p>
        </w:tc>
      </w:tr>
      <w:tr w:rsidR="00F81BC7" w:rsidRPr="00870CA5" w:rsidTr="00CE43A3">
        <w:trPr>
          <w:jc w:val="center"/>
        </w:trPr>
        <w:tc>
          <w:tcPr>
            <w:tcW w:w="2490" w:type="dxa"/>
            <w:gridSpan w:val="2"/>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4. Age</w:t>
            </w:r>
          </w:p>
        </w:tc>
        <w:tc>
          <w:tcPr>
            <w:tcW w:w="1418"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12.96|13.57</w:t>
            </w:r>
          </w:p>
        </w:tc>
        <w:tc>
          <w:tcPr>
            <w:tcW w:w="1417" w:type="dxa"/>
          </w:tcPr>
          <w:p w:rsidR="00F81BC7" w:rsidRPr="006E0B9A" w:rsidRDefault="00F81BC7" w:rsidP="00CE43A3">
            <w:pPr>
              <w:widowControl/>
              <w:spacing w:line="276" w:lineRule="auto"/>
              <w:ind w:firstLine="0"/>
              <w:contextualSpacing/>
              <w:jc w:val="center"/>
              <w:rPr>
                <w:sz w:val="24"/>
                <w:lang w:val="en-US"/>
              </w:rPr>
            </w:pPr>
            <w:r>
              <w:rPr>
                <w:sz w:val="24"/>
                <w:lang w:val="en-US"/>
              </w:rPr>
              <w:t>-</w:t>
            </w:r>
          </w:p>
        </w:tc>
        <w:tc>
          <w:tcPr>
            <w:tcW w:w="1417"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 xml:space="preserve">  3.51|3.59</w:t>
            </w:r>
          </w:p>
        </w:tc>
        <w:tc>
          <w:tcPr>
            <w:tcW w:w="992" w:type="dxa"/>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w:t>
            </w:r>
          </w:p>
        </w:tc>
        <w:tc>
          <w:tcPr>
            <w:tcW w:w="1559"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 xml:space="preserve">  .03|.15</w:t>
            </w:r>
          </w:p>
        </w:tc>
        <w:tc>
          <w:tcPr>
            <w:tcW w:w="1559"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 xml:space="preserve"> .01|-.09</w:t>
            </w:r>
          </w:p>
        </w:tc>
        <w:tc>
          <w:tcPr>
            <w:tcW w:w="1276"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-.15|.03</w:t>
            </w:r>
          </w:p>
        </w:tc>
        <w:tc>
          <w:tcPr>
            <w:tcW w:w="1134" w:type="dxa"/>
            <w:vAlign w:val="center"/>
          </w:tcPr>
          <w:p w:rsidR="00F81BC7" w:rsidRPr="006E0B9A" w:rsidRDefault="00F81BC7" w:rsidP="00CE43A3">
            <w:pPr>
              <w:widowControl/>
              <w:spacing w:line="276" w:lineRule="auto"/>
              <w:ind w:firstLine="0"/>
              <w:contextualSpacing/>
              <w:jc w:val="left"/>
              <w:rPr>
                <w:sz w:val="24"/>
                <w:lang w:val="en-US"/>
              </w:rPr>
            </w:pPr>
          </w:p>
        </w:tc>
        <w:tc>
          <w:tcPr>
            <w:tcW w:w="1184" w:type="dxa"/>
            <w:vMerge/>
            <w:vAlign w:val="center"/>
          </w:tcPr>
          <w:p w:rsidR="00F81BC7" w:rsidRPr="006E0B9A" w:rsidRDefault="00F81BC7" w:rsidP="00CE43A3">
            <w:pPr>
              <w:widowControl/>
              <w:spacing w:line="276" w:lineRule="auto"/>
              <w:ind w:firstLine="0"/>
              <w:contextualSpacing/>
              <w:jc w:val="left"/>
              <w:rPr>
                <w:sz w:val="24"/>
                <w:lang w:val="en-US"/>
              </w:rPr>
            </w:pPr>
          </w:p>
        </w:tc>
        <w:tc>
          <w:tcPr>
            <w:tcW w:w="1184" w:type="dxa"/>
          </w:tcPr>
          <w:p w:rsidR="00F81BC7" w:rsidRPr="006E0B9A" w:rsidRDefault="00F81BC7" w:rsidP="00CE43A3">
            <w:pPr>
              <w:widowControl/>
              <w:spacing w:line="276" w:lineRule="auto"/>
              <w:ind w:firstLine="0"/>
              <w:contextualSpacing/>
              <w:jc w:val="left"/>
              <w:rPr>
                <w:sz w:val="24"/>
                <w:lang w:val="en-US"/>
              </w:rPr>
            </w:pPr>
          </w:p>
        </w:tc>
      </w:tr>
      <w:tr w:rsidR="00F81BC7" w:rsidRPr="00870CA5" w:rsidTr="00CE43A3">
        <w:trPr>
          <w:jc w:val="center"/>
        </w:trPr>
        <w:tc>
          <w:tcPr>
            <w:tcW w:w="2490" w:type="dxa"/>
            <w:gridSpan w:val="2"/>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5. Gender</w:t>
            </w:r>
          </w:p>
        </w:tc>
        <w:tc>
          <w:tcPr>
            <w:tcW w:w="1418" w:type="dxa"/>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w:t>
            </w:r>
          </w:p>
        </w:tc>
        <w:tc>
          <w:tcPr>
            <w:tcW w:w="1417" w:type="dxa"/>
          </w:tcPr>
          <w:p w:rsidR="00F81BC7" w:rsidRPr="006E0B9A" w:rsidRDefault="00F81BC7" w:rsidP="00CE43A3">
            <w:pPr>
              <w:widowControl/>
              <w:spacing w:line="276" w:lineRule="auto"/>
              <w:ind w:firstLine="0"/>
              <w:contextualSpacing/>
              <w:jc w:val="center"/>
              <w:rPr>
                <w:sz w:val="24"/>
                <w:lang w:val="en-US"/>
              </w:rPr>
            </w:pPr>
            <w:r>
              <w:rPr>
                <w:sz w:val="24"/>
                <w:lang w:val="en-US"/>
              </w:rPr>
              <w:t>-</w:t>
            </w:r>
          </w:p>
        </w:tc>
        <w:tc>
          <w:tcPr>
            <w:tcW w:w="1417" w:type="dxa"/>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w:t>
            </w:r>
          </w:p>
        </w:tc>
        <w:tc>
          <w:tcPr>
            <w:tcW w:w="992" w:type="dxa"/>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w:t>
            </w:r>
          </w:p>
        </w:tc>
        <w:tc>
          <w:tcPr>
            <w:tcW w:w="1559"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 xml:space="preserve"> -.05|-.13</w:t>
            </w:r>
          </w:p>
        </w:tc>
        <w:tc>
          <w:tcPr>
            <w:tcW w:w="1559"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 xml:space="preserve"> .26</w:t>
            </w:r>
            <w:r w:rsidRPr="006E0B9A">
              <w:rPr>
                <w:sz w:val="24"/>
                <w:vertAlign w:val="superscript"/>
                <w:lang w:val="en-US"/>
              </w:rPr>
              <w:t>**</w:t>
            </w:r>
            <w:r w:rsidRPr="006E0B9A">
              <w:rPr>
                <w:sz w:val="24"/>
                <w:lang w:val="en-US"/>
              </w:rPr>
              <w:t>|.09</w:t>
            </w:r>
          </w:p>
        </w:tc>
        <w:tc>
          <w:tcPr>
            <w:tcW w:w="1276"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-.16|-.02</w:t>
            </w:r>
          </w:p>
        </w:tc>
        <w:tc>
          <w:tcPr>
            <w:tcW w:w="1134"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.21</w:t>
            </w:r>
            <w:r w:rsidRPr="006E0B9A">
              <w:rPr>
                <w:sz w:val="24"/>
                <w:vertAlign w:val="superscript"/>
                <w:lang w:val="en-US"/>
              </w:rPr>
              <w:t>*</w:t>
            </w:r>
            <w:r>
              <w:rPr>
                <w:sz w:val="24"/>
                <w:lang w:val="en-US"/>
              </w:rPr>
              <w:t>|</w:t>
            </w:r>
            <w:r w:rsidRPr="006E0B9A">
              <w:rPr>
                <w:sz w:val="24"/>
                <w:lang w:val="en-US"/>
              </w:rPr>
              <w:t>-.00</w:t>
            </w:r>
          </w:p>
        </w:tc>
        <w:tc>
          <w:tcPr>
            <w:tcW w:w="1184" w:type="dxa"/>
            <w:vMerge/>
            <w:vAlign w:val="center"/>
          </w:tcPr>
          <w:p w:rsidR="00F81BC7" w:rsidRPr="006E0B9A" w:rsidRDefault="00F81BC7" w:rsidP="00CE43A3">
            <w:pPr>
              <w:widowControl/>
              <w:spacing w:line="276" w:lineRule="auto"/>
              <w:ind w:firstLine="0"/>
              <w:contextualSpacing/>
              <w:jc w:val="left"/>
              <w:rPr>
                <w:sz w:val="24"/>
                <w:lang w:val="en-US"/>
              </w:rPr>
            </w:pPr>
          </w:p>
        </w:tc>
        <w:tc>
          <w:tcPr>
            <w:tcW w:w="1184" w:type="dxa"/>
          </w:tcPr>
          <w:p w:rsidR="00F81BC7" w:rsidRPr="006E0B9A" w:rsidRDefault="00F81BC7" w:rsidP="00CE43A3">
            <w:pPr>
              <w:widowControl/>
              <w:spacing w:line="276" w:lineRule="auto"/>
              <w:ind w:firstLine="0"/>
              <w:contextualSpacing/>
              <w:jc w:val="left"/>
              <w:rPr>
                <w:sz w:val="24"/>
                <w:lang w:val="en-US"/>
              </w:rPr>
            </w:pPr>
          </w:p>
        </w:tc>
      </w:tr>
      <w:tr w:rsidR="00F81BC7" w:rsidRPr="00870CA5" w:rsidTr="00CE43A3">
        <w:trPr>
          <w:jc w:val="center"/>
        </w:trPr>
        <w:tc>
          <w:tcPr>
            <w:tcW w:w="2490" w:type="dxa"/>
            <w:gridSpan w:val="2"/>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6. Time since diagnosis</w:t>
            </w:r>
          </w:p>
        </w:tc>
        <w:tc>
          <w:tcPr>
            <w:tcW w:w="1418"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17.36</w:t>
            </w:r>
            <w:r>
              <w:rPr>
                <w:sz w:val="24"/>
                <w:lang w:val="en-US"/>
              </w:rPr>
              <w:t>|</w:t>
            </w:r>
            <w:r w:rsidRPr="006E0B9A">
              <w:rPr>
                <w:sz w:val="24"/>
                <w:lang w:val="en-US"/>
              </w:rPr>
              <w:t>36.77</w:t>
            </w:r>
          </w:p>
        </w:tc>
        <w:tc>
          <w:tcPr>
            <w:tcW w:w="1417" w:type="dxa"/>
          </w:tcPr>
          <w:p w:rsidR="00F81BC7" w:rsidRPr="006E0B9A" w:rsidRDefault="00F81BC7" w:rsidP="00CE43A3">
            <w:pPr>
              <w:widowControl/>
              <w:spacing w:line="276" w:lineRule="auto"/>
              <w:ind w:firstLine="0"/>
              <w:contextualSpacing/>
              <w:jc w:val="center"/>
              <w:rPr>
                <w:sz w:val="24"/>
                <w:lang w:val="en-US"/>
              </w:rPr>
            </w:pPr>
            <w:r>
              <w:rPr>
                <w:sz w:val="24"/>
                <w:lang w:val="en-US"/>
              </w:rPr>
              <w:t>-</w:t>
            </w:r>
          </w:p>
        </w:tc>
        <w:tc>
          <w:tcPr>
            <w:tcW w:w="1417"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21.18</w:t>
            </w:r>
            <w:r>
              <w:rPr>
                <w:sz w:val="24"/>
                <w:lang w:val="en-US"/>
              </w:rPr>
              <w:t>|</w:t>
            </w:r>
            <w:r w:rsidRPr="006E0B9A">
              <w:rPr>
                <w:sz w:val="24"/>
                <w:lang w:val="en-US"/>
              </w:rPr>
              <w:t>24.12</w:t>
            </w:r>
          </w:p>
        </w:tc>
        <w:tc>
          <w:tcPr>
            <w:tcW w:w="992" w:type="dxa"/>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w:t>
            </w:r>
          </w:p>
        </w:tc>
        <w:tc>
          <w:tcPr>
            <w:tcW w:w="1559"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 xml:space="preserve"> -.04|-.06</w:t>
            </w:r>
          </w:p>
        </w:tc>
        <w:tc>
          <w:tcPr>
            <w:tcW w:w="1559"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-.10|.01</w:t>
            </w:r>
          </w:p>
        </w:tc>
        <w:tc>
          <w:tcPr>
            <w:tcW w:w="1276"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 xml:space="preserve"> .19</w:t>
            </w:r>
            <w:r>
              <w:rPr>
                <w:sz w:val="24"/>
                <w:lang w:val="en-US"/>
              </w:rPr>
              <w:t>|</w:t>
            </w:r>
            <w:r w:rsidRPr="006E0B9A">
              <w:rPr>
                <w:sz w:val="24"/>
                <w:lang w:val="en-US"/>
              </w:rPr>
              <w:t>.22</w:t>
            </w:r>
            <w:r w:rsidRPr="006E0B9A">
              <w:rPr>
                <w:sz w:val="24"/>
                <w:vertAlign w:val="superscript"/>
                <w:lang w:val="en-US"/>
              </w:rPr>
              <w:t>*</w:t>
            </w:r>
          </w:p>
        </w:tc>
        <w:tc>
          <w:tcPr>
            <w:tcW w:w="1134"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.17</w:t>
            </w:r>
            <w:r>
              <w:rPr>
                <w:sz w:val="24"/>
                <w:lang w:val="en-US"/>
              </w:rPr>
              <w:t>|</w:t>
            </w:r>
            <w:r w:rsidRPr="006E0B9A">
              <w:rPr>
                <w:sz w:val="24"/>
                <w:lang w:val="en-US"/>
              </w:rPr>
              <w:t>-.03</w:t>
            </w:r>
          </w:p>
        </w:tc>
        <w:tc>
          <w:tcPr>
            <w:tcW w:w="1184" w:type="dxa"/>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.04</w:t>
            </w:r>
            <w:r>
              <w:rPr>
                <w:sz w:val="24"/>
                <w:lang w:val="en-US"/>
              </w:rPr>
              <w:t>|</w:t>
            </w:r>
            <w:r w:rsidRPr="006E0B9A">
              <w:rPr>
                <w:sz w:val="24"/>
                <w:lang w:val="en-US"/>
              </w:rPr>
              <w:t>-.23</w:t>
            </w:r>
            <w:r w:rsidRPr="006E0B9A">
              <w:rPr>
                <w:sz w:val="24"/>
                <w:vertAlign w:val="superscript"/>
                <w:lang w:val="en-US"/>
              </w:rPr>
              <w:t>*</w:t>
            </w:r>
          </w:p>
        </w:tc>
        <w:tc>
          <w:tcPr>
            <w:tcW w:w="1184" w:type="dxa"/>
          </w:tcPr>
          <w:p w:rsidR="00F81BC7" w:rsidRPr="006E0B9A" w:rsidRDefault="00F81BC7" w:rsidP="00CE43A3">
            <w:pPr>
              <w:widowControl/>
              <w:spacing w:line="276" w:lineRule="auto"/>
              <w:ind w:firstLine="0"/>
              <w:contextualSpacing/>
              <w:jc w:val="left"/>
              <w:rPr>
                <w:sz w:val="24"/>
                <w:lang w:val="en-US"/>
              </w:rPr>
            </w:pPr>
          </w:p>
        </w:tc>
      </w:tr>
      <w:tr w:rsidR="00F81BC7" w:rsidRPr="00870CA5" w:rsidTr="00CE43A3">
        <w:trPr>
          <w:jc w:val="center"/>
        </w:trPr>
        <w:tc>
          <w:tcPr>
            <w:tcW w:w="2490" w:type="dxa"/>
            <w:gridSpan w:val="2"/>
            <w:tcBorders>
              <w:bottom w:val="single" w:sz="4" w:space="0" w:color="auto"/>
            </w:tcBorders>
            <w:vAlign w:val="center"/>
          </w:tcPr>
          <w:p w:rsidR="00F81BC7" w:rsidRPr="006E0B9A" w:rsidRDefault="00F81BC7" w:rsidP="00CE43A3">
            <w:pPr>
              <w:widowControl/>
              <w:spacing w:line="276" w:lineRule="auto"/>
              <w:ind w:firstLine="0"/>
              <w:contextualSpacing/>
              <w:jc w:val="left"/>
              <w:rPr>
                <w:sz w:val="24"/>
                <w:lang w:val="en-US"/>
              </w:rPr>
            </w:pPr>
            <w:r>
              <w:rPr>
                <w:sz w:val="24"/>
                <w:lang w:val="en-US"/>
              </w:rPr>
              <w:t>7. Time off-treatment</w:t>
            </w:r>
          </w:p>
        </w:tc>
        <w:tc>
          <w:tcPr>
            <w:tcW w:w="1418" w:type="dxa"/>
            <w:tcBorders>
              <w:bottom w:val="single" w:sz="4" w:space="0" w:color="auto"/>
            </w:tcBorders>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 xml:space="preserve">       -|18.94</w:t>
            </w:r>
          </w:p>
        </w:tc>
        <w:tc>
          <w:tcPr>
            <w:tcW w:w="1417" w:type="dxa"/>
            <w:tcBorders>
              <w:bottom w:val="single" w:sz="4" w:space="0" w:color="auto"/>
            </w:tcBorders>
          </w:tcPr>
          <w:p w:rsidR="00F81BC7" w:rsidRDefault="00F81BC7" w:rsidP="00CE43A3">
            <w:pPr>
              <w:widowControl/>
              <w:spacing w:line="276" w:lineRule="auto"/>
              <w:ind w:firstLine="0"/>
              <w:contextualSpacing/>
              <w:jc w:val="center"/>
              <w:rPr>
                <w:sz w:val="24"/>
                <w:lang w:val="en-US"/>
              </w:rPr>
            </w:pPr>
            <w:r>
              <w:rPr>
                <w:sz w:val="24"/>
                <w:lang w:val="en-US"/>
              </w:rPr>
              <w:t>-</w:t>
            </w:r>
          </w:p>
        </w:tc>
        <w:tc>
          <w:tcPr>
            <w:tcW w:w="1417" w:type="dxa"/>
            <w:tcBorders>
              <w:bottom w:val="single" w:sz="4" w:space="0" w:color="auto"/>
            </w:tcBorders>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 xml:space="preserve">       -|14.45</w:t>
            </w:r>
          </w:p>
        </w:tc>
        <w:tc>
          <w:tcPr>
            <w:tcW w:w="992" w:type="dxa"/>
            <w:tcBorders>
              <w:bottom w:val="single" w:sz="4" w:space="0" w:color="auto"/>
            </w:tcBorders>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w:t>
            </w:r>
          </w:p>
        </w:tc>
        <w:tc>
          <w:tcPr>
            <w:tcW w:w="1559" w:type="dxa"/>
            <w:tcBorders>
              <w:bottom w:val="single" w:sz="4" w:space="0" w:color="auto"/>
            </w:tcBorders>
            <w:vAlign w:val="center"/>
          </w:tcPr>
          <w:p w:rsidR="00F81BC7" w:rsidRPr="006E0B9A" w:rsidRDefault="00F81BC7" w:rsidP="00CE43A3">
            <w:pPr>
              <w:widowControl/>
              <w:spacing w:line="276" w:lineRule="auto"/>
              <w:ind w:firstLine="0"/>
              <w:contextualSpacing/>
              <w:rPr>
                <w:sz w:val="24"/>
                <w:lang w:val="en-US"/>
              </w:rPr>
            </w:pPr>
            <w:r>
              <w:rPr>
                <w:sz w:val="24"/>
                <w:lang w:val="en-US"/>
              </w:rPr>
              <w:t xml:space="preserve">      -|-.07</w:t>
            </w:r>
          </w:p>
        </w:tc>
        <w:tc>
          <w:tcPr>
            <w:tcW w:w="1559" w:type="dxa"/>
            <w:tcBorders>
              <w:bottom w:val="single" w:sz="4" w:space="0" w:color="auto"/>
            </w:tcBorders>
            <w:vAlign w:val="center"/>
          </w:tcPr>
          <w:p w:rsidR="00F81BC7" w:rsidRPr="006E0B9A" w:rsidRDefault="00F81BC7" w:rsidP="00CE43A3">
            <w:pPr>
              <w:widowControl/>
              <w:spacing w:line="276" w:lineRule="auto"/>
              <w:ind w:firstLine="0"/>
              <w:contextualSpacing/>
              <w:rPr>
                <w:sz w:val="24"/>
                <w:lang w:val="en-US"/>
              </w:rPr>
            </w:pPr>
            <w:r>
              <w:rPr>
                <w:sz w:val="24"/>
                <w:lang w:val="en-US"/>
              </w:rPr>
              <w:t xml:space="preserve">     -|.13</w:t>
            </w:r>
          </w:p>
        </w:tc>
        <w:tc>
          <w:tcPr>
            <w:tcW w:w="1276" w:type="dxa"/>
            <w:tcBorders>
              <w:bottom w:val="single" w:sz="4" w:space="0" w:color="auto"/>
            </w:tcBorders>
            <w:vAlign w:val="center"/>
          </w:tcPr>
          <w:p w:rsidR="00F81BC7" w:rsidRPr="006E0B9A" w:rsidRDefault="00F81BC7" w:rsidP="00CE43A3">
            <w:pPr>
              <w:widowControl/>
              <w:spacing w:line="276" w:lineRule="auto"/>
              <w:ind w:firstLine="0"/>
              <w:contextualSpacing/>
              <w:rPr>
                <w:sz w:val="24"/>
                <w:lang w:val="en-US"/>
              </w:rPr>
            </w:pPr>
            <w:r>
              <w:rPr>
                <w:sz w:val="24"/>
                <w:lang w:val="en-US"/>
              </w:rPr>
              <w:t xml:space="preserve">     -|.10</w:t>
            </w:r>
          </w:p>
        </w:tc>
        <w:tc>
          <w:tcPr>
            <w:tcW w:w="1134" w:type="dxa"/>
            <w:tcBorders>
              <w:bottom w:val="single" w:sz="4" w:space="0" w:color="auto"/>
            </w:tcBorders>
            <w:vAlign w:val="center"/>
          </w:tcPr>
          <w:p w:rsidR="00F81BC7" w:rsidRPr="006E0B9A" w:rsidRDefault="00F81BC7" w:rsidP="00CE43A3">
            <w:pPr>
              <w:widowControl/>
              <w:spacing w:line="276" w:lineRule="auto"/>
              <w:ind w:firstLine="0"/>
              <w:contextualSpacing/>
              <w:rPr>
                <w:sz w:val="24"/>
                <w:lang w:val="en-US"/>
              </w:rPr>
            </w:pPr>
            <w:r>
              <w:rPr>
                <w:sz w:val="24"/>
                <w:lang w:val="en-US"/>
              </w:rPr>
              <w:t xml:space="preserve">    -|.05</w:t>
            </w:r>
          </w:p>
        </w:tc>
        <w:tc>
          <w:tcPr>
            <w:tcW w:w="1184" w:type="dxa"/>
            <w:tcBorders>
              <w:bottom w:val="single" w:sz="4" w:space="0" w:color="auto"/>
            </w:tcBorders>
            <w:vAlign w:val="center"/>
          </w:tcPr>
          <w:p w:rsidR="00F81BC7" w:rsidRPr="006E0B9A" w:rsidRDefault="00F81BC7" w:rsidP="00CE43A3">
            <w:pPr>
              <w:widowControl/>
              <w:spacing w:line="276" w:lineRule="auto"/>
              <w:ind w:firstLine="0"/>
              <w:contextualSpacing/>
              <w:rPr>
                <w:sz w:val="24"/>
                <w:lang w:val="en-US"/>
              </w:rPr>
            </w:pPr>
            <w:r>
              <w:rPr>
                <w:sz w:val="24"/>
                <w:lang w:val="en-US"/>
              </w:rPr>
              <w:t xml:space="preserve">    -|-.06</w:t>
            </w:r>
          </w:p>
        </w:tc>
        <w:tc>
          <w:tcPr>
            <w:tcW w:w="1184" w:type="dxa"/>
            <w:tcBorders>
              <w:bottom w:val="single" w:sz="4" w:space="0" w:color="auto"/>
            </w:tcBorders>
          </w:tcPr>
          <w:p w:rsidR="00F81BC7" w:rsidRDefault="00F81BC7" w:rsidP="00CE43A3">
            <w:pPr>
              <w:widowControl/>
              <w:spacing w:line="276" w:lineRule="auto"/>
              <w:ind w:firstLine="0"/>
              <w:contextualSpacing/>
              <w:rPr>
                <w:sz w:val="24"/>
                <w:lang w:val="en-US"/>
              </w:rPr>
            </w:pPr>
            <w:r>
              <w:rPr>
                <w:sz w:val="24"/>
                <w:lang w:val="en-US"/>
              </w:rPr>
              <w:t xml:space="preserve">     -|.61</w:t>
            </w:r>
            <w:r w:rsidRPr="006E0B9A">
              <w:rPr>
                <w:sz w:val="24"/>
                <w:vertAlign w:val="superscript"/>
                <w:lang w:val="en-US"/>
              </w:rPr>
              <w:t>**</w:t>
            </w:r>
          </w:p>
        </w:tc>
      </w:tr>
      <w:tr w:rsidR="00F81BC7" w:rsidRPr="00870CA5" w:rsidTr="00CE43A3">
        <w:trPr>
          <w:trHeight w:val="567"/>
          <w:jc w:val="center"/>
        </w:trPr>
        <w:tc>
          <w:tcPr>
            <w:tcW w:w="1417" w:type="dxa"/>
            <w:tcBorders>
              <w:top w:val="single" w:sz="4" w:space="0" w:color="auto"/>
            </w:tcBorders>
          </w:tcPr>
          <w:p w:rsidR="00F81BC7" w:rsidRPr="00870CA5" w:rsidRDefault="00F81BC7" w:rsidP="00CE43A3">
            <w:pPr>
              <w:spacing w:line="276" w:lineRule="auto"/>
              <w:ind w:firstLine="0"/>
              <w:rPr>
                <w:i/>
                <w:sz w:val="24"/>
                <w:lang w:val="en-US"/>
              </w:rPr>
            </w:pPr>
          </w:p>
        </w:tc>
        <w:tc>
          <w:tcPr>
            <w:tcW w:w="13029" w:type="dxa"/>
            <w:gridSpan w:val="10"/>
            <w:tcBorders>
              <w:top w:val="single" w:sz="4" w:space="0" w:color="auto"/>
            </w:tcBorders>
            <w:vAlign w:val="center"/>
          </w:tcPr>
          <w:p w:rsidR="00F81BC7" w:rsidRPr="00870CA5" w:rsidRDefault="00F81BC7" w:rsidP="00CE43A3">
            <w:pPr>
              <w:spacing w:line="276" w:lineRule="auto"/>
              <w:ind w:firstLine="0"/>
              <w:rPr>
                <w:sz w:val="24"/>
                <w:lang w:val="en-US"/>
              </w:rPr>
            </w:pPr>
            <w:r w:rsidRPr="00870CA5">
              <w:rPr>
                <w:i/>
                <w:sz w:val="24"/>
                <w:lang w:val="en-US"/>
              </w:rPr>
              <w:t xml:space="preserve">Note. </w:t>
            </w:r>
            <w:r w:rsidRPr="00870CA5">
              <w:rPr>
                <w:sz w:val="24"/>
                <w:vertAlign w:val="superscript"/>
                <w:lang w:val="en-US"/>
              </w:rPr>
              <w:t xml:space="preserve">* </w:t>
            </w:r>
            <w:proofErr w:type="gramStart"/>
            <w:r w:rsidRPr="00870CA5">
              <w:rPr>
                <w:i/>
                <w:sz w:val="24"/>
                <w:lang w:val="en-US"/>
              </w:rPr>
              <w:t>p</w:t>
            </w:r>
            <w:proofErr w:type="gramEnd"/>
            <w:r w:rsidRPr="00870CA5">
              <w:rPr>
                <w:i/>
                <w:sz w:val="24"/>
                <w:lang w:val="en-US"/>
              </w:rPr>
              <w:t xml:space="preserve"> </w:t>
            </w:r>
            <w:r w:rsidRPr="00870CA5">
              <w:rPr>
                <w:sz w:val="24"/>
                <w:lang w:val="en-US"/>
              </w:rPr>
              <w:t xml:space="preserve">&lt; .05. </w:t>
            </w:r>
            <w:r w:rsidRPr="00870CA5">
              <w:rPr>
                <w:sz w:val="24"/>
                <w:vertAlign w:val="superscript"/>
                <w:lang w:val="en-US"/>
              </w:rPr>
              <w:t xml:space="preserve">** </w:t>
            </w:r>
            <w:proofErr w:type="gramStart"/>
            <w:r w:rsidRPr="00870CA5">
              <w:rPr>
                <w:i/>
                <w:sz w:val="24"/>
                <w:lang w:val="en-US"/>
              </w:rPr>
              <w:t>p</w:t>
            </w:r>
            <w:proofErr w:type="gramEnd"/>
            <w:r w:rsidRPr="00870CA5">
              <w:rPr>
                <w:i/>
                <w:sz w:val="24"/>
                <w:lang w:val="en-US"/>
              </w:rPr>
              <w:t xml:space="preserve"> </w:t>
            </w:r>
            <w:r w:rsidRPr="00870CA5">
              <w:rPr>
                <w:sz w:val="24"/>
                <w:lang w:val="en-US"/>
              </w:rPr>
              <w:t xml:space="preserve">&lt; .01. </w:t>
            </w:r>
            <w:r w:rsidRPr="00870CA5">
              <w:rPr>
                <w:sz w:val="24"/>
                <w:vertAlign w:val="superscript"/>
                <w:lang w:val="en-US"/>
              </w:rPr>
              <w:t xml:space="preserve">*** </w:t>
            </w:r>
            <w:proofErr w:type="gramStart"/>
            <w:r w:rsidRPr="00870CA5">
              <w:rPr>
                <w:i/>
                <w:sz w:val="24"/>
                <w:lang w:val="en-US"/>
              </w:rPr>
              <w:t>p</w:t>
            </w:r>
            <w:proofErr w:type="gramEnd"/>
            <w:r w:rsidRPr="00870CA5">
              <w:rPr>
                <w:i/>
                <w:sz w:val="24"/>
                <w:lang w:val="en-US"/>
              </w:rPr>
              <w:t xml:space="preserve"> </w:t>
            </w:r>
            <w:r w:rsidRPr="00870CA5">
              <w:rPr>
                <w:sz w:val="24"/>
                <w:lang w:val="en-US"/>
              </w:rPr>
              <w:t>&lt; .001.</w:t>
            </w:r>
          </w:p>
        </w:tc>
        <w:tc>
          <w:tcPr>
            <w:tcW w:w="1184" w:type="dxa"/>
            <w:tcBorders>
              <w:top w:val="single" w:sz="4" w:space="0" w:color="auto"/>
            </w:tcBorders>
          </w:tcPr>
          <w:p w:rsidR="00F81BC7" w:rsidRPr="00870CA5" w:rsidRDefault="00F81BC7" w:rsidP="00CE43A3">
            <w:pPr>
              <w:spacing w:line="276" w:lineRule="auto"/>
              <w:ind w:firstLine="0"/>
              <w:rPr>
                <w:i/>
                <w:sz w:val="24"/>
                <w:lang w:val="en-US"/>
              </w:rPr>
            </w:pPr>
          </w:p>
        </w:tc>
      </w:tr>
    </w:tbl>
    <w:p w:rsidR="00F81BC7" w:rsidRDefault="00F81BC7" w:rsidP="00F81BC7"/>
    <w:p w:rsidR="00F81BC7" w:rsidRPr="00A54A7B" w:rsidRDefault="00F81BC7" w:rsidP="00F81BC7">
      <w:pPr>
        <w:rPr>
          <w:lang w:val="en-US"/>
        </w:rPr>
      </w:pPr>
    </w:p>
    <w:p w:rsidR="00F81BC7" w:rsidRDefault="00F81BC7" w:rsidP="00F81BC7"/>
    <w:p w:rsidR="00F81BC7" w:rsidRDefault="00F81BC7" w:rsidP="00F81BC7">
      <w:pPr>
        <w:widowControl/>
        <w:spacing w:line="276" w:lineRule="auto"/>
        <w:ind w:firstLine="0"/>
        <w:rPr>
          <w:szCs w:val="20"/>
          <w:lang w:val="en-US"/>
        </w:rPr>
        <w:sectPr w:rsidR="00F81BC7" w:rsidSect="007E1DCE">
          <w:pgSz w:w="16838" w:h="11906" w:orient="landscape"/>
          <w:pgMar w:top="1701" w:right="1417" w:bottom="1701" w:left="1417" w:header="708" w:footer="708" w:gutter="0"/>
          <w:cols w:space="708"/>
          <w:docGrid w:linePitch="360"/>
        </w:sectPr>
      </w:pPr>
    </w:p>
    <w:p w:rsidR="00F81BC7" w:rsidRPr="00870CA5" w:rsidRDefault="00F81BC7" w:rsidP="00F81BC7">
      <w:pPr>
        <w:widowControl/>
        <w:spacing w:line="276" w:lineRule="auto"/>
        <w:ind w:firstLine="0"/>
        <w:contextualSpacing/>
        <w:jc w:val="left"/>
        <w:rPr>
          <w:rFonts w:eastAsia="Calibri"/>
          <w:b/>
          <w:sz w:val="24"/>
          <w:lang w:val="en-US"/>
        </w:rPr>
      </w:pPr>
      <w:r w:rsidRPr="00870CA5">
        <w:rPr>
          <w:rFonts w:eastAsia="Calibri"/>
          <w:b/>
          <w:sz w:val="24"/>
          <w:lang w:val="en-US"/>
        </w:rPr>
        <w:lastRenderedPageBreak/>
        <w:t xml:space="preserve">Table </w:t>
      </w:r>
      <w:r>
        <w:rPr>
          <w:rFonts w:eastAsia="Calibri"/>
          <w:b/>
          <w:sz w:val="24"/>
          <w:lang w:val="en-US"/>
        </w:rPr>
        <w:t>3</w:t>
      </w:r>
    </w:p>
    <w:p w:rsidR="00F81BC7" w:rsidRPr="00870CA5" w:rsidRDefault="00F81BC7" w:rsidP="00F81BC7">
      <w:pPr>
        <w:widowControl/>
        <w:spacing w:line="276" w:lineRule="auto"/>
        <w:ind w:firstLine="0"/>
        <w:contextualSpacing/>
        <w:jc w:val="left"/>
        <w:rPr>
          <w:rFonts w:eastAsia="Calibri"/>
          <w:sz w:val="24"/>
          <w:lang w:val="en-US"/>
        </w:rPr>
      </w:pPr>
      <w:r>
        <w:rPr>
          <w:rFonts w:eastAsia="Calibri"/>
          <w:sz w:val="24"/>
          <w:lang w:val="en-US"/>
        </w:rPr>
        <w:t xml:space="preserve">Differences between the two clinical groups (on-treatment and off-treatment) regarding hope, anxiety and </w:t>
      </w:r>
      <w:proofErr w:type="spellStart"/>
      <w:r>
        <w:rPr>
          <w:rFonts w:eastAsia="Calibri"/>
          <w:sz w:val="24"/>
          <w:lang w:val="en-US"/>
        </w:rPr>
        <w:t>HRQoL</w:t>
      </w:r>
      <w:proofErr w:type="spellEnd"/>
      <w:r>
        <w:rPr>
          <w:rFonts w:eastAsia="Calibri"/>
          <w:sz w:val="24"/>
          <w:lang w:val="en-US"/>
        </w:rPr>
        <w:t xml:space="preserve"> in</w:t>
      </w:r>
      <w:r w:rsidRPr="00870CA5">
        <w:rPr>
          <w:rFonts w:eastAsia="Calibri"/>
          <w:sz w:val="24"/>
          <w:lang w:val="en-US"/>
        </w:rPr>
        <w:t xml:space="preserve"> children/adolescents </w:t>
      </w:r>
      <w:r>
        <w:rPr>
          <w:rFonts w:eastAsia="Calibri"/>
          <w:sz w:val="24"/>
          <w:lang w:val="en-US"/>
        </w:rPr>
        <w:t>with cancer</w:t>
      </w:r>
    </w:p>
    <w:p w:rsidR="00F81BC7" w:rsidRPr="00870CA5" w:rsidRDefault="00F81BC7" w:rsidP="00F81BC7">
      <w:pPr>
        <w:widowControl/>
        <w:spacing w:line="276" w:lineRule="auto"/>
        <w:ind w:firstLine="0"/>
        <w:contextualSpacing/>
        <w:rPr>
          <w:rFonts w:eastAsia="Calibri"/>
          <w:sz w:val="24"/>
          <w:lang w:val="en-US"/>
        </w:rPr>
      </w:pPr>
    </w:p>
    <w:tbl>
      <w:tblPr>
        <w:tblStyle w:val="Tabelacomgrelha1"/>
        <w:tblW w:w="102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683"/>
        <w:gridCol w:w="2609"/>
        <w:gridCol w:w="992"/>
        <w:gridCol w:w="1559"/>
        <w:gridCol w:w="851"/>
        <w:gridCol w:w="1604"/>
        <w:gridCol w:w="1000"/>
      </w:tblGrid>
      <w:tr w:rsidR="00F81BC7" w:rsidRPr="00870CA5" w:rsidTr="00CE43A3">
        <w:trPr>
          <w:trHeight w:val="727"/>
          <w:jc w:val="center"/>
        </w:trPr>
        <w:tc>
          <w:tcPr>
            <w:tcW w:w="1586" w:type="dxa"/>
            <w:gridSpan w:val="2"/>
            <w:tcBorders>
              <w:top w:val="single" w:sz="4" w:space="0" w:color="auto"/>
              <w:bottom w:val="single" w:sz="4" w:space="0" w:color="auto"/>
            </w:tcBorders>
            <w:vAlign w:val="center"/>
          </w:tcPr>
          <w:p w:rsidR="00F81BC7" w:rsidRPr="00870CA5" w:rsidRDefault="00F81BC7" w:rsidP="00CE43A3">
            <w:pPr>
              <w:widowControl/>
              <w:spacing w:line="276" w:lineRule="auto"/>
              <w:ind w:firstLine="0"/>
              <w:contextualSpacing/>
              <w:jc w:val="left"/>
              <w:rPr>
                <w:sz w:val="24"/>
                <w:lang w:val="en-US"/>
              </w:rPr>
            </w:pPr>
          </w:p>
          <w:p w:rsidR="00F81BC7" w:rsidRPr="00870CA5" w:rsidRDefault="00F81BC7" w:rsidP="00CE43A3">
            <w:pPr>
              <w:widowControl/>
              <w:spacing w:line="276" w:lineRule="auto"/>
              <w:ind w:firstLine="0"/>
              <w:contextualSpacing/>
              <w:jc w:val="left"/>
              <w:rPr>
                <w:sz w:val="24"/>
                <w:lang w:val="en-US"/>
              </w:rPr>
            </w:pPr>
            <w:r w:rsidRPr="00870CA5">
              <w:rPr>
                <w:sz w:val="24"/>
                <w:lang w:val="en-US"/>
              </w:rPr>
              <w:t>Variables</w:t>
            </w:r>
          </w:p>
          <w:p w:rsidR="00F81BC7" w:rsidRPr="00870CA5" w:rsidRDefault="00F81BC7" w:rsidP="00CE43A3">
            <w:pPr>
              <w:widowControl/>
              <w:spacing w:line="276" w:lineRule="auto"/>
              <w:ind w:firstLine="0"/>
              <w:contextualSpacing/>
              <w:jc w:val="left"/>
              <w:rPr>
                <w:sz w:val="24"/>
                <w:lang w:val="en-US"/>
              </w:rPr>
            </w:pPr>
          </w:p>
        </w:tc>
        <w:tc>
          <w:tcPr>
            <w:tcW w:w="2609" w:type="dxa"/>
            <w:tcBorders>
              <w:top w:val="single" w:sz="4" w:space="0" w:color="auto"/>
              <w:bottom w:val="single" w:sz="4" w:space="0" w:color="auto"/>
            </w:tcBorders>
            <w:vAlign w:val="center"/>
          </w:tcPr>
          <w:p w:rsidR="00F81BC7" w:rsidRPr="00870CA5" w:rsidRDefault="00F81BC7" w:rsidP="00CE43A3">
            <w:pPr>
              <w:widowControl/>
              <w:spacing w:line="276" w:lineRule="auto"/>
              <w:ind w:firstLine="0"/>
              <w:contextualSpacing/>
              <w:jc w:val="center"/>
              <w:rPr>
                <w:sz w:val="24"/>
                <w:lang w:val="en-US"/>
              </w:rPr>
            </w:pPr>
            <w:r>
              <w:rPr>
                <w:sz w:val="24"/>
                <w:lang w:val="en-US"/>
              </w:rPr>
              <w:t>Value</w:t>
            </w:r>
          </w:p>
        </w:tc>
        <w:tc>
          <w:tcPr>
            <w:tcW w:w="992" w:type="dxa"/>
            <w:tcBorders>
              <w:top w:val="single" w:sz="4" w:space="0" w:color="auto"/>
              <w:bottom w:val="single" w:sz="4" w:space="0" w:color="auto"/>
            </w:tcBorders>
          </w:tcPr>
          <w:p w:rsidR="00F81BC7" w:rsidRDefault="00F81BC7" w:rsidP="00CE43A3">
            <w:pPr>
              <w:widowControl/>
              <w:spacing w:line="276" w:lineRule="auto"/>
              <w:ind w:firstLine="0"/>
              <w:contextualSpacing/>
              <w:jc w:val="center"/>
              <w:rPr>
                <w:sz w:val="24"/>
                <w:lang w:val="en-US"/>
              </w:rPr>
            </w:pPr>
          </w:p>
          <w:p w:rsidR="00F81BC7" w:rsidRPr="00606575" w:rsidRDefault="00F81BC7" w:rsidP="00CE43A3">
            <w:pPr>
              <w:widowControl/>
              <w:spacing w:line="276" w:lineRule="auto"/>
              <w:ind w:firstLine="0"/>
              <w:contextualSpacing/>
              <w:jc w:val="center"/>
              <w:rPr>
                <w:i/>
                <w:sz w:val="24"/>
                <w:lang w:val="en-US"/>
              </w:rPr>
            </w:pPr>
            <w:r>
              <w:rPr>
                <w:i/>
                <w:sz w:val="24"/>
                <w:lang w:val="en-US"/>
              </w:rPr>
              <w:t>F</w:t>
            </w:r>
          </w:p>
        </w:tc>
        <w:tc>
          <w:tcPr>
            <w:tcW w:w="1559" w:type="dxa"/>
            <w:tcBorders>
              <w:top w:val="single" w:sz="4" w:space="0" w:color="auto"/>
              <w:bottom w:val="single" w:sz="4" w:space="0" w:color="auto"/>
            </w:tcBorders>
            <w:vAlign w:val="center"/>
          </w:tcPr>
          <w:p w:rsidR="00F81BC7" w:rsidRPr="000E3500" w:rsidRDefault="00F81BC7" w:rsidP="00CE43A3">
            <w:pPr>
              <w:widowControl/>
              <w:spacing w:line="276" w:lineRule="auto"/>
              <w:ind w:firstLine="0"/>
              <w:contextualSpacing/>
              <w:jc w:val="center"/>
              <w:rPr>
                <w:i/>
                <w:sz w:val="24"/>
                <w:lang w:val="en-US"/>
              </w:rPr>
            </w:pPr>
            <w:proofErr w:type="spellStart"/>
            <w:r w:rsidRPr="000E3500">
              <w:rPr>
                <w:i/>
                <w:sz w:val="24"/>
                <w:lang w:val="en-US"/>
              </w:rPr>
              <w:t>df</w:t>
            </w:r>
            <w:proofErr w:type="spellEnd"/>
          </w:p>
        </w:tc>
        <w:tc>
          <w:tcPr>
            <w:tcW w:w="851" w:type="dxa"/>
            <w:tcBorders>
              <w:top w:val="single" w:sz="4" w:space="0" w:color="auto"/>
              <w:bottom w:val="single" w:sz="4" w:space="0" w:color="auto"/>
            </w:tcBorders>
            <w:vAlign w:val="center"/>
          </w:tcPr>
          <w:p w:rsidR="00F81BC7" w:rsidRPr="00606575" w:rsidRDefault="00F81BC7" w:rsidP="00CE43A3">
            <w:pPr>
              <w:widowControl/>
              <w:spacing w:line="276" w:lineRule="auto"/>
              <w:ind w:firstLine="0"/>
              <w:contextualSpacing/>
              <w:jc w:val="center"/>
              <w:rPr>
                <w:i/>
                <w:sz w:val="24"/>
                <w:lang w:val="en-US"/>
              </w:rPr>
            </w:pPr>
            <w:r w:rsidRPr="00606575">
              <w:rPr>
                <w:i/>
                <w:sz w:val="24"/>
                <w:lang w:val="en-US"/>
              </w:rPr>
              <w:t>p</w:t>
            </w:r>
          </w:p>
        </w:tc>
        <w:tc>
          <w:tcPr>
            <w:tcW w:w="2604" w:type="dxa"/>
            <w:gridSpan w:val="2"/>
            <w:tcBorders>
              <w:top w:val="single" w:sz="4" w:space="0" w:color="auto"/>
              <w:bottom w:val="single" w:sz="4" w:space="0" w:color="auto"/>
            </w:tcBorders>
            <w:vAlign w:val="center"/>
          </w:tcPr>
          <w:p w:rsidR="00F81BC7" w:rsidRPr="00870CA5" w:rsidRDefault="00F81BC7" w:rsidP="00CE43A3">
            <w:pPr>
              <w:widowControl/>
              <w:spacing w:line="276" w:lineRule="auto"/>
              <w:ind w:firstLine="0"/>
              <w:contextualSpacing/>
              <w:jc w:val="center"/>
              <w:rPr>
                <w:sz w:val="24"/>
                <w:lang w:val="en-US"/>
              </w:rPr>
            </w:pPr>
            <w:r>
              <w:rPr>
                <w:sz w:val="24"/>
                <w:lang w:val="en-US"/>
              </w:rPr>
              <w:t>Partial Eta Squared</w:t>
            </w:r>
          </w:p>
        </w:tc>
      </w:tr>
      <w:tr w:rsidR="00F81BC7" w:rsidRPr="00870CA5" w:rsidTr="00CE43A3">
        <w:trPr>
          <w:trHeight w:val="242"/>
          <w:jc w:val="center"/>
        </w:trPr>
        <w:tc>
          <w:tcPr>
            <w:tcW w:w="1586" w:type="dxa"/>
            <w:gridSpan w:val="2"/>
            <w:tcBorders>
              <w:top w:val="single" w:sz="4" w:space="0" w:color="auto"/>
            </w:tcBorders>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1. Hope</w:t>
            </w:r>
          </w:p>
        </w:tc>
        <w:tc>
          <w:tcPr>
            <w:tcW w:w="2609" w:type="dxa"/>
            <w:tcBorders>
              <w:top w:val="single" w:sz="4" w:space="0" w:color="auto"/>
            </w:tcBorders>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.06</w:t>
            </w:r>
          </w:p>
        </w:tc>
        <w:tc>
          <w:tcPr>
            <w:tcW w:w="992" w:type="dxa"/>
            <w:tcBorders>
              <w:top w:val="single" w:sz="4" w:space="0" w:color="auto"/>
            </w:tcBorders>
          </w:tcPr>
          <w:p w:rsidR="00F81BC7" w:rsidRPr="006E0B9A" w:rsidRDefault="00F81BC7" w:rsidP="00CE43A3">
            <w:pPr>
              <w:widowControl/>
              <w:spacing w:line="276" w:lineRule="auto"/>
              <w:ind w:firstLine="0"/>
              <w:contextualSpacing/>
              <w:jc w:val="center"/>
              <w:rPr>
                <w:sz w:val="24"/>
                <w:lang w:val="en-US"/>
              </w:rPr>
            </w:pPr>
            <w:r>
              <w:rPr>
                <w:sz w:val="24"/>
                <w:lang w:val="en-US"/>
              </w:rPr>
              <w:t>.09</w:t>
            </w:r>
          </w:p>
        </w:tc>
        <w:tc>
          <w:tcPr>
            <w:tcW w:w="1559" w:type="dxa"/>
            <w:tcBorders>
              <w:top w:val="single" w:sz="4" w:space="0" w:color="auto"/>
            </w:tcBorders>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1</w:t>
            </w:r>
          </w:p>
        </w:tc>
        <w:tc>
          <w:tcPr>
            <w:tcW w:w="851" w:type="dxa"/>
            <w:tcBorders>
              <w:top w:val="single" w:sz="4" w:space="0" w:color="auto"/>
            </w:tcBorders>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.767</w:t>
            </w:r>
          </w:p>
        </w:tc>
        <w:tc>
          <w:tcPr>
            <w:tcW w:w="2604" w:type="dxa"/>
            <w:gridSpan w:val="2"/>
            <w:tcBorders>
              <w:top w:val="single" w:sz="4" w:space="0" w:color="auto"/>
            </w:tcBorders>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.000</w:t>
            </w:r>
          </w:p>
        </w:tc>
      </w:tr>
      <w:tr w:rsidR="00F81BC7" w:rsidRPr="00870CA5" w:rsidTr="00CE43A3">
        <w:trPr>
          <w:trHeight w:val="242"/>
          <w:jc w:val="center"/>
        </w:trPr>
        <w:tc>
          <w:tcPr>
            <w:tcW w:w="1586" w:type="dxa"/>
            <w:gridSpan w:val="2"/>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2. Anxiety</w:t>
            </w:r>
          </w:p>
        </w:tc>
        <w:tc>
          <w:tcPr>
            <w:tcW w:w="2609" w:type="dxa"/>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.01</w:t>
            </w:r>
          </w:p>
        </w:tc>
        <w:tc>
          <w:tcPr>
            <w:tcW w:w="992" w:type="dxa"/>
          </w:tcPr>
          <w:p w:rsidR="00F81BC7" w:rsidRPr="006E0B9A" w:rsidRDefault="00F81BC7" w:rsidP="00CE43A3">
            <w:pPr>
              <w:widowControl/>
              <w:spacing w:line="276" w:lineRule="auto"/>
              <w:ind w:firstLine="0"/>
              <w:contextualSpacing/>
              <w:jc w:val="center"/>
              <w:rPr>
                <w:sz w:val="24"/>
                <w:lang w:val="en-US"/>
              </w:rPr>
            </w:pPr>
            <w:r>
              <w:rPr>
                <w:sz w:val="24"/>
                <w:lang w:val="en-US"/>
              </w:rPr>
              <w:t>.24</w:t>
            </w:r>
          </w:p>
        </w:tc>
        <w:tc>
          <w:tcPr>
            <w:tcW w:w="1559" w:type="dxa"/>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1</w:t>
            </w:r>
          </w:p>
        </w:tc>
        <w:tc>
          <w:tcPr>
            <w:tcW w:w="851" w:type="dxa"/>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.624</w:t>
            </w:r>
          </w:p>
        </w:tc>
        <w:tc>
          <w:tcPr>
            <w:tcW w:w="2604" w:type="dxa"/>
            <w:gridSpan w:val="2"/>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001</w:t>
            </w:r>
          </w:p>
        </w:tc>
      </w:tr>
      <w:tr w:rsidR="00F81BC7" w:rsidRPr="00870CA5" w:rsidTr="00CE43A3">
        <w:trPr>
          <w:trHeight w:val="242"/>
          <w:jc w:val="center"/>
        </w:trPr>
        <w:tc>
          <w:tcPr>
            <w:tcW w:w="1586" w:type="dxa"/>
            <w:gridSpan w:val="2"/>
            <w:vAlign w:val="center"/>
          </w:tcPr>
          <w:p w:rsidR="00F81BC7" w:rsidRPr="006E0B9A" w:rsidRDefault="00F81BC7" w:rsidP="00CE43A3">
            <w:pPr>
              <w:widowControl/>
              <w:spacing w:line="276" w:lineRule="auto"/>
              <w:ind w:firstLine="0"/>
              <w:contextualSpacing/>
              <w:jc w:val="left"/>
              <w:rPr>
                <w:sz w:val="24"/>
                <w:lang w:val="en-US"/>
              </w:rPr>
            </w:pPr>
            <w:r w:rsidRPr="006E0B9A">
              <w:rPr>
                <w:sz w:val="24"/>
                <w:lang w:val="en-US"/>
              </w:rPr>
              <w:t xml:space="preserve">3. </w:t>
            </w:r>
            <w:proofErr w:type="spellStart"/>
            <w:r w:rsidRPr="006E0B9A">
              <w:rPr>
                <w:sz w:val="24"/>
                <w:lang w:val="en-US"/>
              </w:rPr>
              <w:t>HRQoL</w:t>
            </w:r>
            <w:proofErr w:type="spellEnd"/>
            <w:r w:rsidRPr="006E0B9A">
              <w:rPr>
                <w:sz w:val="24"/>
                <w:lang w:val="en-US"/>
              </w:rPr>
              <w:t xml:space="preserve"> </w:t>
            </w:r>
          </w:p>
        </w:tc>
        <w:tc>
          <w:tcPr>
            <w:tcW w:w="2609" w:type="dxa"/>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5.54</w:t>
            </w:r>
          </w:p>
        </w:tc>
        <w:tc>
          <w:tcPr>
            <w:tcW w:w="992" w:type="dxa"/>
          </w:tcPr>
          <w:p w:rsidR="00F81BC7" w:rsidRPr="006E0B9A" w:rsidRDefault="00F81BC7" w:rsidP="00CE43A3">
            <w:pPr>
              <w:widowControl/>
              <w:spacing w:line="276" w:lineRule="auto"/>
              <w:ind w:firstLine="0"/>
              <w:contextualSpacing/>
              <w:jc w:val="center"/>
              <w:rPr>
                <w:sz w:val="24"/>
                <w:lang w:val="en-US"/>
              </w:rPr>
            </w:pPr>
            <w:r>
              <w:rPr>
                <w:sz w:val="24"/>
                <w:lang w:val="en-US"/>
              </w:rPr>
              <w:t>15.31</w:t>
            </w:r>
          </w:p>
        </w:tc>
        <w:tc>
          <w:tcPr>
            <w:tcW w:w="1559" w:type="dxa"/>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1</w:t>
            </w:r>
          </w:p>
        </w:tc>
        <w:tc>
          <w:tcPr>
            <w:tcW w:w="851" w:type="dxa"/>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.000</w:t>
            </w:r>
            <w:r w:rsidRPr="000E3500">
              <w:rPr>
                <w:sz w:val="24"/>
                <w:vertAlign w:val="superscript"/>
                <w:lang w:val="en-US"/>
              </w:rPr>
              <w:t>*</w:t>
            </w:r>
          </w:p>
        </w:tc>
        <w:tc>
          <w:tcPr>
            <w:tcW w:w="2604" w:type="dxa"/>
            <w:gridSpan w:val="2"/>
            <w:vAlign w:val="center"/>
          </w:tcPr>
          <w:p w:rsidR="00F81BC7" w:rsidRPr="006E0B9A" w:rsidRDefault="00F81BC7" w:rsidP="00CE43A3">
            <w:pPr>
              <w:widowControl/>
              <w:spacing w:line="276" w:lineRule="auto"/>
              <w:ind w:firstLine="0"/>
              <w:contextualSpacing/>
              <w:jc w:val="center"/>
              <w:rPr>
                <w:sz w:val="24"/>
                <w:lang w:val="en-US"/>
              </w:rPr>
            </w:pPr>
            <w:r>
              <w:rPr>
                <w:sz w:val="24"/>
                <w:lang w:val="en-US"/>
              </w:rPr>
              <w:t>.068</w:t>
            </w:r>
          </w:p>
        </w:tc>
      </w:tr>
      <w:tr w:rsidR="00F81BC7" w:rsidRPr="00F81BC7" w:rsidTr="00CE43A3">
        <w:trPr>
          <w:trHeight w:val="436"/>
          <w:jc w:val="center"/>
        </w:trPr>
        <w:tc>
          <w:tcPr>
            <w:tcW w:w="903" w:type="dxa"/>
            <w:tcBorders>
              <w:top w:val="single" w:sz="4" w:space="0" w:color="auto"/>
            </w:tcBorders>
          </w:tcPr>
          <w:p w:rsidR="00F81BC7" w:rsidRPr="00870CA5" w:rsidRDefault="00F81BC7" w:rsidP="00CE43A3">
            <w:pPr>
              <w:spacing w:line="276" w:lineRule="auto"/>
              <w:ind w:firstLine="0"/>
              <w:rPr>
                <w:i/>
                <w:sz w:val="24"/>
                <w:lang w:val="en-US"/>
              </w:rPr>
            </w:pPr>
          </w:p>
        </w:tc>
        <w:tc>
          <w:tcPr>
            <w:tcW w:w="8298" w:type="dxa"/>
            <w:gridSpan w:val="6"/>
            <w:tcBorders>
              <w:top w:val="single" w:sz="4" w:space="0" w:color="auto"/>
            </w:tcBorders>
            <w:vAlign w:val="center"/>
          </w:tcPr>
          <w:p w:rsidR="00F81BC7" w:rsidRPr="00870CA5" w:rsidRDefault="00F81BC7" w:rsidP="00CE43A3">
            <w:pPr>
              <w:spacing w:line="276" w:lineRule="auto"/>
              <w:ind w:firstLine="0"/>
              <w:rPr>
                <w:sz w:val="24"/>
                <w:lang w:val="en-US"/>
              </w:rPr>
            </w:pPr>
            <w:r w:rsidRPr="00870CA5">
              <w:rPr>
                <w:i/>
                <w:sz w:val="24"/>
                <w:lang w:val="en-US"/>
              </w:rPr>
              <w:t xml:space="preserve">Note. </w:t>
            </w:r>
            <w:r w:rsidRPr="00870CA5">
              <w:rPr>
                <w:sz w:val="24"/>
                <w:vertAlign w:val="superscript"/>
                <w:lang w:val="en-US"/>
              </w:rPr>
              <w:t>*</w:t>
            </w:r>
            <w:r>
              <w:rPr>
                <w:sz w:val="24"/>
                <w:vertAlign w:val="superscript"/>
                <w:lang w:val="en-US"/>
              </w:rPr>
              <w:t xml:space="preserve"> </w:t>
            </w:r>
            <w:r>
              <w:rPr>
                <w:sz w:val="24"/>
                <w:lang w:val="en-US"/>
              </w:rPr>
              <w:t>Statistically significant difference:</w:t>
            </w:r>
            <w:r w:rsidRPr="00870CA5">
              <w:rPr>
                <w:sz w:val="24"/>
                <w:vertAlign w:val="superscript"/>
                <w:lang w:val="en-US"/>
              </w:rPr>
              <w:t xml:space="preserve"> </w:t>
            </w:r>
            <w:r w:rsidRPr="00870CA5">
              <w:rPr>
                <w:i/>
                <w:sz w:val="24"/>
                <w:lang w:val="en-US"/>
              </w:rPr>
              <w:t xml:space="preserve">p </w:t>
            </w:r>
            <w:r w:rsidRPr="00870CA5">
              <w:rPr>
                <w:sz w:val="24"/>
                <w:lang w:val="en-US"/>
              </w:rPr>
              <w:t>&lt; .001.</w:t>
            </w:r>
          </w:p>
        </w:tc>
        <w:tc>
          <w:tcPr>
            <w:tcW w:w="1000" w:type="dxa"/>
            <w:tcBorders>
              <w:top w:val="single" w:sz="4" w:space="0" w:color="auto"/>
            </w:tcBorders>
          </w:tcPr>
          <w:p w:rsidR="00F81BC7" w:rsidRPr="00870CA5" w:rsidRDefault="00F81BC7" w:rsidP="00CE43A3">
            <w:pPr>
              <w:spacing w:line="276" w:lineRule="auto"/>
              <w:ind w:firstLine="0"/>
              <w:rPr>
                <w:i/>
                <w:sz w:val="24"/>
                <w:lang w:val="en-US"/>
              </w:rPr>
            </w:pPr>
          </w:p>
        </w:tc>
      </w:tr>
    </w:tbl>
    <w:p w:rsidR="00F81BC7" w:rsidRPr="000E3500" w:rsidRDefault="00F81BC7" w:rsidP="00F81BC7">
      <w:pPr>
        <w:rPr>
          <w:lang w:val="en-US"/>
        </w:rPr>
      </w:pPr>
    </w:p>
    <w:p w:rsidR="00F81BC7" w:rsidRDefault="00F81BC7" w:rsidP="00F81BC7">
      <w:pPr>
        <w:rPr>
          <w:lang w:val="en-US"/>
        </w:rPr>
        <w:sectPr w:rsidR="00F81BC7" w:rsidSect="007E1DCE">
          <w:pgSz w:w="16838" w:h="11906" w:orient="landscape"/>
          <w:pgMar w:top="1701" w:right="1417" w:bottom="1701" w:left="1417" w:header="708" w:footer="708" w:gutter="0"/>
          <w:cols w:space="708"/>
          <w:docGrid w:linePitch="360"/>
        </w:sectPr>
      </w:pPr>
    </w:p>
    <w:p w:rsidR="00F81BC7" w:rsidRPr="00F81BC7" w:rsidRDefault="00F81BC7" w:rsidP="00F81BC7">
      <w:pPr>
        <w:widowControl/>
        <w:spacing w:line="276" w:lineRule="auto"/>
        <w:ind w:firstLine="0"/>
        <w:contextualSpacing/>
        <w:jc w:val="left"/>
        <w:rPr>
          <w:rFonts w:eastAsia="Calibri"/>
          <w:b/>
          <w:sz w:val="24"/>
          <w:lang w:val="en-US"/>
        </w:rPr>
      </w:pPr>
      <w:r w:rsidRPr="00F81BC7">
        <w:rPr>
          <w:rFonts w:eastAsia="Calibri"/>
          <w:b/>
          <w:sz w:val="24"/>
          <w:lang w:val="en-US"/>
        </w:rPr>
        <w:lastRenderedPageBreak/>
        <w:t>Table 4</w:t>
      </w:r>
    </w:p>
    <w:tbl>
      <w:tblPr>
        <w:tblStyle w:val="Tabelacomgrelha2"/>
        <w:tblpPr w:leftFromText="180" w:rightFromText="180" w:vertAnchor="page" w:horzAnchor="margin" w:tblpY="2851"/>
        <w:tblW w:w="8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9"/>
        <w:gridCol w:w="856"/>
        <w:gridCol w:w="709"/>
        <w:gridCol w:w="850"/>
        <w:gridCol w:w="777"/>
        <w:gridCol w:w="777"/>
        <w:gridCol w:w="347"/>
      </w:tblGrid>
      <w:tr w:rsidR="00F81BC7" w:rsidRPr="00F81BC7" w:rsidTr="00CE43A3">
        <w:trPr>
          <w:trHeight w:val="397"/>
        </w:trPr>
        <w:tc>
          <w:tcPr>
            <w:tcW w:w="4639" w:type="dxa"/>
            <w:tcBorders>
              <w:top w:val="single" w:sz="4" w:space="0" w:color="auto"/>
              <w:bottom w:val="single" w:sz="8" w:space="0" w:color="auto"/>
            </w:tcBorders>
            <w:vAlign w:val="center"/>
          </w:tcPr>
          <w:p w:rsidR="00F81BC7" w:rsidRPr="00F81BC7" w:rsidRDefault="00F81BC7" w:rsidP="00F81BC7">
            <w:pPr>
              <w:spacing w:line="240" w:lineRule="auto"/>
              <w:ind w:firstLine="0"/>
              <w:contextualSpacing/>
              <w:jc w:val="left"/>
              <w:rPr>
                <w:rFonts w:eastAsiaTheme="minorHAnsi"/>
                <w:lang w:val="en-US"/>
              </w:rPr>
            </w:pPr>
          </w:p>
        </w:tc>
        <w:tc>
          <w:tcPr>
            <w:tcW w:w="3969" w:type="dxa"/>
            <w:gridSpan w:val="5"/>
            <w:tcBorders>
              <w:top w:val="single" w:sz="4" w:space="0" w:color="auto"/>
              <w:bottom w:val="single" w:sz="8" w:space="0" w:color="auto"/>
            </w:tcBorders>
            <w:vAlign w:val="center"/>
          </w:tcPr>
          <w:p w:rsidR="00F81BC7" w:rsidRPr="00F81BC7" w:rsidRDefault="00F81BC7" w:rsidP="00F81BC7">
            <w:pPr>
              <w:spacing w:line="240" w:lineRule="auto"/>
              <w:ind w:firstLine="0"/>
              <w:contextualSpacing/>
              <w:jc w:val="left"/>
              <w:rPr>
                <w:rFonts w:eastAsiaTheme="minorHAnsi"/>
                <w:i/>
                <w:lang w:val="en-US"/>
              </w:rPr>
            </w:pPr>
            <w:r w:rsidRPr="00F81BC7">
              <w:rPr>
                <w:rFonts w:eastAsiaTheme="minorHAnsi"/>
                <w:lang w:val="en-US"/>
              </w:rPr>
              <w:t xml:space="preserve">Dependent Variable: </w:t>
            </w:r>
            <w:proofErr w:type="spellStart"/>
            <w:r w:rsidRPr="00F81BC7">
              <w:rPr>
                <w:rFonts w:eastAsiaTheme="minorHAnsi"/>
                <w:lang w:val="en-US"/>
              </w:rPr>
              <w:t>HRQoL</w:t>
            </w:r>
            <w:proofErr w:type="spellEnd"/>
          </w:p>
        </w:tc>
        <w:tc>
          <w:tcPr>
            <w:tcW w:w="347" w:type="dxa"/>
            <w:tcBorders>
              <w:top w:val="single" w:sz="4" w:space="0" w:color="auto"/>
              <w:bottom w:val="single" w:sz="8" w:space="0" w:color="auto"/>
            </w:tcBorders>
          </w:tcPr>
          <w:p w:rsidR="00F81BC7" w:rsidRPr="00F81BC7" w:rsidRDefault="00F81BC7" w:rsidP="00F81BC7">
            <w:pPr>
              <w:spacing w:line="240" w:lineRule="auto"/>
              <w:ind w:firstLine="0"/>
              <w:contextualSpacing/>
              <w:jc w:val="left"/>
              <w:rPr>
                <w:rFonts w:eastAsiaTheme="minorHAnsi"/>
                <w:i/>
                <w:lang w:val="en-US"/>
              </w:rPr>
            </w:pPr>
          </w:p>
        </w:tc>
      </w:tr>
      <w:tr w:rsidR="00F81BC7" w:rsidRPr="00F81BC7" w:rsidTr="00CE43A3">
        <w:trPr>
          <w:trHeight w:val="416"/>
        </w:trPr>
        <w:tc>
          <w:tcPr>
            <w:tcW w:w="4639" w:type="dxa"/>
            <w:tcBorders>
              <w:top w:val="single" w:sz="8" w:space="0" w:color="auto"/>
              <w:bottom w:val="single" w:sz="8" w:space="0" w:color="auto"/>
            </w:tcBorders>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Step and predictor variable</w:t>
            </w:r>
          </w:p>
        </w:tc>
        <w:tc>
          <w:tcPr>
            <w:tcW w:w="856" w:type="dxa"/>
            <w:tcBorders>
              <w:top w:val="single" w:sz="8" w:space="0" w:color="auto"/>
              <w:bottom w:val="single" w:sz="8" w:space="0" w:color="auto"/>
            </w:tcBorders>
            <w:vAlign w:val="center"/>
          </w:tcPr>
          <w:p w:rsidR="00F81BC7" w:rsidRPr="00F81BC7" w:rsidRDefault="00F81BC7" w:rsidP="00F81BC7">
            <w:pPr>
              <w:spacing w:line="240" w:lineRule="auto"/>
              <w:ind w:firstLine="0"/>
              <w:contextualSpacing/>
              <w:jc w:val="center"/>
              <w:rPr>
                <w:rFonts w:eastAsiaTheme="minorHAnsi"/>
                <w:i/>
                <w:lang w:val="en-US"/>
              </w:rPr>
            </w:pPr>
            <w:r w:rsidRPr="00F81BC7">
              <w:rPr>
                <w:rFonts w:eastAsiaTheme="minorHAnsi"/>
                <w:i/>
                <w:lang w:val="en-US"/>
              </w:rPr>
              <w:t>B</w:t>
            </w:r>
          </w:p>
        </w:tc>
        <w:tc>
          <w:tcPr>
            <w:tcW w:w="709" w:type="dxa"/>
            <w:tcBorders>
              <w:top w:val="single" w:sz="8" w:space="0" w:color="auto"/>
              <w:bottom w:val="single" w:sz="8" w:space="0" w:color="auto"/>
            </w:tcBorders>
            <w:vAlign w:val="center"/>
          </w:tcPr>
          <w:p w:rsidR="00F81BC7" w:rsidRPr="00F81BC7" w:rsidRDefault="00F81BC7" w:rsidP="00F81BC7">
            <w:pPr>
              <w:spacing w:line="240" w:lineRule="auto"/>
              <w:ind w:firstLine="0"/>
              <w:contextualSpacing/>
              <w:jc w:val="center"/>
              <w:rPr>
                <w:rFonts w:eastAsiaTheme="minorHAnsi"/>
                <w:i/>
                <w:lang w:val="en-US"/>
              </w:rPr>
            </w:pPr>
            <w:r w:rsidRPr="00F81BC7">
              <w:rPr>
                <w:rFonts w:eastAsiaTheme="minorHAnsi"/>
                <w:i/>
                <w:lang w:val="en-US"/>
              </w:rPr>
              <w:t>SE B</w:t>
            </w:r>
          </w:p>
        </w:tc>
        <w:tc>
          <w:tcPr>
            <w:tcW w:w="850" w:type="dxa"/>
            <w:tcBorders>
              <w:top w:val="single" w:sz="8" w:space="0" w:color="auto"/>
              <w:bottom w:val="single" w:sz="8" w:space="0" w:color="auto"/>
            </w:tcBorders>
            <w:vAlign w:val="center"/>
          </w:tcPr>
          <w:p w:rsidR="00F81BC7" w:rsidRPr="00F81BC7" w:rsidRDefault="00F81BC7" w:rsidP="00F81BC7">
            <w:pPr>
              <w:spacing w:line="240" w:lineRule="auto"/>
              <w:ind w:firstLine="0"/>
              <w:contextualSpacing/>
              <w:jc w:val="center"/>
              <w:rPr>
                <w:rFonts w:eastAsiaTheme="minorHAnsi"/>
                <w:lang w:val="en-US"/>
              </w:rPr>
            </w:pPr>
            <w:r w:rsidRPr="00F81BC7">
              <w:rPr>
                <w:rFonts w:eastAsiaTheme="minorHAnsi"/>
                <w:lang w:val="en-US"/>
              </w:rPr>
              <w:t>Std. β</w:t>
            </w:r>
          </w:p>
        </w:tc>
        <w:tc>
          <w:tcPr>
            <w:tcW w:w="777" w:type="dxa"/>
            <w:tcBorders>
              <w:top w:val="single" w:sz="8" w:space="0" w:color="auto"/>
              <w:bottom w:val="single" w:sz="8" w:space="0" w:color="auto"/>
            </w:tcBorders>
            <w:vAlign w:val="center"/>
          </w:tcPr>
          <w:p w:rsidR="00F81BC7" w:rsidRPr="00F81BC7" w:rsidRDefault="00F81BC7" w:rsidP="00F81BC7">
            <w:pPr>
              <w:spacing w:line="240" w:lineRule="auto"/>
              <w:ind w:firstLine="0"/>
              <w:contextualSpacing/>
              <w:jc w:val="center"/>
              <w:rPr>
                <w:rFonts w:eastAsiaTheme="minorHAnsi"/>
                <w:i/>
                <w:lang w:val="en-US"/>
              </w:rPr>
            </w:pPr>
            <w:r w:rsidRPr="00F81BC7">
              <w:rPr>
                <w:rFonts w:eastAsiaTheme="minorHAnsi"/>
                <w:i/>
                <w:lang w:val="en-US"/>
              </w:rPr>
              <w:t>R</w:t>
            </w:r>
            <w:r w:rsidRPr="00F81BC7">
              <w:rPr>
                <w:rFonts w:eastAsiaTheme="minorHAnsi"/>
                <w:i/>
                <w:vertAlign w:val="superscript"/>
                <w:lang w:val="en-US"/>
              </w:rPr>
              <w:t>2</w:t>
            </w:r>
          </w:p>
        </w:tc>
        <w:tc>
          <w:tcPr>
            <w:tcW w:w="777" w:type="dxa"/>
            <w:tcBorders>
              <w:top w:val="single" w:sz="8" w:space="0" w:color="auto"/>
              <w:bottom w:val="single" w:sz="8" w:space="0" w:color="auto"/>
            </w:tcBorders>
            <w:vAlign w:val="center"/>
          </w:tcPr>
          <w:p w:rsidR="00F81BC7" w:rsidRPr="00F81BC7" w:rsidRDefault="00F81BC7" w:rsidP="00F81BC7">
            <w:pPr>
              <w:spacing w:line="240" w:lineRule="auto"/>
              <w:ind w:firstLine="0"/>
              <w:contextualSpacing/>
              <w:jc w:val="center"/>
              <w:rPr>
                <w:rFonts w:eastAsiaTheme="minorHAnsi"/>
                <w:i/>
                <w:lang w:val="en-US"/>
              </w:rPr>
            </w:pPr>
            <w:r w:rsidRPr="00F81BC7">
              <w:rPr>
                <w:rFonts w:eastAsiaTheme="minorHAnsi"/>
                <w:i/>
                <w:lang w:val="en-US"/>
              </w:rPr>
              <w:t>R</w:t>
            </w:r>
            <w:r w:rsidRPr="00F81BC7">
              <w:rPr>
                <w:rFonts w:eastAsiaTheme="minorHAnsi"/>
                <w:i/>
                <w:vertAlign w:val="superscript"/>
                <w:lang w:val="en-US"/>
              </w:rPr>
              <w:t xml:space="preserve">2 </w:t>
            </w:r>
            <w:r w:rsidRPr="00F81BC7">
              <w:rPr>
                <w:rFonts w:eastAsiaTheme="minorHAnsi"/>
                <w:vertAlign w:val="superscript"/>
                <w:lang w:val="en-US"/>
              </w:rPr>
              <w:t>adjusted</w:t>
            </w:r>
          </w:p>
        </w:tc>
        <w:tc>
          <w:tcPr>
            <w:tcW w:w="347" w:type="dxa"/>
            <w:tcBorders>
              <w:top w:val="single" w:sz="8" w:space="0" w:color="auto"/>
              <w:bottom w:val="single" w:sz="8" w:space="0" w:color="auto"/>
            </w:tcBorders>
          </w:tcPr>
          <w:p w:rsidR="00F81BC7" w:rsidRPr="00F81BC7" w:rsidRDefault="00F81BC7" w:rsidP="00F81BC7">
            <w:pPr>
              <w:spacing w:line="240" w:lineRule="auto"/>
              <w:ind w:firstLine="0"/>
              <w:contextualSpacing/>
              <w:jc w:val="center"/>
              <w:rPr>
                <w:rFonts w:eastAsiaTheme="minorHAnsi"/>
                <w:i/>
                <w:lang w:val="en-US"/>
              </w:rPr>
            </w:pPr>
          </w:p>
        </w:tc>
      </w:tr>
      <w:tr w:rsidR="00F81BC7" w:rsidRPr="00F81BC7" w:rsidTr="00CE43A3">
        <w:trPr>
          <w:trHeight w:val="254"/>
        </w:trPr>
        <w:tc>
          <w:tcPr>
            <w:tcW w:w="4639" w:type="dxa"/>
            <w:tcBorders>
              <w:top w:val="single" w:sz="8" w:space="0" w:color="auto"/>
            </w:tcBorders>
            <w:shd w:val="clear" w:color="auto" w:fill="auto"/>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Step 1</w:t>
            </w:r>
          </w:p>
        </w:tc>
        <w:tc>
          <w:tcPr>
            <w:tcW w:w="856" w:type="dxa"/>
            <w:tcBorders>
              <w:top w:val="single" w:sz="8" w:space="0" w:color="auto"/>
            </w:tcBorders>
            <w:shd w:val="clear" w:color="auto" w:fill="auto"/>
            <w:vAlign w:val="center"/>
          </w:tcPr>
          <w:p w:rsidR="00F81BC7" w:rsidRPr="00F81BC7" w:rsidRDefault="00F81BC7" w:rsidP="00F81BC7">
            <w:pPr>
              <w:tabs>
                <w:tab w:val="left" w:pos="10206"/>
                <w:tab w:val="left" w:pos="11482"/>
              </w:tabs>
              <w:spacing w:line="240" w:lineRule="auto"/>
              <w:ind w:firstLine="0"/>
              <w:contextualSpacing/>
              <w:jc w:val="center"/>
              <w:rPr>
                <w:rFonts w:eastAsiaTheme="minorHAnsi"/>
                <w:i/>
                <w:lang w:val="en-US"/>
              </w:rPr>
            </w:pPr>
          </w:p>
        </w:tc>
        <w:tc>
          <w:tcPr>
            <w:tcW w:w="709" w:type="dxa"/>
            <w:tcBorders>
              <w:top w:val="single" w:sz="8" w:space="0" w:color="auto"/>
            </w:tcBorders>
            <w:shd w:val="clear" w:color="auto" w:fill="auto"/>
            <w:vAlign w:val="center"/>
          </w:tcPr>
          <w:p w:rsidR="00F81BC7" w:rsidRPr="00F81BC7" w:rsidRDefault="00F81BC7" w:rsidP="00F81BC7">
            <w:pPr>
              <w:spacing w:line="240" w:lineRule="auto"/>
              <w:ind w:firstLine="0"/>
              <w:contextualSpacing/>
              <w:jc w:val="center"/>
              <w:rPr>
                <w:rFonts w:eastAsiaTheme="minorHAnsi"/>
                <w:i/>
                <w:lang w:val="en-US"/>
              </w:rPr>
            </w:pPr>
          </w:p>
        </w:tc>
        <w:tc>
          <w:tcPr>
            <w:tcW w:w="850" w:type="dxa"/>
            <w:tcBorders>
              <w:top w:val="single" w:sz="8" w:space="0" w:color="auto"/>
            </w:tcBorders>
            <w:shd w:val="clear" w:color="auto" w:fill="auto"/>
            <w:vAlign w:val="center"/>
          </w:tcPr>
          <w:p w:rsidR="00F81BC7" w:rsidRPr="00F81BC7" w:rsidRDefault="00F81BC7" w:rsidP="00F81BC7">
            <w:pPr>
              <w:spacing w:line="240" w:lineRule="auto"/>
              <w:ind w:firstLine="0"/>
              <w:contextualSpacing/>
              <w:jc w:val="left"/>
              <w:rPr>
                <w:rFonts w:eastAsiaTheme="minorHAnsi"/>
                <w:lang w:val="en-US"/>
              </w:rPr>
            </w:pPr>
          </w:p>
        </w:tc>
        <w:tc>
          <w:tcPr>
            <w:tcW w:w="777" w:type="dxa"/>
            <w:tcBorders>
              <w:top w:val="single" w:sz="8" w:space="0" w:color="auto"/>
            </w:tcBorders>
            <w:shd w:val="clear" w:color="auto" w:fill="auto"/>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.22</w:t>
            </w:r>
          </w:p>
        </w:tc>
        <w:tc>
          <w:tcPr>
            <w:tcW w:w="777" w:type="dxa"/>
            <w:tcBorders>
              <w:top w:val="single" w:sz="8" w:space="0" w:color="auto"/>
            </w:tcBorders>
            <w:shd w:val="clear" w:color="auto" w:fill="auto"/>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.22</w:t>
            </w:r>
          </w:p>
        </w:tc>
        <w:tc>
          <w:tcPr>
            <w:tcW w:w="347" w:type="dxa"/>
            <w:tcBorders>
              <w:top w:val="single" w:sz="8" w:space="0" w:color="auto"/>
            </w:tcBorders>
            <w:shd w:val="clear" w:color="auto" w:fill="auto"/>
          </w:tcPr>
          <w:p w:rsidR="00F81BC7" w:rsidRPr="00F81BC7" w:rsidRDefault="00F81BC7" w:rsidP="00F81BC7">
            <w:pPr>
              <w:spacing w:line="240" w:lineRule="auto"/>
              <w:ind w:firstLine="0"/>
              <w:contextualSpacing/>
              <w:jc w:val="center"/>
              <w:rPr>
                <w:rFonts w:eastAsiaTheme="minorHAnsi"/>
                <w:lang w:val="en-US"/>
              </w:rPr>
            </w:pPr>
          </w:p>
        </w:tc>
      </w:tr>
      <w:tr w:rsidR="00F81BC7" w:rsidRPr="00F81BC7" w:rsidTr="00CE43A3">
        <w:trPr>
          <w:trHeight w:val="254"/>
        </w:trPr>
        <w:tc>
          <w:tcPr>
            <w:tcW w:w="4639" w:type="dxa"/>
            <w:vAlign w:val="center"/>
          </w:tcPr>
          <w:p w:rsidR="00F81BC7" w:rsidRPr="00F81BC7" w:rsidRDefault="00F81BC7" w:rsidP="00F81BC7">
            <w:pPr>
              <w:spacing w:line="240" w:lineRule="auto"/>
              <w:ind w:firstLine="142"/>
              <w:contextualSpacing/>
              <w:jc w:val="left"/>
              <w:rPr>
                <w:rFonts w:eastAsiaTheme="minorHAnsi"/>
                <w:lang w:val="en-US"/>
              </w:rPr>
            </w:pPr>
            <w:r w:rsidRPr="00F81BC7">
              <w:rPr>
                <w:rFonts w:eastAsiaTheme="minorHAnsi"/>
                <w:lang w:val="en-US"/>
              </w:rPr>
              <w:t>Constant</w:t>
            </w:r>
          </w:p>
        </w:tc>
        <w:tc>
          <w:tcPr>
            <w:tcW w:w="856"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4.24</w:t>
            </w:r>
          </w:p>
        </w:tc>
        <w:tc>
          <w:tcPr>
            <w:tcW w:w="709" w:type="dxa"/>
            <w:vAlign w:val="center"/>
          </w:tcPr>
          <w:p w:rsidR="00F81BC7" w:rsidRPr="00F81BC7" w:rsidRDefault="00F81BC7" w:rsidP="00F81BC7">
            <w:pPr>
              <w:spacing w:line="240" w:lineRule="auto"/>
              <w:ind w:firstLine="0"/>
              <w:contextualSpacing/>
              <w:jc w:val="center"/>
              <w:rPr>
                <w:rFonts w:eastAsiaTheme="minorHAnsi"/>
                <w:lang w:val="en-US"/>
              </w:rPr>
            </w:pPr>
            <w:r w:rsidRPr="00F81BC7">
              <w:rPr>
                <w:rFonts w:eastAsiaTheme="minorHAnsi"/>
                <w:lang w:val="en-US"/>
              </w:rPr>
              <w:t>.04</w:t>
            </w:r>
          </w:p>
        </w:tc>
        <w:tc>
          <w:tcPr>
            <w:tcW w:w="850" w:type="dxa"/>
            <w:vAlign w:val="center"/>
          </w:tcPr>
          <w:p w:rsidR="00F81BC7" w:rsidRPr="00F81BC7" w:rsidRDefault="00F81BC7" w:rsidP="00F81BC7">
            <w:pPr>
              <w:spacing w:line="240" w:lineRule="auto"/>
              <w:ind w:firstLine="0"/>
              <w:contextualSpacing/>
              <w:jc w:val="left"/>
              <w:rPr>
                <w:rFonts w:eastAsiaTheme="minorHAnsi"/>
                <w:lang w:val="en-US"/>
              </w:rPr>
            </w:pPr>
          </w:p>
        </w:tc>
        <w:tc>
          <w:tcPr>
            <w:tcW w:w="1554" w:type="dxa"/>
            <w:gridSpan w:val="2"/>
            <w:vAlign w:val="center"/>
          </w:tcPr>
          <w:p w:rsidR="00F81BC7" w:rsidRPr="00F81BC7" w:rsidRDefault="00F81BC7" w:rsidP="00F81BC7">
            <w:pPr>
              <w:spacing w:line="240" w:lineRule="auto"/>
              <w:ind w:firstLine="0"/>
              <w:contextualSpacing/>
              <w:jc w:val="left"/>
              <w:rPr>
                <w:rFonts w:eastAsiaTheme="minorHAnsi"/>
                <w:lang w:val="en-US"/>
              </w:rPr>
            </w:pPr>
          </w:p>
        </w:tc>
        <w:tc>
          <w:tcPr>
            <w:tcW w:w="347" w:type="dxa"/>
          </w:tcPr>
          <w:p w:rsidR="00F81BC7" w:rsidRPr="00F81BC7" w:rsidRDefault="00F81BC7" w:rsidP="00F81BC7">
            <w:pPr>
              <w:spacing w:line="240" w:lineRule="auto"/>
              <w:ind w:firstLine="0"/>
              <w:contextualSpacing/>
              <w:jc w:val="center"/>
              <w:rPr>
                <w:rFonts w:eastAsiaTheme="minorHAnsi"/>
                <w:lang w:val="en-US"/>
              </w:rPr>
            </w:pPr>
          </w:p>
        </w:tc>
      </w:tr>
      <w:tr w:rsidR="00F81BC7" w:rsidRPr="00F81BC7" w:rsidTr="00CE43A3">
        <w:trPr>
          <w:trHeight w:val="254"/>
        </w:trPr>
        <w:tc>
          <w:tcPr>
            <w:tcW w:w="4639" w:type="dxa"/>
            <w:vAlign w:val="center"/>
          </w:tcPr>
          <w:p w:rsidR="00F81BC7" w:rsidRPr="00F81BC7" w:rsidRDefault="00F81BC7" w:rsidP="00F81BC7">
            <w:pPr>
              <w:spacing w:line="240" w:lineRule="auto"/>
              <w:ind w:firstLine="142"/>
              <w:contextualSpacing/>
              <w:jc w:val="left"/>
              <w:rPr>
                <w:rFonts w:eastAsiaTheme="minorHAnsi"/>
                <w:lang w:val="en-US"/>
              </w:rPr>
            </w:pPr>
            <w:r w:rsidRPr="00F81BC7">
              <w:rPr>
                <w:rFonts w:eastAsiaTheme="minorHAnsi"/>
                <w:lang w:val="en-US"/>
              </w:rPr>
              <w:t>Anxiety</w:t>
            </w:r>
          </w:p>
        </w:tc>
        <w:tc>
          <w:tcPr>
            <w:tcW w:w="856"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-1.48</w:t>
            </w:r>
          </w:p>
        </w:tc>
        <w:tc>
          <w:tcPr>
            <w:tcW w:w="709" w:type="dxa"/>
            <w:vAlign w:val="center"/>
          </w:tcPr>
          <w:p w:rsidR="00F81BC7" w:rsidRPr="00F81BC7" w:rsidRDefault="00F81BC7" w:rsidP="00F81BC7">
            <w:pPr>
              <w:spacing w:line="240" w:lineRule="auto"/>
              <w:ind w:firstLine="0"/>
              <w:contextualSpacing/>
              <w:jc w:val="center"/>
              <w:rPr>
                <w:rFonts w:eastAsiaTheme="minorHAnsi"/>
                <w:lang w:val="en-US"/>
              </w:rPr>
            </w:pPr>
            <w:r w:rsidRPr="00F81BC7">
              <w:rPr>
                <w:rFonts w:eastAsiaTheme="minorHAnsi"/>
                <w:lang w:val="en-US"/>
              </w:rPr>
              <w:t>.20</w:t>
            </w:r>
          </w:p>
        </w:tc>
        <w:tc>
          <w:tcPr>
            <w:tcW w:w="850"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-.47</w:t>
            </w:r>
            <w:r w:rsidRPr="00F81BC7">
              <w:rPr>
                <w:rFonts w:eastAsiaTheme="minorHAnsi"/>
                <w:vertAlign w:val="superscript"/>
                <w:lang w:val="en-US"/>
              </w:rPr>
              <w:t>***</w:t>
            </w:r>
          </w:p>
        </w:tc>
        <w:tc>
          <w:tcPr>
            <w:tcW w:w="1554" w:type="dxa"/>
            <w:gridSpan w:val="2"/>
            <w:vAlign w:val="center"/>
          </w:tcPr>
          <w:p w:rsidR="00F81BC7" w:rsidRPr="00F81BC7" w:rsidRDefault="00F81BC7" w:rsidP="00F81BC7">
            <w:pPr>
              <w:spacing w:line="240" w:lineRule="auto"/>
              <w:ind w:firstLine="0"/>
              <w:contextualSpacing/>
              <w:jc w:val="left"/>
              <w:rPr>
                <w:rFonts w:eastAsiaTheme="minorHAnsi"/>
                <w:lang w:val="en-US"/>
              </w:rPr>
            </w:pPr>
          </w:p>
        </w:tc>
        <w:tc>
          <w:tcPr>
            <w:tcW w:w="347" w:type="dxa"/>
          </w:tcPr>
          <w:p w:rsidR="00F81BC7" w:rsidRPr="00F81BC7" w:rsidRDefault="00F81BC7" w:rsidP="00F81BC7">
            <w:pPr>
              <w:spacing w:line="240" w:lineRule="auto"/>
              <w:ind w:firstLine="0"/>
              <w:contextualSpacing/>
              <w:jc w:val="center"/>
              <w:rPr>
                <w:rFonts w:eastAsiaTheme="minorHAnsi"/>
                <w:lang w:val="en-US"/>
              </w:rPr>
            </w:pPr>
          </w:p>
        </w:tc>
      </w:tr>
      <w:tr w:rsidR="00F81BC7" w:rsidRPr="00F81BC7" w:rsidTr="00CE43A3">
        <w:trPr>
          <w:trHeight w:val="254"/>
        </w:trPr>
        <w:tc>
          <w:tcPr>
            <w:tcW w:w="4639"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Step 2</w:t>
            </w:r>
          </w:p>
        </w:tc>
        <w:tc>
          <w:tcPr>
            <w:tcW w:w="856" w:type="dxa"/>
            <w:vAlign w:val="center"/>
          </w:tcPr>
          <w:p w:rsidR="00F81BC7" w:rsidRPr="00F81BC7" w:rsidRDefault="00F81BC7" w:rsidP="00F81BC7">
            <w:pPr>
              <w:spacing w:line="240" w:lineRule="auto"/>
              <w:ind w:firstLine="0"/>
              <w:contextualSpacing/>
              <w:jc w:val="left"/>
              <w:rPr>
                <w:rFonts w:eastAsiaTheme="minorHAnsi"/>
                <w:lang w:val="en-US"/>
              </w:rPr>
            </w:pPr>
          </w:p>
        </w:tc>
        <w:tc>
          <w:tcPr>
            <w:tcW w:w="709" w:type="dxa"/>
            <w:vAlign w:val="center"/>
          </w:tcPr>
          <w:p w:rsidR="00F81BC7" w:rsidRPr="00F81BC7" w:rsidRDefault="00F81BC7" w:rsidP="00F81BC7">
            <w:pPr>
              <w:spacing w:line="240" w:lineRule="auto"/>
              <w:ind w:firstLine="0"/>
              <w:contextualSpacing/>
              <w:jc w:val="center"/>
              <w:rPr>
                <w:rFonts w:eastAsiaTheme="minorHAnsi"/>
                <w:lang w:val="en-US"/>
              </w:rPr>
            </w:pPr>
          </w:p>
        </w:tc>
        <w:tc>
          <w:tcPr>
            <w:tcW w:w="850" w:type="dxa"/>
            <w:vAlign w:val="center"/>
          </w:tcPr>
          <w:p w:rsidR="00F81BC7" w:rsidRPr="00F81BC7" w:rsidRDefault="00F81BC7" w:rsidP="00F81BC7">
            <w:pPr>
              <w:spacing w:line="240" w:lineRule="auto"/>
              <w:ind w:firstLine="0"/>
              <w:contextualSpacing/>
              <w:jc w:val="left"/>
              <w:rPr>
                <w:rFonts w:eastAsiaTheme="minorHAnsi"/>
                <w:lang w:val="en-US"/>
              </w:rPr>
            </w:pPr>
          </w:p>
        </w:tc>
        <w:tc>
          <w:tcPr>
            <w:tcW w:w="777"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.28</w:t>
            </w:r>
          </w:p>
        </w:tc>
        <w:tc>
          <w:tcPr>
            <w:tcW w:w="777"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.27</w:t>
            </w:r>
          </w:p>
        </w:tc>
        <w:tc>
          <w:tcPr>
            <w:tcW w:w="347" w:type="dxa"/>
          </w:tcPr>
          <w:p w:rsidR="00F81BC7" w:rsidRPr="00F81BC7" w:rsidRDefault="00F81BC7" w:rsidP="00F81BC7">
            <w:pPr>
              <w:spacing w:line="240" w:lineRule="auto"/>
              <w:ind w:firstLine="0"/>
              <w:contextualSpacing/>
              <w:jc w:val="center"/>
              <w:rPr>
                <w:rFonts w:eastAsiaTheme="minorHAnsi"/>
                <w:lang w:val="en-US"/>
              </w:rPr>
            </w:pPr>
          </w:p>
        </w:tc>
      </w:tr>
      <w:tr w:rsidR="00F81BC7" w:rsidRPr="00F81BC7" w:rsidTr="00CE43A3">
        <w:trPr>
          <w:trHeight w:val="254"/>
        </w:trPr>
        <w:tc>
          <w:tcPr>
            <w:tcW w:w="4639"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 xml:space="preserve">  Constant</w:t>
            </w:r>
          </w:p>
        </w:tc>
        <w:tc>
          <w:tcPr>
            <w:tcW w:w="856"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4.38</w:t>
            </w:r>
          </w:p>
        </w:tc>
        <w:tc>
          <w:tcPr>
            <w:tcW w:w="709" w:type="dxa"/>
            <w:vAlign w:val="center"/>
          </w:tcPr>
          <w:p w:rsidR="00F81BC7" w:rsidRPr="00F81BC7" w:rsidRDefault="00F81BC7" w:rsidP="00F81BC7">
            <w:pPr>
              <w:spacing w:line="240" w:lineRule="auto"/>
              <w:ind w:firstLine="0"/>
              <w:contextualSpacing/>
              <w:jc w:val="center"/>
              <w:rPr>
                <w:rFonts w:eastAsiaTheme="minorHAnsi"/>
                <w:lang w:val="en-US"/>
              </w:rPr>
            </w:pPr>
            <w:r w:rsidRPr="00F81BC7">
              <w:rPr>
                <w:rFonts w:eastAsiaTheme="minorHAnsi"/>
                <w:lang w:val="en-US"/>
              </w:rPr>
              <w:t>.05</w:t>
            </w:r>
          </w:p>
        </w:tc>
        <w:tc>
          <w:tcPr>
            <w:tcW w:w="850" w:type="dxa"/>
            <w:vAlign w:val="center"/>
          </w:tcPr>
          <w:p w:rsidR="00F81BC7" w:rsidRPr="00F81BC7" w:rsidRDefault="00F81BC7" w:rsidP="00F81BC7">
            <w:pPr>
              <w:spacing w:line="240" w:lineRule="auto"/>
              <w:ind w:firstLine="0"/>
              <w:contextualSpacing/>
              <w:jc w:val="left"/>
              <w:rPr>
                <w:rFonts w:eastAsiaTheme="minorHAnsi"/>
                <w:lang w:val="en-US"/>
              </w:rPr>
            </w:pPr>
          </w:p>
        </w:tc>
        <w:tc>
          <w:tcPr>
            <w:tcW w:w="1554" w:type="dxa"/>
            <w:gridSpan w:val="2"/>
            <w:vAlign w:val="center"/>
          </w:tcPr>
          <w:p w:rsidR="00F81BC7" w:rsidRPr="00F81BC7" w:rsidRDefault="00F81BC7" w:rsidP="00F81BC7">
            <w:pPr>
              <w:spacing w:line="240" w:lineRule="auto"/>
              <w:ind w:firstLine="0"/>
              <w:contextualSpacing/>
              <w:jc w:val="left"/>
              <w:rPr>
                <w:rFonts w:eastAsiaTheme="minorHAnsi"/>
                <w:lang w:val="en-US"/>
              </w:rPr>
            </w:pPr>
          </w:p>
        </w:tc>
        <w:tc>
          <w:tcPr>
            <w:tcW w:w="347" w:type="dxa"/>
          </w:tcPr>
          <w:p w:rsidR="00F81BC7" w:rsidRPr="00F81BC7" w:rsidRDefault="00F81BC7" w:rsidP="00F81BC7">
            <w:pPr>
              <w:spacing w:line="240" w:lineRule="auto"/>
              <w:ind w:firstLine="0"/>
              <w:contextualSpacing/>
              <w:jc w:val="center"/>
              <w:rPr>
                <w:rFonts w:eastAsiaTheme="minorHAnsi"/>
                <w:lang w:val="en-US"/>
              </w:rPr>
            </w:pPr>
          </w:p>
        </w:tc>
      </w:tr>
      <w:tr w:rsidR="00F81BC7" w:rsidRPr="00F81BC7" w:rsidTr="00CE43A3">
        <w:trPr>
          <w:trHeight w:val="254"/>
        </w:trPr>
        <w:tc>
          <w:tcPr>
            <w:tcW w:w="4639"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 xml:space="preserve">  Anxiety</w:t>
            </w:r>
          </w:p>
        </w:tc>
        <w:tc>
          <w:tcPr>
            <w:tcW w:w="856"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-1.45</w:t>
            </w:r>
          </w:p>
        </w:tc>
        <w:tc>
          <w:tcPr>
            <w:tcW w:w="709" w:type="dxa"/>
            <w:vAlign w:val="center"/>
          </w:tcPr>
          <w:p w:rsidR="00F81BC7" w:rsidRPr="00F81BC7" w:rsidRDefault="00F81BC7" w:rsidP="00F81BC7">
            <w:pPr>
              <w:spacing w:line="240" w:lineRule="auto"/>
              <w:ind w:firstLine="0"/>
              <w:contextualSpacing/>
              <w:jc w:val="center"/>
              <w:rPr>
                <w:rFonts w:eastAsiaTheme="minorHAnsi"/>
                <w:lang w:val="en-US"/>
              </w:rPr>
            </w:pPr>
            <w:r w:rsidRPr="00F81BC7">
              <w:rPr>
                <w:rFonts w:eastAsiaTheme="minorHAnsi"/>
                <w:lang w:val="en-US"/>
              </w:rPr>
              <w:t>.19</w:t>
            </w:r>
          </w:p>
        </w:tc>
        <w:tc>
          <w:tcPr>
            <w:tcW w:w="850"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-.46</w:t>
            </w:r>
            <w:r w:rsidRPr="00F81BC7">
              <w:rPr>
                <w:rFonts w:eastAsiaTheme="minorHAnsi"/>
                <w:vertAlign w:val="superscript"/>
                <w:lang w:val="en-US"/>
              </w:rPr>
              <w:t>***</w:t>
            </w:r>
          </w:p>
        </w:tc>
        <w:tc>
          <w:tcPr>
            <w:tcW w:w="1554" w:type="dxa"/>
            <w:gridSpan w:val="2"/>
            <w:vAlign w:val="center"/>
          </w:tcPr>
          <w:p w:rsidR="00F81BC7" w:rsidRPr="00F81BC7" w:rsidRDefault="00F81BC7" w:rsidP="00F81BC7">
            <w:pPr>
              <w:spacing w:line="240" w:lineRule="auto"/>
              <w:ind w:firstLine="0"/>
              <w:contextualSpacing/>
              <w:jc w:val="left"/>
              <w:rPr>
                <w:rFonts w:eastAsiaTheme="minorHAnsi"/>
                <w:lang w:val="en-US"/>
              </w:rPr>
            </w:pPr>
          </w:p>
        </w:tc>
        <w:tc>
          <w:tcPr>
            <w:tcW w:w="347" w:type="dxa"/>
          </w:tcPr>
          <w:p w:rsidR="00F81BC7" w:rsidRPr="00F81BC7" w:rsidRDefault="00F81BC7" w:rsidP="00F81BC7">
            <w:pPr>
              <w:spacing w:line="240" w:lineRule="auto"/>
              <w:ind w:firstLine="0"/>
              <w:contextualSpacing/>
              <w:jc w:val="center"/>
              <w:rPr>
                <w:rFonts w:eastAsiaTheme="minorHAnsi"/>
                <w:lang w:val="en-US"/>
              </w:rPr>
            </w:pPr>
          </w:p>
        </w:tc>
      </w:tr>
      <w:tr w:rsidR="00F81BC7" w:rsidRPr="00F81BC7" w:rsidTr="00CE43A3">
        <w:trPr>
          <w:trHeight w:val="254"/>
        </w:trPr>
        <w:tc>
          <w:tcPr>
            <w:tcW w:w="4639"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 xml:space="preserve">  Clinical Group</w:t>
            </w:r>
          </w:p>
        </w:tc>
        <w:tc>
          <w:tcPr>
            <w:tcW w:w="856"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-.31</w:t>
            </w:r>
          </w:p>
        </w:tc>
        <w:tc>
          <w:tcPr>
            <w:tcW w:w="709" w:type="dxa"/>
            <w:vAlign w:val="center"/>
          </w:tcPr>
          <w:p w:rsidR="00F81BC7" w:rsidRPr="00F81BC7" w:rsidRDefault="00F81BC7" w:rsidP="00F81BC7">
            <w:pPr>
              <w:spacing w:line="240" w:lineRule="auto"/>
              <w:ind w:firstLine="0"/>
              <w:contextualSpacing/>
              <w:jc w:val="center"/>
              <w:rPr>
                <w:rFonts w:eastAsiaTheme="minorHAnsi"/>
                <w:lang w:val="en-US"/>
              </w:rPr>
            </w:pPr>
            <w:r w:rsidRPr="00F81BC7">
              <w:rPr>
                <w:rFonts w:eastAsiaTheme="minorHAnsi"/>
                <w:lang w:val="en-US"/>
              </w:rPr>
              <w:t>.07</w:t>
            </w:r>
          </w:p>
        </w:tc>
        <w:tc>
          <w:tcPr>
            <w:tcW w:w="850"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-.25</w:t>
            </w:r>
            <w:r w:rsidRPr="00F81BC7">
              <w:rPr>
                <w:rFonts w:eastAsiaTheme="minorHAnsi"/>
                <w:vertAlign w:val="superscript"/>
                <w:lang w:val="en-US"/>
              </w:rPr>
              <w:t>***</w:t>
            </w:r>
          </w:p>
        </w:tc>
        <w:tc>
          <w:tcPr>
            <w:tcW w:w="1554" w:type="dxa"/>
            <w:gridSpan w:val="2"/>
            <w:vAlign w:val="center"/>
          </w:tcPr>
          <w:p w:rsidR="00F81BC7" w:rsidRPr="00F81BC7" w:rsidRDefault="00F81BC7" w:rsidP="00F81BC7">
            <w:pPr>
              <w:spacing w:line="240" w:lineRule="auto"/>
              <w:ind w:firstLine="0"/>
              <w:contextualSpacing/>
              <w:jc w:val="left"/>
              <w:rPr>
                <w:rFonts w:eastAsiaTheme="minorHAnsi"/>
                <w:lang w:val="en-US"/>
              </w:rPr>
            </w:pPr>
          </w:p>
        </w:tc>
        <w:tc>
          <w:tcPr>
            <w:tcW w:w="347" w:type="dxa"/>
          </w:tcPr>
          <w:p w:rsidR="00F81BC7" w:rsidRPr="00F81BC7" w:rsidRDefault="00F81BC7" w:rsidP="00F81BC7">
            <w:pPr>
              <w:spacing w:line="240" w:lineRule="auto"/>
              <w:ind w:firstLine="0"/>
              <w:contextualSpacing/>
              <w:jc w:val="center"/>
              <w:rPr>
                <w:rFonts w:eastAsiaTheme="minorHAnsi"/>
                <w:lang w:val="en-US"/>
              </w:rPr>
            </w:pPr>
          </w:p>
        </w:tc>
      </w:tr>
      <w:tr w:rsidR="00F81BC7" w:rsidRPr="00F81BC7" w:rsidTr="00CE43A3">
        <w:trPr>
          <w:trHeight w:val="254"/>
        </w:trPr>
        <w:tc>
          <w:tcPr>
            <w:tcW w:w="4639" w:type="dxa"/>
            <w:vAlign w:val="center"/>
          </w:tcPr>
          <w:p w:rsidR="00F81BC7" w:rsidRPr="00F81BC7" w:rsidRDefault="00F81BC7" w:rsidP="00F81BC7">
            <w:pPr>
              <w:tabs>
                <w:tab w:val="left" w:pos="284"/>
              </w:tabs>
              <w:spacing w:line="240" w:lineRule="auto"/>
              <w:ind w:left="284" w:hanging="284"/>
              <w:contextualSpacing/>
              <w:jc w:val="left"/>
              <w:rPr>
                <w:rFonts w:eastAsiaTheme="minorHAnsi"/>
                <w:lang w:val="en-US"/>
              </w:rPr>
            </w:pPr>
            <w:r w:rsidRPr="00F81BC7">
              <w:rPr>
                <w:rFonts w:eastAsiaTheme="minorHAnsi"/>
                <w:lang w:val="en-US"/>
              </w:rPr>
              <w:t>Step 3</w:t>
            </w:r>
          </w:p>
        </w:tc>
        <w:tc>
          <w:tcPr>
            <w:tcW w:w="856" w:type="dxa"/>
            <w:vAlign w:val="center"/>
          </w:tcPr>
          <w:p w:rsidR="00F81BC7" w:rsidRPr="00F81BC7" w:rsidRDefault="00F81BC7" w:rsidP="00F81BC7">
            <w:pPr>
              <w:spacing w:line="240" w:lineRule="auto"/>
              <w:ind w:firstLine="0"/>
              <w:contextualSpacing/>
              <w:jc w:val="left"/>
              <w:rPr>
                <w:rFonts w:eastAsiaTheme="minorHAnsi"/>
                <w:lang w:val="en-US"/>
              </w:rPr>
            </w:pPr>
          </w:p>
        </w:tc>
        <w:tc>
          <w:tcPr>
            <w:tcW w:w="709" w:type="dxa"/>
            <w:vAlign w:val="center"/>
          </w:tcPr>
          <w:p w:rsidR="00F81BC7" w:rsidRPr="00F81BC7" w:rsidRDefault="00F81BC7" w:rsidP="00F81BC7">
            <w:pPr>
              <w:spacing w:line="240" w:lineRule="auto"/>
              <w:ind w:firstLine="0"/>
              <w:contextualSpacing/>
              <w:jc w:val="center"/>
              <w:rPr>
                <w:rFonts w:eastAsiaTheme="minorHAnsi"/>
                <w:lang w:val="en-US"/>
              </w:rPr>
            </w:pPr>
          </w:p>
        </w:tc>
        <w:tc>
          <w:tcPr>
            <w:tcW w:w="850" w:type="dxa"/>
            <w:vAlign w:val="center"/>
          </w:tcPr>
          <w:p w:rsidR="00F81BC7" w:rsidRPr="00F81BC7" w:rsidRDefault="00F81BC7" w:rsidP="00F81BC7">
            <w:pPr>
              <w:spacing w:line="240" w:lineRule="auto"/>
              <w:ind w:firstLine="0"/>
              <w:contextualSpacing/>
              <w:jc w:val="left"/>
              <w:rPr>
                <w:rFonts w:eastAsiaTheme="minorHAnsi"/>
                <w:lang w:val="en-US"/>
              </w:rPr>
            </w:pPr>
          </w:p>
        </w:tc>
        <w:tc>
          <w:tcPr>
            <w:tcW w:w="777"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.30</w:t>
            </w:r>
          </w:p>
        </w:tc>
        <w:tc>
          <w:tcPr>
            <w:tcW w:w="777"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.29</w:t>
            </w:r>
          </w:p>
        </w:tc>
        <w:tc>
          <w:tcPr>
            <w:tcW w:w="347" w:type="dxa"/>
          </w:tcPr>
          <w:p w:rsidR="00F81BC7" w:rsidRPr="00F81BC7" w:rsidRDefault="00F81BC7" w:rsidP="00F81BC7">
            <w:pPr>
              <w:spacing w:line="240" w:lineRule="auto"/>
              <w:ind w:firstLine="0"/>
              <w:contextualSpacing/>
              <w:jc w:val="center"/>
              <w:rPr>
                <w:rFonts w:eastAsiaTheme="minorHAnsi"/>
                <w:lang w:val="en-US"/>
              </w:rPr>
            </w:pPr>
          </w:p>
        </w:tc>
      </w:tr>
      <w:tr w:rsidR="00F81BC7" w:rsidRPr="00F81BC7" w:rsidTr="00CE43A3">
        <w:trPr>
          <w:trHeight w:val="254"/>
        </w:trPr>
        <w:tc>
          <w:tcPr>
            <w:tcW w:w="4639" w:type="dxa"/>
            <w:vAlign w:val="center"/>
          </w:tcPr>
          <w:p w:rsidR="00F81BC7" w:rsidRPr="00F81BC7" w:rsidRDefault="00F81BC7" w:rsidP="00F81BC7">
            <w:pPr>
              <w:tabs>
                <w:tab w:val="left" w:pos="284"/>
              </w:tabs>
              <w:spacing w:line="240" w:lineRule="auto"/>
              <w:ind w:left="284" w:hanging="284"/>
              <w:contextualSpacing/>
              <w:jc w:val="left"/>
              <w:rPr>
                <w:rFonts w:eastAsiaTheme="minorHAnsi"/>
                <w:lang w:val="en-US"/>
              </w:rPr>
            </w:pPr>
            <w:r w:rsidRPr="00F81BC7">
              <w:rPr>
                <w:rFonts w:eastAsiaTheme="minorHAnsi"/>
                <w:lang w:val="en-US"/>
              </w:rPr>
              <w:t xml:space="preserve">  Constant</w:t>
            </w:r>
          </w:p>
        </w:tc>
        <w:tc>
          <w:tcPr>
            <w:tcW w:w="856"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4.38</w:t>
            </w:r>
          </w:p>
        </w:tc>
        <w:tc>
          <w:tcPr>
            <w:tcW w:w="709" w:type="dxa"/>
            <w:vAlign w:val="center"/>
          </w:tcPr>
          <w:p w:rsidR="00F81BC7" w:rsidRPr="00F81BC7" w:rsidRDefault="00F81BC7" w:rsidP="00F81BC7">
            <w:pPr>
              <w:spacing w:line="240" w:lineRule="auto"/>
              <w:ind w:firstLine="0"/>
              <w:contextualSpacing/>
              <w:jc w:val="center"/>
              <w:rPr>
                <w:rFonts w:eastAsiaTheme="minorHAnsi"/>
                <w:lang w:val="en-US"/>
              </w:rPr>
            </w:pPr>
            <w:r w:rsidRPr="00F81BC7">
              <w:rPr>
                <w:rFonts w:eastAsiaTheme="minorHAnsi"/>
                <w:lang w:val="en-US"/>
              </w:rPr>
              <w:t>.05</w:t>
            </w:r>
          </w:p>
        </w:tc>
        <w:tc>
          <w:tcPr>
            <w:tcW w:w="850" w:type="dxa"/>
            <w:vAlign w:val="center"/>
          </w:tcPr>
          <w:p w:rsidR="00F81BC7" w:rsidRPr="00F81BC7" w:rsidRDefault="00F81BC7" w:rsidP="00F81BC7">
            <w:pPr>
              <w:spacing w:line="240" w:lineRule="auto"/>
              <w:ind w:firstLine="0"/>
              <w:contextualSpacing/>
              <w:jc w:val="left"/>
              <w:rPr>
                <w:rFonts w:eastAsiaTheme="minorHAnsi"/>
                <w:lang w:val="en-US"/>
              </w:rPr>
            </w:pPr>
          </w:p>
        </w:tc>
        <w:tc>
          <w:tcPr>
            <w:tcW w:w="1554" w:type="dxa"/>
            <w:gridSpan w:val="2"/>
            <w:vAlign w:val="center"/>
          </w:tcPr>
          <w:p w:rsidR="00F81BC7" w:rsidRPr="00F81BC7" w:rsidRDefault="00F81BC7" w:rsidP="00F81BC7">
            <w:pPr>
              <w:spacing w:line="240" w:lineRule="auto"/>
              <w:ind w:firstLine="0"/>
              <w:contextualSpacing/>
              <w:jc w:val="left"/>
              <w:rPr>
                <w:rFonts w:eastAsiaTheme="minorHAnsi"/>
                <w:lang w:val="en-US"/>
              </w:rPr>
            </w:pPr>
          </w:p>
        </w:tc>
        <w:tc>
          <w:tcPr>
            <w:tcW w:w="347" w:type="dxa"/>
          </w:tcPr>
          <w:p w:rsidR="00F81BC7" w:rsidRPr="00F81BC7" w:rsidRDefault="00F81BC7" w:rsidP="00F81BC7">
            <w:pPr>
              <w:spacing w:line="240" w:lineRule="auto"/>
              <w:ind w:firstLine="0"/>
              <w:contextualSpacing/>
              <w:jc w:val="center"/>
              <w:rPr>
                <w:rFonts w:eastAsiaTheme="minorHAnsi"/>
                <w:lang w:val="en-US"/>
              </w:rPr>
            </w:pPr>
          </w:p>
        </w:tc>
      </w:tr>
      <w:tr w:rsidR="00F81BC7" w:rsidRPr="00F81BC7" w:rsidTr="00CE43A3">
        <w:trPr>
          <w:trHeight w:val="254"/>
        </w:trPr>
        <w:tc>
          <w:tcPr>
            <w:tcW w:w="4639" w:type="dxa"/>
            <w:vAlign w:val="center"/>
          </w:tcPr>
          <w:p w:rsidR="00F81BC7" w:rsidRPr="00F81BC7" w:rsidRDefault="00F81BC7" w:rsidP="00F81BC7">
            <w:pPr>
              <w:tabs>
                <w:tab w:val="left" w:pos="284"/>
              </w:tabs>
              <w:spacing w:line="240" w:lineRule="auto"/>
              <w:ind w:left="284" w:hanging="142"/>
              <w:contextualSpacing/>
              <w:jc w:val="left"/>
              <w:rPr>
                <w:rFonts w:eastAsiaTheme="minorHAnsi"/>
                <w:lang w:val="en-US"/>
              </w:rPr>
            </w:pPr>
            <w:r w:rsidRPr="00F81BC7">
              <w:rPr>
                <w:rFonts w:eastAsiaTheme="minorHAnsi"/>
                <w:lang w:val="en-US"/>
              </w:rPr>
              <w:t>Anxiety</w:t>
            </w:r>
          </w:p>
        </w:tc>
        <w:tc>
          <w:tcPr>
            <w:tcW w:w="856"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-1.04</w:t>
            </w:r>
          </w:p>
        </w:tc>
        <w:tc>
          <w:tcPr>
            <w:tcW w:w="709" w:type="dxa"/>
            <w:vAlign w:val="center"/>
          </w:tcPr>
          <w:p w:rsidR="00F81BC7" w:rsidRPr="00F81BC7" w:rsidRDefault="00F81BC7" w:rsidP="00F81BC7">
            <w:pPr>
              <w:spacing w:line="240" w:lineRule="auto"/>
              <w:ind w:firstLine="0"/>
              <w:contextualSpacing/>
              <w:jc w:val="center"/>
              <w:rPr>
                <w:rFonts w:eastAsiaTheme="minorHAnsi"/>
                <w:lang w:val="en-US"/>
              </w:rPr>
            </w:pPr>
            <w:r w:rsidRPr="00F81BC7">
              <w:rPr>
                <w:rFonts w:eastAsiaTheme="minorHAnsi"/>
                <w:lang w:val="en-US"/>
              </w:rPr>
              <w:t>.25</w:t>
            </w:r>
          </w:p>
        </w:tc>
        <w:tc>
          <w:tcPr>
            <w:tcW w:w="850"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-.33</w:t>
            </w:r>
            <w:r w:rsidRPr="00F81BC7">
              <w:rPr>
                <w:rFonts w:eastAsiaTheme="minorHAnsi"/>
                <w:vertAlign w:val="superscript"/>
                <w:lang w:val="en-US"/>
              </w:rPr>
              <w:t>***</w:t>
            </w:r>
          </w:p>
        </w:tc>
        <w:tc>
          <w:tcPr>
            <w:tcW w:w="1554" w:type="dxa"/>
            <w:gridSpan w:val="2"/>
            <w:vAlign w:val="center"/>
          </w:tcPr>
          <w:p w:rsidR="00F81BC7" w:rsidRPr="00F81BC7" w:rsidRDefault="00F81BC7" w:rsidP="00F81BC7">
            <w:pPr>
              <w:spacing w:line="240" w:lineRule="auto"/>
              <w:ind w:firstLine="0"/>
              <w:contextualSpacing/>
              <w:jc w:val="left"/>
              <w:rPr>
                <w:rFonts w:eastAsiaTheme="minorHAnsi"/>
                <w:lang w:val="en-US"/>
              </w:rPr>
            </w:pPr>
          </w:p>
        </w:tc>
        <w:tc>
          <w:tcPr>
            <w:tcW w:w="347" w:type="dxa"/>
          </w:tcPr>
          <w:p w:rsidR="00F81BC7" w:rsidRPr="00F81BC7" w:rsidRDefault="00F81BC7" w:rsidP="00F81BC7">
            <w:pPr>
              <w:spacing w:line="240" w:lineRule="auto"/>
              <w:ind w:firstLine="0"/>
              <w:contextualSpacing/>
              <w:jc w:val="center"/>
              <w:rPr>
                <w:rFonts w:eastAsiaTheme="minorHAnsi"/>
                <w:lang w:val="en-US"/>
              </w:rPr>
            </w:pPr>
          </w:p>
        </w:tc>
      </w:tr>
      <w:tr w:rsidR="00F81BC7" w:rsidRPr="00F81BC7" w:rsidTr="00CE43A3">
        <w:trPr>
          <w:trHeight w:val="254"/>
        </w:trPr>
        <w:tc>
          <w:tcPr>
            <w:tcW w:w="4639" w:type="dxa"/>
            <w:vAlign w:val="center"/>
          </w:tcPr>
          <w:p w:rsidR="00F81BC7" w:rsidRPr="00F81BC7" w:rsidRDefault="00F81BC7" w:rsidP="00F81BC7">
            <w:pPr>
              <w:tabs>
                <w:tab w:val="left" w:pos="284"/>
              </w:tabs>
              <w:spacing w:line="240" w:lineRule="auto"/>
              <w:ind w:left="284" w:hanging="142"/>
              <w:contextualSpacing/>
              <w:jc w:val="left"/>
              <w:rPr>
                <w:rFonts w:eastAsiaTheme="minorHAnsi"/>
                <w:lang w:val="en-US"/>
              </w:rPr>
            </w:pPr>
            <w:r w:rsidRPr="00F81BC7">
              <w:rPr>
                <w:rFonts w:eastAsiaTheme="minorHAnsi"/>
                <w:lang w:val="en-US"/>
              </w:rPr>
              <w:t>Clinical Group</w:t>
            </w:r>
          </w:p>
        </w:tc>
        <w:tc>
          <w:tcPr>
            <w:tcW w:w="856"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-.31</w:t>
            </w:r>
          </w:p>
        </w:tc>
        <w:tc>
          <w:tcPr>
            <w:tcW w:w="709" w:type="dxa"/>
            <w:vAlign w:val="center"/>
          </w:tcPr>
          <w:p w:rsidR="00F81BC7" w:rsidRPr="00F81BC7" w:rsidRDefault="00F81BC7" w:rsidP="00F81BC7">
            <w:pPr>
              <w:spacing w:line="240" w:lineRule="auto"/>
              <w:ind w:firstLine="0"/>
              <w:contextualSpacing/>
              <w:jc w:val="center"/>
              <w:rPr>
                <w:rFonts w:eastAsiaTheme="minorHAnsi"/>
                <w:lang w:val="en-US"/>
              </w:rPr>
            </w:pPr>
            <w:r w:rsidRPr="00F81BC7">
              <w:rPr>
                <w:rFonts w:eastAsiaTheme="minorHAnsi"/>
                <w:lang w:val="en-US"/>
              </w:rPr>
              <w:t>.07</w:t>
            </w:r>
          </w:p>
        </w:tc>
        <w:tc>
          <w:tcPr>
            <w:tcW w:w="850" w:type="dxa"/>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-.25</w:t>
            </w:r>
            <w:r w:rsidRPr="00F81BC7">
              <w:rPr>
                <w:rFonts w:eastAsiaTheme="minorHAnsi"/>
                <w:vertAlign w:val="superscript"/>
                <w:lang w:val="en-US"/>
              </w:rPr>
              <w:t>***</w:t>
            </w:r>
          </w:p>
        </w:tc>
        <w:tc>
          <w:tcPr>
            <w:tcW w:w="1554" w:type="dxa"/>
            <w:gridSpan w:val="2"/>
            <w:vAlign w:val="center"/>
          </w:tcPr>
          <w:p w:rsidR="00F81BC7" w:rsidRPr="00F81BC7" w:rsidRDefault="00F81BC7" w:rsidP="00F81BC7">
            <w:pPr>
              <w:spacing w:line="240" w:lineRule="auto"/>
              <w:ind w:firstLine="0"/>
              <w:contextualSpacing/>
              <w:jc w:val="left"/>
              <w:rPr>
                <w:rFonts w:eastAsiaTheme="minorHAnsi"/>
                <w:lang w:val="en-US"/>
              </w:rPr>
            </w:pPr>
          </w:p>
        </w:tc>
        <w:tc>
          <w:tcPr>
            <w:tcW w:w="347" w:type="dxa"/>
          </w:tcPr>
          <w:p w:rsidR="00F81BC7" w:rsidRPr="00F81BC7" w:rsidRDefault="00F81BC7" w:rsidP="00F81BC7">
            <w:pPr>
              <w:spacing w:line="240" w:lineRule="auto"/>
              <w:ind w:firstLine="0"/>
              <w:contextualSpacing/>
              <w:jc w:val="center"/>
              <w:rPr>
                <w:rFonts w:eastAsiaTheme="minorHAnsi"/>
                <w:lang w:val="en-US"/>
              </w:rPr>
            </w:pPr>
          </w:p>
        </w:tc>
      </w:tr>
      <w:tr w:rsidR="00F81BC7" w:rsidRPr="00F81BC7" w:rsidTr="00CE43A3">
        <w:trPr>
          <w:trHeight w:val="254"/>
        </w:trPr>
        <w:tc>
          <w:tcPr>
            <w:tcW w:w="4639" w:type="dxa"/>
            <w:tcBorders>
              <w:bottom w:val="single" w:sz="4" w:space="0" w:color="auto"/>
            </w:tcBorders>
            <w:vAlign w:val="center"/>
          </w:tcPr>
          <w:p w:rsidR="00F81BC7" w:rsidRPr="00F81BC7" w:rsidRDefault="00F81BC7" w:rsidP="00F81BC7">
            <w:pPr>
              <w:tabs>
                <w:tab w:val="left" w:pos="284"/>
              </w:tabs>
              <w:spacing w:line="240" w:lineRule="auto"/>
              <w:ind w:left="284" w:hanging="142"/>
              <w:contextualSpacing/>
              <w:jc w:val="left"/>
              <w:rPr>
                <w:rFonts w:eastAsiaTheme="minorHAnsi"/>
                <w:lang w:val="en-US"/>
              </w:rPr>
            </w:pPr>
            <w:r w:rsidRPr="00F81BC7">
              <w:rPr>
                <w:rFonts w:eastAsiaTheme="minorHAnsi"/>
                <w:lang w:val="en-US"/>
              </w:rPr>
              <w:t>Anxiety X Clinical Group</w:t>
            </w:r>
          </w:p>
        </w:tc>
        <w:tc>
          <w:tcPr>
            <w:tcW w:w="856" w:type="dxa"/>
            <w:tcBorders>
              <w:bottom w:val="single" w:sz="4" w:space="0" w:color="auto"/>
            </w:tcBorders>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-.88</w:t>
            </w:r>
          </w:p>
        </w:tc>
        <w:tc>
          <w:tcPr>
            <w:tcW w:w="709" w:type="dxa"/>
            <w:tcBorders>
              <w:bottom w:val="single" w:sz="4" w:space="0" w:color="auto"/>
            </w:tcBorders>
            <w:vAlign w:val="center"/>
          </w:tcPr>
          <w:p w:rsidR="00F81BC7" w:rsidRPr="00F81BC7" w:rsidRDefault="00F81BC7" w:rsidP="00F81BC7">
            <w:pPr>
              <w:spacing w:line="240" w:lineRule="auto"/>
              <w:ind w:firstLine="0"/>
              <w:contextualSpacing/>
              <w:jc w:val="center"/>
              <w:rPr>
                <w:rFonts w:eastAsiaTheme="minorHAnsi"/>
                <w:lang w:val="en-US"/>
              </w:rPr>
            </w:pPr>
            <w:r w:rsidRPr="00F81BC7">
              <w:rPr>
                <w:rFonts w:eastAsiaTheme="minorHAnsi"/>
                <w:lang w:val="en-US"/>
              </w:rPr>
              <w:t>.37</w:t>
            </w:r>
          </w:p>
        </w:tc>
        <w:tc>
          <w:tcPr>
            <w:tcW w:w="850" w:type="dxa"/>
            <w:tcBorders>
              <w:bottom w:val="single" w:sz="4" w:space="0" w:color="auto"/>
            </w:tcBorders>
            <w:vAlign w:val="center"/>
          </w:tcPr>
          <w:p w:rsidR="00F81BC7" w:rsidRPr="00F81BC7" w:rsidRDefault="00F81BC7" w:rsidP="00F81BC7">
            <w:pPr>
              <w:spacing w:line="240" w:lineRule="auto"/>
              <w:ind w:firstLine="0"/>
              <w:contextualSpacing/>
              <w:jc w:val="left"/>
              <w:rPr>
                <w:rFonts w:eastAsiaTheme="minorHAnsi"/>
                <w:lang w:val="en-US"/>
              </w:rPr>
            </w:pPr>
            <w:r w:rsidRPr="00F81BC7">
              <w:rPr>
                <w:rFonts w:eastAsiaTheme="minorHAnsi"/>
                <w:lang w:val="en-US"/>
              </w:rPr>
              <w:t>-.19</w:t>
            </w:r>
            <w:r w:rsidRPr="00F81BC7">
              <w:rPr>
                <w:rFonts w:eastAsiaTheme="minorHAnsi"/>
                <w:vertAlign w:val="superscript"/>
                <w:lang w:val="en-US"/>
              </w:rPr>
              <w:t>*</w:t>
            </w:r>
          </w:p>
        </w:tc>
        <w:tc>
          <w:tcPr>
            <w:tcW w:w="1554" w:type="dxa"/>
            <w:gridSpan w:val="2"/>
            <w:tcBorders>
              <w:bottom w:val="single" w:sz="4" w:space="0" w:color="auto"/>
            </w:tcBorders>
            <w:vAlign w:val="center"/>
          </w:tcPr>
          <w:p w:rsidR="00F81BC7" w:rsidRPr="00F81BC7" w:rsidRDefault="00F81BC7" w:rsidP="00F81BC7">
            <w:pPr>
              <w:spacing w:line="240" w:lineRule="auto"/>
              <w:ind w:firstLine="0"/>
              <w:contextualSpacing/>
              <w:jc w:val="left"/>
              <w:rPr>
                <w:rFonts w:eastAsiaTheme="minorHAnsi"/>
                <w:lang w:val="en-US"/>
              </w:rPr>
            </w:pPr>
          </w:p>
        </w:tc>
        <w:tc>
          <w:tcPr>
            <w:tcW w:w="347" w:type="dxa"/>
            <w:tcBorders>
              <w:bottom w:val="single" w:sz="4" w:space="0" w:color="auto"/>
            </w:tcBorders>
          </w:tcPr>
          <w:p w:rsidR="00F81BC7" w:rsidRPr="00F81BC7" w:rsidRDefault="00F81BC7" w:rsidP="00F81BC7">
            <w:pPr>
              <w:spacing w:line="240" w:lineRule="auto"/>
              <w:ind w:firstLine="0"/>
              <w:contextualSpacing/>
              <w:jc w:val="center"/>
              <w:rPr>
                <w:rFonts w:eastAsiaTheme="minorHAnsi"/>
                <w:lang w:val="en-US"/>
              </w:rPr>
            </w:pPr>
          </w:p>
        </w:tc>
      </w:tr>
    </w:tbl>
    <w:p w:rsidR="00F81BC7" w:rsidRPr="00F81BC7" w:rsidRDefault="00F81BC7" w:rsidP="00F81BC7">
      <w:pPr>
        <w:widowControl/>
        <w:spacing w:after="200" w:line="276" w:lineRule="auto"/>
        <w:ind w:firstLine="0"/>
        <w:jc w:val="left"/>
        <w:rPr>
          <w:rFonts w:eastAsiaTheme="minorHAnsi"/>
          <w:sz w:val="24"/>
          <w:lang w:val="en-US"/>
        </w:rPr>
      </w:pPr>
      <w:r w:rsidRPr="00F81BC7">
        <w:rPr>
          <w:rFonts w:eastAsiaTheme="minorHAnsi"/>
          <w:sz w:val="24"/>
          <w:lang w:val="en-US"/>
        </w:rPr>
        <w:t xml:space="preserve">Hierarchical Multiple Regression predicting </w:t>
      </w:r>
      <w:proofErr w:type="spellStart"/>
      <w:r w:rsidRPr="00F81BC7">
        <w:rPr>
          <w:rFonts w:eastAsiaTheme="minorHAnsi"/>
          <w:sz w:val="24"/>
          <w:lang w:val="en-US"/>
        </w:rPr>
        <w:t>HRQoL</w:t>
      </w:r>
      <w:proofErr w:type="spellEnd"/>
      <w:r w:rsidRPr="00F81BC7">
        <w:rPr>
          <w:rFonts w:eastAsiaTheme="minorHAnsi"/>
          <w:sz w:val="24"/>
          <w:lang w:val="en-US"/>
        </w:rPr>
        <w:t xml:space="preserve"> from Anxiety and Clinical Group (on-treatment </w:t>
      </w:r>
      <w:r w:rsidRPr="00F81BC7">
        <w:rPr>
          <w:rFonts w:eastAsiaTheme="minorHAnsi"/>
          <w:i/>
          <w:sz w:val="24"/>
          <w:lang w:val="en-US"/>
        </w:rPr>
        <w:t>vs.</w:t>
      </w:r>
      <w:r w:rsidRPr="00F81BC7">
        <w:rPr>
          <w:rFonts w:eastAsiaTheme="minorHAnsi"/>
          <w:sz w:val="24"/>
          <w:lang w:val="en-US"/>
        </w:rPr>
        <w:t xml:space="preserve"> off-treatment)</w:t>
      </w:r>
    </w:p>
    <w:p w:rsidR="00F81BC7" w:rsidRPr="00F81BC7" w:rsidRDefault="00F81BC7" w:rsidP="00F81BC7">
      <w:pPr>
        <w:widowControl/>
        <w:spacing w:after="200" w:line="276" w:lineRule="auto"/>
        <w:ind w:firstLine="0"/>
        <w:jc w:val="left"/>
        <w:rPr>
          <w:rFonts w:eastAsiaTheme="minorHAnsi"/>
          <w:sz w:val="24"/>
          <w:szCs w:val="22"/>
          <w:lang w:val="en-US"/>
        </w:rPr>
      </w:pPr>
      <w:r w:rsidRPr="00F81BC7">
        <w:rPr>
          <w:rFonts w:eastAsiaTheme="minorHAnsi"/>
          <w:i/>
          <w:sz w:val="24"/>
          <w:szCs w:val="22"/>
          <w:lang w:val="en-US"/>
        </w:rPr>
        <w:t xml:space="preserve">Note. </w:t>
      </w:r>
      <w:r w:rsidRPr="00F81BC7">
        <w:rPr>
          <w:rFonts w:eastAsiaTheme="minorHAnsi"/>
          <w:sz w:val="24"/>
          <w:szCs w:val="22"/>
          <w:vertAlign w:val="superscript"/>
          <w:lang w:val="en-US"/>
        </w:rPr>
        <w:t xml:space="preserve">* </w:t>
      </w:r>
      <w:proofErr w:type="gramStart"/>
      <w:r w:rsidRPr="00F81BC7">
        <w:rPr>
          <w:rFonts w:eastAsiaTheme="minorHAnsi"/>
          <w:i/>
          <w:sz w:val="24"/>
          <w:szCs w:val="22"/>
          <w:lang w:val="en-US"/>
        </w:rPr>
        <w:t>p</w:t>
      </w:r>
      <w:proofErr w:type="gramEnd"/>
      <w:r w:rsidRPr="00F81BC7">
        <w:rPr>
          <w:rFonts w:eastAsiaTheme="minorHAnsi"/>
          <w:i/>
          <w:sz w:val="24"/>
          <w:szCs w:val="22"/>
          <w:lang w:val="en-US"/>
        </w:rPr>
        <w:t xml:space="preserve"> </w:t>
      </w:r>
      <w:r w:rsidRPr="00F81BC7">
        <w:rPr>
          <w:rFonts w:eastAsiaTheme="minorHAnsi"/>
          <w:sz w:val="24"/>
          <w:szCs w:val="22"/>
          <w:lang w:val="en-US"/>
        </w:rPr>
        <w:t xml:space="preserve">&lt; .05. </w:t>
      </w:r>
      <w:r w:rsidRPr="00F81BC7">
        <w:rPr>
          <w:rFonts w:eastAsiaTheme="minorHAnsi"/>
          <w:sz w:val="24"/>
          <w:szCs w:val="22"/>
          <w:vertAlign w:val="superscript"/>
          <w:lang w:val="en-US"/>
        </w:rPr>
        <w:t xml:space="preserve">** </w:t>
      </w:r>
      <w:proofErr w:type="gramStart"/>
      <w:r w:rsidRPr="00F81BC7">
        <w:rPr>
          <w:rFonts w:eastAsiaTheme="minorHAnsi"/>
          <w:i/>
          <w:sz w:val="24"/>
          <w:szCs w:val="22"/>
          <w:lang w:val="en-US"/>
        </w:rPr>
        <w:t>p</w:t>
      </w:r>
      <w:proofErr w:type="gramEnd"/>
      <w:r w:rsidRPr="00F81BC7">
        <w:rPr>
          <w:rFonts w:eastAsiaTheme="minorHAnsi"/>
          <w:i/>
          <w:sz w:val="24"/>
          <w:szCs w:val="22"/>
          <w:lang w:val="en-US"/>
        </w:rPr>
        <w:t xml:space="preserve"> </w:t>
      </w:r>
      <w:r w:rsidRPr="00F81BC7">
        <w:rPr>
          <w:rFonts w:eastAsiaTheme="minorHAnsi"/>
          <w:sz w:val="24"/>
          <w:szCs w:val="22"/>
          <w:lang w:val="en-US"/>
        </w:rPr>
        <w:t xml:space="preserve">&lt; .01. </w:t>
      </w:r>
      <w:r w:rsidRPr="00F81BC7">
        <w:rPr>
          <w:rFonts w:eastAsiaTheme="minorHAnsi"/>
          <w:sz w:val="24"/>
          <w:szCs w:val="22"/>
          <w:vertAlign w:val="superscript"/>
          <w:lang w:val="en-US"/>
        </w:rPr>
        <w:t xml:space="preserve">*** </w:t>
      </w:r>
      <w:proofErr w:type="gramStart"/>
      <w:r w:rsidRPr="00F81BC7">
        <w:rPr>
          <w:rFonts w:eastAsiaTheme="minorHAnsi"/>
          <w:i/>
          <w:sz w:val="24"/>
          <w:szCs w:val="22"/>
          <w:lang w:val="en-US"/>
        </w:rPr>
        <w:t>p</w:t>
      </w:r>
      <w:proofErr w:type="gramEnd"/>
      <w:r w:rsidRPr="00F81BC7">
        <w:rPr>
          <w:rFonts w:eastAsiaTheme="minorHAnsi"/>
          <w:i/>
          <w:sz w:val="24"/>
          <w:szCs w:val="22"/>
          <w:lang w:val="en-US"/>
        </w:rPr>
        <w:t xml:space="preserve"> </w:t>
      </w:r>
      <w:r w:rsidRPr="00F81BC7">
        <w:rPr>
          <w:rFonts w:eastAsiaTheme="minorHAnsi"/>
          <w:sz w:val="24"/>
          <w:szCs w:val="22"/>
          <w:lang w:val="en-US"/>
        </w:rPr>
        <w:t>&lt; .001.</w:t>
      </w:r>
    </w:p>
    <w:p w:rsidR="00F81BC7" w:rsidRPr="00F81BC7" w:rsidRDefault="00F81BC7" w:rsidP="00F81BC7">
      <w:pPr>
        <w:widowControl/>
        <w:spacing w:after="200" w:line="276" w:lineRule="auto"/>
        <w:ind w:firstLine="0"/>
        <w:jc w:val="left"/>
        <w:rPr>
          <w:rFonts w:eastAsiaTheme="minorHAnsi"/>
          <w:sz w:val="24"/>
          <w:lang w:val="en-US"/>
        </w:rPr>
      </w:pPr>
    </w:p>
    <w:p w:rsidR="00F81BC7" w:rsidRPr="00A54A7B" w:rsidRDefault="00F81BC7" w:rsidP="00F81BC7">
      <w:pPr>
        <w:rPr>
          <w:lang w:val="en-US"/>
        </w:rPr>
      </w:pPr>
    </w:p>
    <w:p w:rsidR="00F81BC7" w:rsidRPr="000E3500" w:rsidRDefault="00F81BC7" w:rsidP="00F81BC7">
      <w:pPr>
        <w:rPr>
          <w:lang w:val="en-US"/>
        </w:rPr>
      </w:pPr>
    </w:p>
    <w:p w:rsidR="00F81BC7" w:rsidRPr="000E3500" w:rsidRDefault="00F81BC7" w:rsidP="00F81BC7">
      <w:pPr>
        <w:rPr>
          <w:lang w:val="en-US"/>
        </w:rPr>
      </w:pPr>
    </w:p>
    <w:p w:rsidR="00F81BC7" w:rsidRDefault="00F81BC7" w:rsidP="00F81BC7">
      <w:pPr>
        <w:widowControl/>
        <w:spacing w:line="276" w:lineRule="auto"/>
        <w:ind w:firstLine="0"/>
        <w:rPr>
          <w:szCs w:val="20"/>
          <w:lang w:val="en-US"/>
        </w:rPr>
        <w:sectPr w:rsidR="00F81BC7" w:rsidSect="00F81BC7">
          <w:pgSz w:w="11906" w:h="16838"/>
          <w:pgMar w:top="1417" w:right="1701" w:bottom="1417" w:left="1701" w:header="708" w:footer="708" w:gutter="0"/>
          <w:cols w:space="708"/>
          <w:docGrid w:linePitch="360"/>
        </w:sectPr>
      </w:pPr>
    </w:p>
    <w:p w:rsidR="00F81BC7" w:rsidRDefault="00F81BC7" w:rsidP="00F81BC7">
      <w:pPr>
        <w:spacing w:line="276" w:lineRule="auto"/>
        <w:ind w:firstLine="0"/>
        <w:jc w:val="left"/>
        <w:rPr>
          <w:sz w:val="24"/>
          <w:lang w:val="en-US"/>
        </w:rPr>
      </w:pPr>
    </w:p>
    <w:p w:rsidR="00F81BC7" w:rsidRDefault="00F81BC7" w:rsidP="00F81BC7">
      <w:pPr>
        <w:spacing w:line="276" w:lineRule="auto"/>
        <w:ind w:firstLine="0"/>
        <w:jc w:val="left"/>
        <w:rPr>
          <w:sz w:val="24"/>
          <w:lang w:val="en-US"/>
        </w:rPr>
      </w:pPr>
    </w:p>
    <w:p w:rsidR="00F81BC7" w:rsidRDefault="00F81BC7" w:rsidP="00F81BC7">
      <w:pPr>
        <w:spacing w:line="276" w:lineRule="auto"/>
        <w:ind w:firstLine="0"/>
        <w:jc w:val="left"/>
        <w:rPr>
          <w:sz w:val="24"/>
          <w:lang w:val="en-US"/>
        </w:rPr>
      </w:pPr>
    </w:p>
    <w:p w:rsidR="00F81BC7" w:rsidRPr="00D25EF3" w:rsidRDefault="00F81BC7" w:rsidP="00F81BC7">
      <w:pPr>
        <w:spacing w:line="276" w:lineRule="auto"/>
        <w:ind w:firstLine="0"/>
        <w:jc w:val="left"/>
        <w:rPr>
          <w:sz w:val="24"/>
          <w:lang w:val="en-US"/>
        </w:rPr>
      </w:pPr>
    </w:p>
    <w:p w:rsidR="00F81BC7" w:rsidRPr="00F528E1" w:rsidRDefault="00F81BC7" w:rsidP="00F81BC7">
      <w:pPr>
        <w:rPr>
          <w:lang w:val="en-US"/>
        </w:rPr>
      </w:pPr>
      <w:r w:rsidRPr="00241524">
        <w:rPr>
          <w:noProof/>
          <w:sz w:val="24"/>
          <w:lang w:eastAsia="pt-PT"/>
        </w:rPr>
        <w:drawing>
          <wp:anchor distT="0" distB="0" distL="114300" distR="114300" simplePos="0" relativeHeight="251659264" behindDoc="0" locked="0" layoutInCell="1" allowOverlap="1" wp14:anchorId="4116DB70" wp14:editId="24ED2F5B">
            <wp:simplePos x="0" y="0"/>
            <wp:positionH relativeFrom="column">
              <wp:posOffset>24765</wp:posOffset>
            </wp:positionH>
            <wp:positionV relativeFrom="paragraph">
              <wp:posOffset>64770</wp:posOffset>
            </wp:positionV>
            <wp:extent cx="3276600" cy="2124075"/>
            <wp:effectExtent l="0" t="0" r="19050" b="9525"/>
            <wp:wrapNone/>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F81BC7" w:rsidRPr="00F528E1" w:rsidRDefault="00F81BC7" w:rsidP="00F81BC7">
      <w:pPr>
        <w:rPr>
          <w:lang w:val="en-US"/>
        </w:rPr>
      </w:pPr>
    </w:p>
    <w:p w:rsidR="00F81BC7" w:rsidRPr="00F528E1" w:rsidRDefault="00F81BC7" w:rsidP="00F81BC7">
      <w:pPr>
        <w:rPr>
          <w:lang w:val="en-US"/>
        </w:rPr>
      </w:pPr>
    </w:p>
    <w:p w:rsidR="00F81BC7" w:rsidRPr="00F528E1" w:rsidRDefault="00F81BC7" w:rsidP="00F81BC7">
      <w:pPr>
        <w:rPr>
          <w:lang w:val="en-US"/>
        </w:rPr>
      </w:pPr>
    </w:p>
    <w:p w:rsidR="00F81BC7" w:rsidRPr="00F528E1" w:rsidRDefault="00F81BC7" w:rsidP="00F81BC7">
      <w:pPr>
        <w:rPr>
          <w:lang w:val="en-US"/>
        </w:rPr>
      </w:pPr>
    </w:p>
    <w:p w:rsidR="00F81BC7" w:rsidRPr="00F528E1" w:rsidRDefault="00F81BC7" w:rsidP="00F81BC7">
      <w:pPr>
        <w:rPr>
          <w:lang w:val="en-US"/>
        </w:rPr>
      </w:pPr>
    </w:p>
    <w:p w:rsidR="00F81BC7" w:rsidRPr="00F528E1" w:rsidRDefault="00F81BC7" w:rsidP="00F81BC7">
      <w:pPr>
        <w:rPr>
          <w:lang w:val="en-US"/>
        </w:rPr>
      </w:pPr>
    </w:p>
    <w:p w:rsidR="00F81BC7" w:rsidRPr="00F528E1" w:rsidRDefault="00F81BC7" w:rsidP="00F81BC7">
      <w:pPr>
        <w:rPr>
          <w:lang w:val="en-US"/>
        </w:rPr>
      </w:pPr>
    </w:p>
    <w:p w:rsidR="00F81BC7" w:rsidRPr="00F528E1" w:rsidRDefault="00F81BC7" w:rsidP="00F81BC7">
      <w:pPr>
        <w:rPr>
          <w:lang w:val="en-US"/>
        </w:rPr>
      </w:pPr>
    </w:p>
    <w:p w:rsidR="00F81BC7" w:rsidRPr="00F528E1" w:rsidRDefault="00F81BC7" w:rsidP="00F81BC7">
      <w:pPr>
        <w:rPr>
          <w:lang w:val="en-US"/>
        </w:rPr>
      </w:pPr>
    </w:p>
    <w:p w:rsidR="00F81BC7" w:rsidRPr="00F528E1" w:rsidRDefault="00F81BC7" w:rsidP="00F81BC7">
      <w:pPr>
        <w:rPr>
          <w:lang w:val="en-US"/>
        </w:rPr>
      </w:pPr>
    </w:p>
    <w:p w:rsidR="00F81BC7" w:rsidRPr="00F528E1" w:rsidRDefault="00F81BC7" w:rsidP="00F81BC7">
      <w:pPr>
        <w:rPr>
          <w:lang w:val="en-US"/>
        </w:rPr>
      </w:pPr>
    </w:p>
    <w:p w:rsidR="00F81BC7" w:rsidRDefault="00F81BC7" w:rsidP="00F81BC7">
      <w:pPr>
        <w:spacing w:line="480" w:lineRule="auto"/>
        <w:ind w:firstLine="0"/>
        <w:rPr>
          <w:b/>
          <w:sz w:val="24"/>
          <w:lang w:val="en-US"/>
        </w:rPr>
      </w:pPr>
      <w:r>
        <w:rPr>
          <w:noProof/>
          <w:lang w:eastAsia="pt-PT"/>
        </w:rPr>
        <mc:AlternateContent>
          <mc:Choice Requires="wps">
            <w:drawing>
              <wp:anchor distT="0" distB="0" distL="114300" distR="114300" simplePos="0" relativeHeight="251660288" behindDoc="0" locked="0" layoutInCell="1" allowOverlap="1" wp14:anchorId="3A3E7D77" wp14:editId="0A601C0B">
                <wp:simplePos x="0" y="0"/>
                <wp:positionH relativeFrom="column">
                  <wp:posOffset>-51435</wp:posOffset>
                </wp:positionH>
                <wp:positionV relativeFrom="paragraph">
                  <wp:posOffset>179070</wp:posOffset>
                </wp:positionV>
                <wp:extent cx="5476875" cy="1"/>
                <wp:effectExtent l="0" t="0" r="9525" b="19050"/>
                <wp:wrapNone/>
                <wp:docPr id="9" name="Conexão rect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76875" cy="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exão recta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5pt,14.1pt" to="427.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" strokecolor="black [3213]" strokeweight=".5pt">
                <o:lock v:ext="edit" shapetype="f"/>
              </v:line>
            </w:pict>
          </mc:Fallback>
        </mc:AlternateContent>
      </w:r>
    </w:p>
    <w:p w:rsidR="00F81BC7" w:rsidRPr="00D25EF3" w:rsidRDefault="00F81BC7" w:rsidP="00F81BC7">
      <w:pPr>
        <w:spacing w:line="480" w:lineRule="auto"/>
        <w:ind w:firstLine="0"/>
        <w:jc w:val="left"/>
        <w:rPr>
          <w:b/>
          <w:sz w:val="24"/>
          <w:lang w:val="en-US"/>
        </w:rPr>
      </w:pPr>
      <w:proofErr w:type="gramStart"/>
      <w:r>
        <w:rPr>
          <w:b/>
          <w:sz w:val="24"/>
          <w:lang w:val="en-US"/>
        </w:rPr>
        <w:t>Figure 1</w:t>
      </w:r>
      <w:r w:rsidRPr="00D25EF3">
        <w:rPr>
          <w:b/>
          <w:sz w:val="24"/>
          <w:lang w:val="en-US"/>
        </w:rPr>
        <w:t>.</w:t>
      </w:r>
      <w:proofErr w:type="gramEnd"/>
      <w:r w:rsidRPr="00D25EF3">
        <w:rPr>
          <w:b/>
          <w:sz w:val="24"/>
          <w:lang w:val="en-US"/>
        </w:rPr>
        <w:t xml:space="preserve"> </w:t>
      </w:r>
      <w:proofErr w:type="gramStart"/>
      <w:r w:rsidRPr="00D25EF3">
        <w:rPr>
          <w:sz w:val="24"/>
          <w:lang w:val="en-US"/>
        </w:rPr>
        <w:t xml:space="preserve">The moderating effect of clinical group (on-treatment and off-treatment) on the link between anxiety and </w:t>
      </w:r>
      <w:proofErr w:type="spellStart"/>
      <w:r w:rsidRPr="00D25EF3">
        <w:rPr>
          <w:sz w:val="24"/>
          <w:lang w:val="en-US"/>
        </w:rPr>
        <w:t>HRQoL</w:t>
      </w:r>
      <w:proofErr w:type="spellEnd"/>
      <w:r w:rsidRPr="00D25EF3">
        <w:rPr>
          <w:sz w:val="24"/>
          <w:lang w:val="en-US"/>
        </w:rPr>
        <w:t>.</w:t>
      </w:r>
      <w:proofErr w:type="gramEnd"/>
      <w:r w:rsidRPr="00D25EF3">
        <w:rPr>
          <w:sz w:val="24"/>
          <w:lang w:val="en-US"/>
        </w:rPr>
        <w:t xml:space="preserve"> </w:t>
      </w:r>
    </w:p>
    <w:p w:rsidR="00F81BC7" w:rsidRPr="00D25EF3" w:rsidRDefault="00F81BC7" w:rsidP="00F81BC7">
      <w:pPr>
        <w:spacing w:line="480" w:lineRule="auto"/>
        <w:ind w:firstLine="0"/>
        <w:jc w:val="left"/>
        <w:rPr>
          <w:sz w:val="24"/>
          <w:lang w:val="en-US"/>
        </w:rPr>
      </w:pPr>
      <w:r w:rsidRPr="00D25EF3">
        <w:rPr>
          <w:i/>
          <w:sz w:val="24"/>
          <w:lang w:val="en-US"/>
        </w:rPr>
        <w:t xml:space="preserve">Note. </w:t>
      </w:r>
      <w:r w:rsidRPr="00D25EF3">
        <w:rPr>
          <w:sz w:val="24"/>
          <w:lang w:val="en-US"/>
        </w:rPr>
        <w:t xml:space="preserve">The values on the extremes of each slope represent ranges of </w:t>
      </w:r>
      <w:proofErr w:type="spellStart"/>
      <w:r w:rsidRPr="00D25EF3">
        <w:rPr>
          <w:sz w:val="24"/>
          <w:lang w:val="en-US"/>
        </w:rPr>
        <w:t>HRQoL</w:t>
      </w:r>
      <w:proofErr w:type="spellEnd"/>
      <w:r w:rsidRPr="00D25EF3">
        <w:rPr>
          <w:sz w:val="24"/>
          <w:lang w:val="en-US"/>
        </w:rPr>
        <w:t xml:space="preserve"> for each clinical group. </w:t>
      </w:r>
    </w:p>
    <w:p w:rsidR="00F81BC7" w:rsidRPr="00D25EF3" w:rsidRDefault="00F81BC7" w:rsidP="00F81BC7">
      <w:pPr>
        <w:spacing w:line="480" w:lineRule="auto"/>
        <w:ind w:firstLine="0"/>
        <w:jc w:val="left"/>
        <w:rPr>
          <w:sz w:val="24"/>
          <w:lang w:val="en-US"/>
        </w:rPr>
      </w:pPr>
      <w:r w:rsidRPr="00D25EF3">
        <w:rPr>
          <w:sz w:val="24"/>
          <w:vertAlign w:val="superscript"/>
          <w:lang w:val="en-US"/>
        </w:rPr>
        <w:t xml:space="preserve">*** </w:t>
      </w:r>
      <w:proofErr w:type="gramStart"/>
      <w:r w:rsidRPr="00D25EF3">
        <w:rPr>
          <w:i/>
          <w:sz w:val="24"/>
          <w:lang w:val="en-US"/>
        </w:rPr>
        <w:t>p</w:t>
      </w:r>
      <w:proofErr w:type="gramEnd"/>
      <w:r w:rsidRPr="00D25EF3">
        <w:rPr>
          <w:i/>
          <w:sz w:val="24"/>
          <w:lang w:val="en-US"/>
        </w:rPr>
        <w:t xml:space="preserve"> </w:t>
      </w:r>
      <w:r w:rsidRPr="00D25EF3">
        <w:rPr>
          <w:sz w:val="24"/>
          <w:lang w:val="en-US"/>
        </w:rPr>
        <w:t xml:space="preserve">&lt; .001. </w:t>
      </w:r>
    </w:p>
    <w:p w:rsidR="00F81BC7" w:rsidRDefault="00F81BC7" w:rsidP="00F81BC7">
      <w:pPr>
        <w:rPr>
          <w:lang w:val="en-US"/>
        </w:rPr>
        <w:sectPr w:rsidR="00F81BC7">
          <w:pgSz w:w="11906" w:h="16838"/>
          <w:pgMar w:top="1417" w:right="1701" w:bottom="1417" w:left="1701" w:header="708" w:footer="708" w:gutter="0"/>
          <w:cols w:space="708"/>
          <w:docGrid w:linePitch="360"/>
        </w:sectPr>
      </w:pPr>
    </w:p>
    <w:p w:rsidR="00F81BC7" w:rsidRDefault="00F81BC7" w:rsidP="00F81BC7">
      <w:pPr>
        <w:rPr>
          <w:lang w:val="en-US"/>
        </w:rPr>
      </w:pPr>
    </w:p>
    <w:p w:rsidR="00F81BC7" w:rsidRDefault="00F81BC7" w:rsidP="00F81BC7">
      <w:pPr>
        <w:rPr>
          <w:lang w:val="en-US"/>
        </w:rPr>
      </w:pPr>
    </w:p>
    <w:p w:rsidR="00F81BC7" w:rsidRDefault="00F81BC7" w:rsidP="00F81BC7">
      <w:pPr>
        <w:rPr>
          <w:lang w:val="en-US"/>
        </w:rPr>
      </w:pPr>
    </w:p>
    <w:p w:rsidR="00F81BC7" w:rsidRDefault="00F81BC7" w:rsidP="00F81BC7">
      <w:pPr>
        <w:rPr>
          <w:lang w:val="en-US"/>
        </w:rPr>
      </w:pPr>
    </w:p>
    <w:p w:rsidR="00F81BC7" w:rsidRDefault="00F81BC7" w:rsidP="00F81BC7">
      <w:pPr>
        <w:rPr>
          <w:lang w:val="en-US"/>
        </w:rPr>
      </w:pPr>
    </w:p>
    <w:p w:rsidR="00F81BC7" w:rsidRDefault="00F81BC7" w:rsidP="00F81BC7">
      <w:pPr>
        <w:rPr>
          <w:lang w:val="en-US"/>
        </w:rPr>
      </w:pPr>
      <w:r>
        <w:rPr>
          <w:noProof/>
          <w:lang w:eastAsia="pt-PT"/>
        </w:rPr>
        <mc:AlternateContent>
          <mc:Choice Requires="wpg">
            <w:drawing>
              <wp:anchor distT="0" distB="0" distL="114300" distR="114300" simplePos="0" relativeHeight="251663360" behindDoc="0" locked="0" layoutInCell="1" allowOverlap="1" wp14:anchorId="4CC04A80" wp14:editId="07F6E5B2">
                <wp:simplePos x="0" y="0"/>
                <wp:positionH relativeFrom="column">
                  <wp:posOffset>97155</wp:posOffset>
                </wp:positionH>
                <wp:positionV relativeFrom="paragraph">
                  <wp:posOffset>88265</wp:posOffset>
                </wp:positionV>
                <wp:extent cx="3847465" cy="1381125"/>
                <wp:effectExtent l="0" t="0" r="19685" b="9525"/>
                <wp:wrapNone/>
                <wp:docPr id="66" name="Grupo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47465" cy="1381125"/>
                          <a:chOff x="0" y="0"/>
                          <a:chExt cx="3847465" cy="1381125"/>
                        </a:xfrm>
                      </wpg:grpSpPr>
                      <wps:wsp>
                        <wps:cNvPr id="59" name="Text Box 105"/>
                        <wps:cNvSpPr txBox="1">
                          <a:spLocks noChangeArrowheads="1"/>
                        </wps:cNvSpPr>
                        <wps:spPr bwMode="auto">
                          <a:xfrm>
                            <a:off x="0" y="790575"/>
                            <a:ext cx="932815" cy="29527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1BC7" w:rsidRPr="00992A94" w:rsidRDefault="00F81BC7" w:rsidP="00F81BC7">
                              <w:pPr>
                                <w:ind w:firstLine="0"/>
                                <w:jc w:val="center"/>
                                <w:rPr>
                                  <w:sz w:val="20"/>
                                  <w:szCs w:val="20"/>
                                </w:rPr>
                              </w:pPr>
                              <w:proofErr w:type="spellStart"/>
                              <w:r>
                                <w:rPr>
                                  <w:sz w:val="20"/>
                                  <w:szCs w:val="20"/>
                                </w:rPr>
                                <w:t>Hope</w:t>
                              </w:r>
                              <w:proofErr w:type="spellEnd"/>
                            </w:p>
                          </w:txbxContent>
                        </wps:txbx>
                        <wps:bodyPr rot="0" vert="horz" wrap="square" lIns="91440" tIns="45720" rIns="91440" bIns="45720" anchor="t" anchorCtr="0" upright="1">
                          <a:noAutofit/>
                        </wps:bodyPr>
                      </wps:wsp>
                      <wps:wsp>
                        <wps:cNvPr id="60" name="Text Box 105"/>
                        <wps:cNvSpPr txBox="1">
                          <a:spLocks noChangeArrowheads="1"/>
                        </wps:cNvSpPr>
                        <wps:spPr bwMode="auto">
                          <a:xfrm>
                            <a:off x="2914650" y="771525"/>
                            <a:ext cx="932815" cy="29527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1BC7" w:rsidRPr="00992A94" w:rsidRDefault="00F81BC7" w:rsidP="00F81BC7">
                              <w:pPr>
                                <w:ind w:firstLine="0"/>
                                <w:jc w:val="center"/>
                                <w:rPr>
                                  <w:sz w:val="20"/>
                                  <w:szCs w:val="20"/>
                                </w:rPr>
                              </w:pPr>
                              <w:proofErr w:type="spellStart"/>
                              <w:r>
                                <w:rPr>
                                  <w:sz w:val="20"/>
                                  <w:szCs w:val="20"/>
                                </w:rPr>
                                <w:t>HRQoL</w:t>
                              </w:r>
                              <w:proofErr w:type="spellEnd"/>
                            </w:p>
                          </w:txbxContent>
                        </wps:txbx>
                        <wps:bodyPr rot="0" vert="horz" wrap="square" lIns="91440" tIns="45720" rIns="91440" bIns="45720" anchor="t" anchorCtr="0" upright="1">
                          <a:noAutofit/>
                        </wps:bodyPr>
                      </wps:wsp>
                      <wps:wsp>
                        <wps:cNvPr id="61" name="Conexão recta unidireccional 18"/>
                        <wps:cNvCnPr>
                          <a:cxnSpLocks noChangeShapeType="1"/>
                        </wps:cNvCnPr>
                        <wps:spPr bwMode="auto">
                          <a:xfrm>
                            <a:off x="933450" y="904875"/>
                            <a:ext cx="1981200"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105"/>
                        <wps:cNvSpPr txBox="1">
                          <a:spLocks noChangeArrowheads="1"/>
                        </wps:cNvSpPr>
                        <wps:spPr bwMode="auto">
                          <a:xfrm>
                            <a:off x="1400175" y="0"/>
                            <a:ext cx="932815" cy="29527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1BC7" w:rsidRPr="00992A94" w:rsidRDefault="00F81BC7" w:rsidP="00F81BC7">
                              <w:pPr>
                                <w:ind w:firstLine="0"/>
                                <w:jc w:val="center"/>
                                <w:rPr>
                                  <w:sz w:val="20"/>
                                  <w:szCs w:val="20"/>
                                </w:rPr>
                              </w:pPr>
                              <w:proofErr w:type="spellStart"/>
                              <w:r>
                                <w:rPr>
                                  <w:sz w:val="20"/>
                                  <w:szCs w:val="20"/>
                                </w:rPr>
                                <w:t>Anxiety</w:t>
                              </w:r>
                              <w:proofErr w:type="spellEnd"/>
                            </w:p>
                          </w:txbxContent>
                        </wps:txbx>
                        <wps:bodyPr rot="0" vert="horz" wrap="square" lIns="91440" tIns="45720" rIns="91440" bIns="45720" anchor="t" anchorCtr="0" upright="1">
                          <a:noAutofit/>
                        </wps:bodyPr>
                      </wps:wsp>
                      <wps:wsp>
                        <wps:cNvPr id="63" name="Conexão recta unidireccional 15"/>
                        <wps:cNvCnPr>
                          <a:cxnSpLocks noChangeShapeType="1"/>
                        </wps:cNvCnPr>
                        <wps:spPr bwMode="auto">
                          <a:xfrm>
                            <a:off x="2333625" y="161925"/>
                            <a:ext cx="932815" cy="61214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Conexão recta unidireccional 14"/>
                        <wps:cNvCnPr>
                          <a:cxnSpLocks noChangeShapeType="1"/>
                        </wps:cNvCnPr>
                        <wps:spPr bwMode="auto">
                          <a:xfrm flipV="1">
                            <a:off x="485775" y="200025"/>
                            <a:ext cx="913765" cy="59055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105"/>
                        <wps:cNvSpPr txBox="1">
                          <a:spLocks noChangeArrowheads="1"/>
                        </wps:cNvSpPr>
                        <wps:spPr bwMode="auto">
                          <a:xfrm>
                            <a:off x="781050" y="390525"/>
                            <a:ext cx="590550" cy="257175"/>
                          </a:xfrm>
                          <a:prstGeom prst="rect">
                            <a:avLst/>
                          </a:prstGeom>
                          <a:solidFill>
                            <a:srgbClr val="FFFFFF"/>
                          </a:solidFill>
                          <a:ln w="3175">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1BC7" w:rsidRPr="00721403" w:rsidRDefault="00F81BC7" w:rsidP="00F81BC7">
                              <w:pPr>
                                <w:spacing w:line="240" w:lineRule="auto"/>
                                <w:ind w:firstLine="0"/>
                                <w:rPr>
                                  <w:b/>
                                  <w:sz w:val="18"/>
                                  <w:szCs w:val="18"/>
                                </w:rPr>
                              </w:pPr>
                              <w:r>
                                <w:rPr>
                                  <w:b/>
                                  <w:sz w:val="18"/>
                                  <w:szCs w:val="18"/>
                                </w:rPr>
                                <w:t>-.08</w:t>
                              </w:r>
                              <w:r w:rsidRPr="00721403">
                                <w:rPr>
                                  <w:b/>
                                  <w:sz w:val="18"/>
                                  <w:szCs w:val="18"/>
                                  <w:vertAlign w:val="superscript"/>
                                </w:rPr>
                                <w:t>**</w:t>
                              </w:r>
                              <w:r>
                                <w:rPr>
                                  <w:b/>
                                  <w:sz w:val="18"/>
                                  <w:szCs w:val="18"/>
                                  <w:vertAlign w:val="superscript"/>
                                </w:rPr>
                                <w:t>*</w:t>
                              </w:r>
                            </w:p>
                          </w:txbxContent>
                        </wps:txbx>
                        <wps:bodyPr rot="0" vert="horz" wrap="square" lIns="91440" tIns="45720" rIns="91440" bIns="45720" anchor="t" anchorCtr="0" upright="1">
                          <a:noAutofit/>
                        </wps:bodyPr>
                      </wps:wsp>
                      <wps:wsp>
                        <wps:cNvPr id="56" name="Text Box 105"/>
                        <wps:cNvSpPr txBox="1">
                          <a:spLocks noChangeArrowheads="1"/>
                        </wps:cNvSpPr>
                        <wps:spPr bwMode="auto">
                          <a:xfrm>
                            <a:off x="1562100" y="781050"/>
                            <a:ext cx="723900" cy="257175"/>
                          </a:xfrm>
                          <a:prstGeom prst="rect">
                            <a:avLst/>
                          </a:prstGeom>
                          <a:solidFill>
                            <a:srgbClr val="FFFFFF"/>
                          </a:solidFill>
                          <a:ln w="3175">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1BC7" w:rsidRPr="00721403" w:rsidRDefault="00F81BC7" w:rsidP="00F81BC7">
                              <w:pPr>
                                <w:spacing w:line="240" w:lineRule="auto"/>
                                <w:ind w:firstLine="0"/>
                                <w:jc w:val="center"/>
                                <w:rPr>
                                  <w:b/>
                                  <w:sz w:val="18"/>
                                  <w:szCs w:val="18"/>
                                </w:rPr>
                              </w:pPr>
                              <w:r>
                                <w:rPr>
                                  <w:b/>
                                  <w:sz w:val="18"/>
                                  <w:szCs w:val="18"/>
                                </w:rPr>
                                <w:t>.21</w:t>
                              </w:r>
                              <w:r w:rsidRPr="00721403">
                                <w:rPr>
                                  <w:b/>
                                  <w:sz w:val="18"/>
                                  <w:szCs w:val="18"/>
                                  <w:vertAlign w:val="superscript"/>
                                </w:rPr>
                                <w:t>**</w:t>
                              </w:r>
                              <w:r>
                                <w:rPr>
                                  <w:b/>
                                  <w:sz w:val="18"/>
                                  <w:szCs w:val="18"/>
                                  <w:vertAlign w:val="superscript"/>
                                </w:rPr>
                                <w:t xml:space="preserve">* </w:t>
                              </w:r>
                              <w:r>
                                <w:rPr>
                                  <w:b/>
                                  <w:sz w:val="18"/>
                                  <w:szCs w:val="18"/>
                                </w:rPr>
                                <w:t>(.10</w:t>
                              </w:r>
                              <w:r w:rsidRPr="00721403">
                                <w:rPr>
                                  <w:b/>
                                  <w:sz w:val="18"/>
                                  <w:szCs w:val="18"/>
                                  <w:vertAlign w:val="superscript"/>
                                </w:rPr>
                                <w:t>*</w:t>
                              </w:r>
                              <w:r>
                                <w:rPr>
                                  <w:b/>
                                  <w:sz w:val="18"/>
                                  <w:szCs w:val="18"/>
                                </w:rPr>
                                <w:t>)</w:t>
                              </w:r>
                            </w:p>
                          </w:txbxContent>
                        </wps:txbx>
                        <wps:bodyPr rot="0" vert="horz" wrap="square" lIns="91440" tIns="45720" rIns="91440" bIns="45720" anchor="t" anchorCtr="0" upright="1">
                          <a:noAutofit/>
                        </wps:bodyPr>
                      </wps:wsp>
                      <wps:wsp>
                        <wps:cNvPr id="57" name="Text Box 105"/>
                        <wps:cNvSpPr txBox="1">
                          <a:spLocks noChangeArrowheads="1"/>
                        </wps:cNvSpPr>
                        <wps:spPr bwMode="auto">
                          <a:xfrm>
                            <a:off x="2514600" y="371475"/>
                            <a:ext cx="571500" cy="257175"/>
                          </a:xfrm>
                          <a:prstGeom prst="rect">
                            <a:avLst/>
                          </a:prstGeom>
                          <a:solidFill>
                            <a:srgbClr val="FFFFFF"/>
                          </a:solidFill>
                          <a:ln w="3175">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1BC7" w:rsidRPr="001366B5" w:rsidRDefault="00F81BC7" w:rsidP="00F81BC7">
                              <w:pPr>
                                <w:spacing w:line="240" w:lineRule="auto"/>
                                <w:ind w:firstLine="0"/>
                                <w:rPr>
                                  <w:b/>
                                  <w:sz w:val="18"/>
                                  <w:szCs w:val="18"/>
                                </w:rPr>
                              </w:pPr>
                              <w:r>
                                <w:rPr>
                                  <w:b/>
                                  <w:sz w:val="18"/>
                                  <w:szCs w:val="18"/>
                                </w:rPr>
                                <w:t>-1.35</w:t>
                              </w:r>
                              <w:r w:rsidRPr="001366B5">
                                <w:rPr>
                                  <w:b/>
                                  <w:sz w:val="18"/>
                                  <w:szCs w:val="18"/>
                                  <w:vertAlign w:val="superscript"/>
                                </w:rPr>
                                <w:t>**</w:t>
                              </w:r>
                              <w:r>
                                <w:rPr>
                                  <w:b/>
                                  <w:sz w:val="18"/>
                                  <w:szCs w:val="18"/>
                                  <w:vertAlign w:val="superscript"/>
                                </w:rPr>
                                <w:t>*</w:t>
                              </w:r>
                            </w:p>
                          </w:txbxContent>
                        </wps:txbx>
                        <wps:bodyPr rot="0" vert="horz" wrap="square" lIns="91440" tIns="45720" rIns="91440" bIns="45720" anchor="t" anchorCtr="0" upright="1">
                          <a:noAutofit/>
                        </wps:bodyPr>
                      </wps:wsp>
                      <wpg:grpSp>
                        <wpg:cNvPr id="14" name="Grupo 44"/>
                        <wpg:cNvGrpSpPr>
                          <a:grpSpLocks/>
                        </wpg:cNvGrpSpPr>
                        <wpg:grpSpPr bwMode="auto">
                          <a:xfrm>
                            <a:off x="485775" y="1085850"/>
                            <a:ext cx="2898775" cy="228600"/>
                            <a:chOff x="0" y="0"/>
                            <a:chExt cx="28990" cy="2286"/>
                          </a:xfrm>
                        </wpg:grpSpPr>
                        <wps:wsp>
                          <wps:cNvPr id="15" name="Conexão recta 40"/>
                          <wps:cNvCnPr/>
                          <wps:spPr bwMode="auto">
                            <a:xfrm>
                              <a:off x="0" y="190"/>
                              <a:ext cx="0" cy="2096"/>
                            </a:xfrm>
                            <a:prstGeom prst="line">
                              <a:avLst/>
                            </a:prstGeom>
                            <a:noFill/>
                            <a:ln w="12700">
                              <a:solidFill>
                                <a:schemeClr val="tx1">
                                  <a:lumMod val="100000"/>
                                  <a:lumOff val="0"/>
                                </a:schemeClr>
                              </a:solidFill>
                              <a:prstDash val="sysDash"/>
                              <a:round/>
                              <a:headEnd/>
                              <a:tailEnd/>
                            </a:ln>
                            <a:extLst>
                              <a:ext uri="{909E8E84-426E-40DD-AFC4-6F175D3DCCD1}">
                                <a14:hiddenFill xmlns:a14="http://schemas.microsoft.com/office/drawing/2010/main">
                                  <a:noFill/>
                                </a14:hiddenFill>
                              </a:ext>
                            </a:extLst>
                          </wps:spPr>
                          <wps:bodyPr/>
                        </wps:wsp>
                        <wps:wsp>
                          <wps:cNvPr id="16" name="Conexão recta 41"/>
                          <wps:cNvCnPr/>
                          <wps:spPr bwMode="auto">
                            <a:xfrm>
                              <a:off x="190" y="2190"/>
                              <a:ext cx="28800" cy="0"/>
                            </a:xfrm>
                            <a:prstGeom prst="line">
                              <a:avLst/>
                            </a:prstGeom>
                            <a:noFill/>
                            <a:ln w="12700">
                              <a:solidFill>
                                <a:schemeClr val="tx1">
                                  <a:lumMod val="100000"/>
                                  <a:lumOff val="0"/>
                                </a:schemeClr>
                              </a:solidFill>
                              <a:prstDash val="sysDash"/>
                              <a:round/>
                              <a:headEnd/>
                              <a:tailEnd/>
                            </a:ln>
                            <a:extLst>
                              <a:ext uri="{909E8E84-426E-40DD-AFC4-6F175D3DCCD1}">
                                <a14:hiddenFill xmlns:a14="http://schemas.microsoft.com/office/drawing/2010/main">
                                  <a:noFill/>
                                </a14:hiddenFill>
                              </a:ext>
                            </a:extLst>
                          </wps:spPr>
                          <wps:bodyPr/>
                        </wps:wsp>
                        <wps:wsp>
                          <wps:cNvPr id="17" name="Conexão recta unidireccional 43"/>
                          <wps:cNvCnPr>
                            <a:cxnSpLocks noChangeShapeType="1"/>
                          </wps:cNvCnPr>
                          <wps:spPr bwMode="auto">
                            <a:xfrm flipV="1">
                              <a:off x="28956" y="0"/>
                              <a:ext cx="0" cy="2160"/>
                            </a:xfrm>
                            <a:prstGeom prst="straightConnector1">
                              <a:avLst/>
                            </a:prstGeom>
                            <a:noFill/>
                            <a:ln w="12700">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g:grpSp>
                      <wps:wsp>
                        <wps:cNvPr id="65" name="Text Box 105"/>
                        <wps:cNvSpPr txBox="1">
                          <a:spLocks noChangeArrowheads="1"/>
                        </wps:cNvSpPr>
                        <wps:spPr bwMode="auto">
                          <a:xfrm>
                            <a:off x="1704975" y="1181100"/>
                            <a:ext cx="333375" cy="200025"/>
                          </a:xfrm>
                          <a:prstGeom prst="rect">
                            <a:avLst/>
                          </a:prstGeom>
                          <a:solidFill>
                            <a:srgbClr val="FFFFFF"/>
                          </a:solidFill>
                          <a:ln w="3175">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1BC7" w:rsidRPr="00391886" w:rsidRDefault="00F81BC7" w:rsidP="00F81BC7">
                              <w:pPr>
                                <w:spacing w:line="240" w:lineRule="auto"/>
                                <w:ind w:firstLine="0"/>
                                <w:rPr>
                                  <w:i/>
                                  <w:sz w:val="18"/>
                                  <w:szCs w:val="18"/>
                                </w:rPr>
                              </w:pPr>
                              <w:r>
                                <w:rPr>
                                  <w:i/>
                                  <w:sz w:val="18"/>
                                  <w:szCs w:val="18"/>
                                </w:rPr>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upo 66" o:spid="_x0000_s1026" style="position:absolute;left:0;text-align:left;margin-left:7.65pt;margin-top:6.95pt;width:302.95pt;height:108.75pt;z-index:251663360;mso-height-relative:margin" coordsize="38474,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">
                <v:shapetype id="_x0000_t202" coordsize="21600,21600" o:spt="202" path="m,l,21600r21600,l21600,xe">
                  <v:stroke joinstyle="miter"/>
                  <v:path gradientshapeok="t" o:connecttype="rect"/>
                </v:shapetype>
                <v:shape id="Text Box 105" o:spid="_x0000_s1027" type="#_x0000_t202" style="position:absolute;top:7905;width:932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hcMA&#10;AADbAAAADwAAAGRycy9kb3ducmV2LnhtbESPQWsCMRSE70L/Q3iF3jRpodWuZpdtweJBD2rx/Ni8&#10;bpZuXpZNqqu/vhEEj8PMfMMsisG14kh9aDxreJ4oEMSVNw3XGr73y/EMRIjIBlvPpOFMAYr8YbTA&#10;zPgTb+m4i7VIEA4ZarAxdpmUobLkMEx8R5y8H987jEn2tTQ9nhLctfJFqTfpsOG0YLGjT0vV7+7P&#10;abiszcHIksvVfvml1PTDdDZstH56HMo5iEhDvIdv7ZXR8PoO1y/pB8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KhcMAAADbAAAADwAAAAAAAAAAAAAAAACYAgAAZHJzL2Rv&#10;d25yZXYueG1sUEsFBgAAAAAEAAQA9QAAAIgDAAAAAA==&#10;" strokeweight=".25pt">
                  <v:shadow color="#868686"/>
                  <v:textbox>
                    <w:txbxContent>
                      <w:p w:rsidR="00F81BC7" w:rsidRPr="00992A94" w:rsidRDefault="00F81BC7" w:rsidP="00F81BC7">
                        <w:pPr>
                          <w:ind w:firstLine="0"/>
                          <w:jc w:val="center"/>
                          <w:rPr>
                            <w:sz w:val="20"/>
                            <w:szCs w:val="20"/>
                          </w:rPr>
                        </w:pPr>
                        <w:proofErr w:type="spellStart"/>
                        <w:r>
                          <w:rPr>
                            <w:sz w:val="20"/>
                            <w:szCs w:val="20"/>
                          </w:rPr>
                          <w:t>Hope</w:t>
                        </w:r>
                        <w:proofErr w:type="spellEnd"/>
                      </w:p>
                    </w:txbxContent>
                  </v:textbox>
                </v:shape>
                <v:shape id="Text Box 105" o:spid="_x0000_s1028" type="#_x0000_t202" style="position:absolute;left:29146;top:7715;width:932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4ppb8A&#10;AADbAAAADwAAAGRycy9kb3ducmV2LnhtbERPTYvCMBC9C/6HMII3TfSgS9coXUHxoIe14nloZpuy&#10;zaQ0Uau/3hwW9vh436tN7xpxpy7UnjXMpgoEcelNzZWGS7GbfIAIEdlg45k0PCnAZj0crDAz/sHf&#10;dD/HSqQQDhlqsDG2mZShtOQwTH1LnLgf3zmMCXaVNB0+Urhr5FyphXRYc2qw2NLWUvl7vjkNr6O5&#10;Gplzfih2e6WWX6a14aT1eNTnnyAi9fFf/Oc+GA2LtD59ST9Ar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vimlvwAAANsAAAAPAAAAAAAAAAAAAAAAAJgCAABkcnMvZG93bnJl&#10;di54bWxQSwUGAAAAAAQABAD1AAAAhAMAAAAA&#10;" strokeweight=".25pt">
                  <v:shadow color="#868686"/>
                  <v:textbox>
                    <w:txbxContent>
                      <w:p w:rsidR="00F81BC7" w:rsidRPr="00992A94" w:rsidRDefault="00F81BC7" w:rsidP="00F81BC7">
                        <w:pPr>
                          <w:ind w:firstLine="0"/>
                          <w:jc w:val="center"/>
                          <w:rPr>
                            <w:sz w:val="20"/>
                            <w:szCs w:val="20"/>
                          </w:rPr>
                        </w:pPr>
                        <w:proofErr w:type="spellStart"/>
                        <w:r>
                          <w:rPr>
                            <w:sz w:val="20"/>
                            <w:szCs w:val="20"/>
                          </w:rPr>
                          <w:t>HRQoL</w:t>
                        </w:r>
                        <w:proofErr w:type="spellEnd"/>
                      </w:p>
                    </w:txbxContent>
                  </v:textbox>
                </v:shape>
                <v:shapetype id="_x0000_t32" coordsize="21600,21600" o:spt="32" o:oned="t" path="m,l21600,21600e" filled="f">
                  <v:path arrowok="t" fillok="f" o:connecttype="none"/>
                  <o:lock v:ext="edit" shapetype="t"/>
                </v:shapetype>
                <v:shape id="Conexão recta unidireccional 18" o:spid="_x0000_s1029" type="#_x0000_t32" style="position:absolute;left:9334;top:9048;width:198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3/Y8MAAADbAAAADwAAAGRycy9kb3ducmV2LnhtbESPQWvCQBCF7wX/wzJCb3WjBy2pq1ip&#10;4EloKrTHITsmwexsyEw19dd3hUKPj/fe93jL9RBac6FemsgOppMMDHEZfcOVg+PH7ukZjCiyxzYy&#10;OfghgfVq9LDE3Mcrv9Ol0MokCEuODmrVLrdWypoCyiR2xMk7xT6gJtlX1vd4TfDQ2lmWzW3AhtNC&#10;jR1tayrPxXdwoG+vh/a0OFv9+ixmsr1VmcjGucfxsHkBozTof/ivvfcO5lO4f0k/w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N/2PDAAAA2wAAAA8AAAAAAAAAAAAA&#10;AAAAoQIAAGRycy9kb3ducmV2LnhtbFBLBQYAAAAABAAEAPkAAACRAwAAAAA=&#10;" strokeweight=".25pt">
                  <v:stroke endarrow="block"/>
                </v:shape>
                <v:shape id="Text Box 105" o:spid="_x0000_s1030" type="#_x0000_t202" style="position:absolute;left:14001;width:9328;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SScMA&#10;AADbAAAADwAAAGRycy9kb3ducmV2LnhtbESPwWrDMBBE74H+g9hCb4nUHNLgRglOIcGH5lCn9LxY&#10;W8vEWhlLsd1+fVQo5DjMzBtms5tcKwbqQ+NZw/NCgSCuvGm41vB5PszXIEJENth6Jg0/FGC3fZht&#10;MDN+5A8ayliLBOGQoQYbY5dJGSpLDsPCd8TJ+/a9w5hkX0vT45jgrpVLpVbSYcNpwWJHb5aqS3l1&#10;Gn7fzZeROefF+XBU6mVvOhtOWj89TvkriEhTvIf/24XRsFrC35f0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ASScMAAADbAAAADwAAAAAAAAAAAAAAAACYAgAAZHJzL2Rv&#10;d25yZXYueG1sUEsFBgAAAAAEAAQA9QAAAIgDAAAAAA==&#10;" strokeweight=".25pt">
                  <v:shadow color="#868686"/>
                  <v:textbox>
                    <w:txbxContent>
                      <w:p w:rsidR="00F81BC7" w:rsidRPr="00992A94" w:rsidRDefault="00F81BC7" w:rsidP="00F81BC7">
                        <w:pPr>
                          <w:ind w:firstLine="0"/>
                          <w:jc w:val="center"/>
                          <w:rPr>
                            <w:sz w:val="20"/>
                            <w:szCs w:val="20"/>
                          </w:rPr>
                        </w:pPr>
                        <w:proofErr w:type="spellStart"/>
                        <w:r>
                          <w:rPr>
                            <w:sz w:val="20"/>
                            <w:szCs w:val="20"/>
                          </w:rPr>
                          <w:t>Anxiety</w:t>
                        </w:r>
                        <w:proofErr w:type="spellEnd"/>
                      </w:p>
                    </w:txbxContent>
                  </v:textbox>
                </v:shape>
                <v:shape id="Conexão recta unidireccional 15" o:spid="_x0000_s1031" type="#_x0000_t32" style="position:absolute;left:23336;top:1619;width:9328;height:6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PEj8MAAADbAAAADwAAAGRycy9kb3ducmV2LnhtbESPUWvCQBCE3wv9D8cW+lYvtWBL6ilW&#10;FHwSjIX2ccmtSTC3F7Jbjf31PUHo4zAz3zDT+RBac6JemsgOnkcZGOIy+oYrB5/79dMbGFFkj21k&#10;cnAhgfns/m6KuY9n3tGp0MokCEuODmrVLrdWypoCyih2xMk7xD6gJtlX1vd4TvDQ2nGWTWzAhtNC&#10;jR0tayqPxU9woKuPbXt4PVr9/irGsvytMpGFc48Pw+IdjNKg/+Fbe+MdTF7g+iX9ADv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TxI/DAAAA2wAAAA8AAAAAAAAAAAAA&#10;AAAAoQIAAGRycy9kb3ducmV2LnhtbFBLBQYAAAAABAAEAPkAAACRAwAAAAA=&#10;" strokeweight=".25pt">
                  <v:stroke endarrow="block"/>
                </v:shape>
                <v:shape id="Conexão recta unidireccional 14" o:spid="_x0000_s1032" type="#_x0000_t32" style="position:absolute;left:4857;top:2000;width:9138;height:5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8WWMIAAADbAAAADwAAAGRycy9kb3ducmV2LnhtbESPQWvCQBSE74X+h+UJvdVdi4hE1yBp&#10;xV6beNDbI/vMBrNv0+xW47/vFgoeh5n5hlnno+vElYbQetYwmyoQxLU3LTcaDtXudQkiRGSDnWfS&#10;cKcA+eb5aY2Z8Tf+omsZG5EgHDLUYGPsMylDbclhmPqeOHlnPziMSQ6NNAPeEtx18k2phXTYclqw&#10;2FNhqb6UP05DUb1/73dtUylbdeZUBnW8+w+tXybjdgUi0hgf4f/2p9GwmMPfl/Q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8WWMIAAADbAAAADwAAAAAAAAAAAAAA&#10;AAChAgAAZHJzL2Rvd25yZXYueG1sUEsFBgAAAAAEAAQA+QAAAJADAAAAAA==&#10;" strokeweight=".25pt">
                  <v:stroke endarrow="block"/>
                </v:shape>
                <v:shape id="Text Box 105" o:spid="_x0000_s1033" type="#_x0000_t202" style="position:absolute;left:7810;top:3905;width:590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rwsMA&#10;AADbAAAADwAAAGRycy9kb3ducmV2LnhtbERPz2vCMBS+C/sfwhvsIprqUKQaZRsMNsSD3Q56ezSv&#10;TbF5qU3U6l9vDoLHj+/3YtXZWpyp9ZVjBaNhAoI4d7riUsH/3/dgBsIHZI21Y1JwJQ+r5Utvgal2&#10;F97SOQuliCHsU1RgQmhSKX1uyKIfuoY4coVrLYYI21LqFi8x3NZynCRTabHi2GCwoS9D+SE7WQXr&#10;d1sczX6Ht2Kd/45vm/7ms39S6u21+5iDCNSFp/jh/tEKJnFs/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YrwsMAAADbAAAADwAAAAAAAAAAAAAAAACYAgAAZHJzL2Rv&#10;d25yZXYueG1sUEsFBgAAAAAEAAQA9QAAAIgDAAAAAA==&#10;" stroked="f" strokeweight=".25pt">
                  <v:shadow color="#868686"/>
                  <v:textbox>
                    <w:txbxContent>
                      <w:p w:rsidR="00F81BC7" w:rsidRPr="00721403" w:rsidRDefault="00F81BC7" w:rsidP="00F81BC7">
                        <w:pPr>
                          <w:spacing w:line="240" w:lineRule="auto"/>
                          <w:ind w:firstLine="0"/>
                          <w:rPr>
                            <w:b/>
                            <w:sz w:val="18"/>
                            <w:szCs w:val="18"/>
                          </w:rPr>
                        </w:pPr>
                        <w:r>
                          <w:rPr>
                            <w:b/>
                            <w:sz w:val="18"/>
                            <w:szCs w:val="18"/>
                          </w:rPr>
                          <w:t>-.08</w:t>
                        </w:r>
                        <w:r w:rsidRPr="00721403">
                          <w:rPr>
                            <w:b/>
                            <w:sz w:val="18"/>
                            <w:szCs w:val="18"/>
                            <w:vertAlign w:val="superscript"/>
                          </w:rPr>
                          <w:t>**</w:t>
                        </w:r>
                        <w:r>
                          <w:rPr>
                            <w:b/>
                            <w:sz w:val="18"/>
                            <w:szCs w:val="18"/>
                            <w:vertAlign w:val="superscript"/>
                          </w:rPr>
                          <w:t>*</w:t>
                        </w:r>
                      </w:p>
                    </w:txbxContent>
                  </v:textbox>
                </v:shape>
                <v:shape id="Text Box 105" o:spid="_x0000_s1034" type="#_x0000_t202" style="position:absolute;left:15621;top:7810;width:723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aK8YA&#10;AADbAAAADwAAAGRycy9kb3ducmV2LnhtbESPQWvCQBSE70L/w/IKvYhualEkdRO0UGgRD1UPentk&#10;X7Kh2bdpdtXUX+8WhB6HmfmGWeS9bcSZOl87VvA8TkAQF07XXCnY795HcxA+IGtsHJOCX/KQZw+D&#10;BabaXfiLzttQiQhhn6ICE0KbSukLQxb92LXE0StdZzFE2VVSd3iJcNvISZLMpMWa44LBlt4MFd/b&#10;k1WwfrHljzke8Fqui8/JdTPcrIYnpZ4e++UriEB9+A/f2x9awXQGf1/iD5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UaK8YAAADbAAAADwAAAAAAAAAAAAAAAACYAgAAZHJz&#10;L2Rvd25yZXYueG1sUEsFBgAAAAAEAAQA9QAAAIsDAAAAAA==&#10;" stroked="f" strokeweight=".25pt">
                  <v:shadow color="#868686"/>
                  <v:textbox>
                    <w:txbxContent>
                      <w:p w:rsidR="00F81BC7" w:rsidRPr="00721403" w:rsidRDefault="00F81BC7" w:rsidP="00F81BC7">
                        <w:pPr>
                          <w:spacing w:line="240" w:lineRule="auto"/>
                          <w:ind w:firstLine="0"/>
                          <w:jc w:val="center"/>
                          <w:rPr>
                            <w:b/>
                            <w:sz w:val="18"/>
                            <w:szCs w:val="18"/>
                          </w:rPr>
                        </w:pPr>
                        <w:r>
                          <w:rPr>
                            <w:b/>
                            <w:sz w:val="18"/>
                            <w:szCs w:val="18"/>
                          </w:rPr>
                          <w:t>.21</w:t>
                        </w:r>
                        <w:r w:rsidRPr="00721403">
                          <w:rPr>
                            <w:b/>
                            <w:sz w:val="18"/>
                            <w:szCs w:val="18"/>
                            <w:vertAlign w:val="superscript"/>
                          </w:rPr>
                          <w:t>**</w:t>
                        </w:r>
                        <w:r>
                          <w:rPr>
                            <w:b/>
                            <w:sz w:val="18"/>
                            <w:szCs w:val="18"/>
                            <w:vertAlign w:val="superscript"/>
                          </w:rPr>
                          <w:t xml:space="preserve">* </w:t>
                        </w:r>
                        <w:r>
                          <w:rPr>
                            <w:b/>
                            <w:sz w:val="18"/>
                            <w:szCs w:val="18"/>
                          </w:rPr>
                          <w:t>(.10</w:t>
                        </w:r>
                        <w:r w:rsidRPr="00721403">
                          <w:rPr>
                            <w:b/>
                            <w:sz w:val="18"/>
                            <w:szCs w:val="18"/>
                            <w:vertAlign w:val="superscript"/>
                          </w:rPr>
                          <w:t>*</w:t>
                        </w:r>
                        <w:r>
                          <w:rPr>
                            <w:b/>
                            <w:sz w:val="18"/>
                            <w:szCs w:val="18"/>
                          </w:rPr>
                          <w:t>)</w:t>
                        </w:r>
                      </w:p>
                    </w:txbxContent>
                  </v:textbox>
                </v:shape>
                <v:shape id="Text Box 105" o:spid="_x0000_s1035" type="#_x0000_t202" style="position:absolute;left:25146;top:3714;width:571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sMcA&#10;AADbAAAADwAAAGRycy9kb3ducmV2LnhtbESPQWvCQBSE70L/w/IKvYhuqrSW1FVqQbCIB1MP9vbI&#10;vmRDs29jdtXor+8KBY/DzHzDTOedrcWJWl85VvA8TEAQ505XXCrYfS8HbyB8QNZYOyYFF/Iwnz30&#10;pphqd+YtnbJQighhn6ICE0KTSulzQxb90DXE0StcazFE2ZZSt3iOcFvLUZK8SosVxwWDDX0ayn+z&#10;o1WwHtviYH72eC3W+dfouulvFv2jUk+P3cc7iEBduIf/2yut4GUCt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Jv7DHAAAA2wAAAA8AAAAAAAAAAAAAAAAAmAIAAGRy&#10;cy9kb3ducmV2LnhtbFBLBQYAAAAABAAEAPUAAACMAwAAAAA=&#10;" stroked="f" strokeweight=".25pt">
                  <v:shadow color="#868686"/>
                  <v:textbox>
                    <w:txbxContent>
                      <w:p w:rsidR="00F81BC7" w:rsidRPr="001366B5" w:rsidRDefault="00F81BC7" w:rsidP="00F81BC7">
                        <w:pPr>
                          <w:spacing w:line="240" w:lineRule="auto"/>
                          <w:ind w:firstLine="0"/>
                          <w:rPr>
                            <w:b/>
                            <w:sz w:val="18"/>
                            <w:szCs w:val="18"/>
                          </w:rPr>
                        </w:pPr>
                        <w:r>
                          <w:rPr>
                            <w:b/>
                            <w:sz w:val="18"/>
                            <w:szCs w:val="18"/>
                          </w:rPr>
                          <w:t>-1.35</w:t>
                        </w:r>
                        <w:r w:rsidRPr="001366B5">
                          <w:rPr>
                            <w:b/>
                            <w:sz w:val="18"/>
                            <w:szCs w:val="18"/>
                            <w:vertAlign w:val="superscript"/>
                          </w:rPr>
                          <w:t>**</w:t>
                        </w:r>
                        <w:r>
                          <w:rPr>
                            <w:b/>
                            <w:sz w:val="18"/>
                            <w:szCs w:val="18"/>
                            <w:vertAlign w:val="superscript"/>
                          </w:rPr>
                          <w:t>*</w:t>
                        </w:r>
                      </w:p>
                    </w:txbxContent>
                  </v:textbox>
                </v:shape>
                <v:group id="Grupo 44" o:spid="_x0000_s1036" style="position:absolute;left:4857;top:10858;width:28988;height:2286" coordsize="2899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Conexão recta 40" o:spid="_x0000_s1037" style="position:absolute;visibility:visible;mso-wrap-style:square" from="0,190" to="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gposMAAADbAAAADwAAAGRycy9kb3ducmV2LnhtbERP32vCMBB+F/wfwgl7s6nCpnRGUcdk&#10;DBGsUtjb0dzasuZSk6jdf78MBnu7j+/nLVa9acWNnG8sK5gkKQji0uqGKwXn0+t4DsIHZI2tZVLw&#10;TR5Wy+FggZm2dz7SLQ+ViCHsM1RQh9BlUvqyJoM+sR1x5D6tMxgidJXUDu8x3LRymqZP0mDDsaHG&#10;jrY1lV/51Sg4fly2s67Y5bZwRbPZnw/vL5uDUg+jfv0MIlAf/sV/7jcd5z/C7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oKaLDAAAA2wAAAA8AAAAAAAAAAAAA&#10;AAAAoQIAAGRycy9kb3ducmV2LnhtbFBLBQYAAAAABAAEAPkAAACRAwAAAAA=&#10;" strokecolor="black [3213]" strokeweight="1pt">
                    <v:stroke dashstyle="3 1"/>
                  </v:line>
                  <v:line id="Conexão recta 41" o:spid="_x0000_s1038" style="position:absolute;visibility:visible;mso-wrap-style:square" from="190,2190" to="28990,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31cMAAADbAAAADwAAAGRycy9kb3ducmV2LnhtbERPTWvCQBC9F/oflil4q5t6sJK6hsai&#10;iBTBVAK9DdlpEpqdjburpv++Kwje5vE+Z54NphNncr61rOBlnIAgrqxuuVZw+Fo9z0D4gKyxs0wK&#10;/shDtnh8mGOq7YX3dC5CLWII+xQVNCH0qZS+asigH9ueOHI/1hkMEbpaaoeXGG46OUmSqTTYcmxo&#10;sKdlQ9VvcTIK9t/H5WtfrgtburLNPw+77Ue+U2r0NLy/gQg0hLv45t7oOH8K11/iA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6t9XDAAAA2wAAAA8AAAAAAAAAAAAA&#10;AAAAoQIAAGRycy9kb3ducmV2LnhtbFBLBQYAAAAABAAEAPkAAACRAwAAAAA=&#10;" strokecolor="black [3213]" strokeweight="1pt">
                    <v:stroke dashstyle="3 1"/>
                  </v:line>
                  <v:shape id="Conexão recta unidireccional 43" o:spid="_x0000_s1039" type="#_x0000_t32" style="position:absolute;left:28956;width:0;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qzaLwAAADbAAAADwAAAGRycy9kb3ducmV2LnhtbERPSwrCMBDdC94hjOBGNLULlWoU8QO6&#10;EX8HGJqxLTaT0kSttzeC4G4e7zuzRWNK8aTaFZYVDAcRCOLU6oIzBdfLtj8B4TyyxtIyKXiTg8W8&#10;3Zphou2LT/Q8+0yEEHYJKsi9rxIpXZqTQTewFXHgbrY26AOsM6lrfIVwU8o4ikbSYMGhIceKVjml&#10;9/PDKNhwXO2PV8ZRYxzHurc+7MqLUt1Os5yC8NT4v/jn3ukwfwzfX8IBcv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NqzaLwAAADbAAAADwAAAAAAAAAAAAAAAAChAgAA&#10;ZHJzL2Rvd25yZXYueG1sUEsFBgAAAAAEAAQA+QAAAIoDAAAAAA==&#10;" strokeweight="1pt">
                    <v:stroke dashstyle="3 1" endarrow="block"/>
                  </v:shape>
                </v:group>
                <v:shape id="Text Box 105" o:spid="_x0000_s1040" type="#_x0000_t202" style="position:absolute;left:17049;top:11811;width:3334;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O4cYA&#10;AADbAAAADwAAAGRycy9kb3ducmV2LnhtbESPQWvCQBSE70L/w/IKvYhualEkdRO0UGgRD1UPentk&#10;X7Kh2bdpdtXUX+8WhB6HmfmGWeS9bcSZOl87VvA8TkAQF07XXCnY795HcxA+IGtsHJOCX/KQZw+D&#10;BabaXfiLzttQiQhhn6ICE0KbSukLQxb92LXE0StdZzFE2VVSd3iJcNvISZLMpMWa44LBlt4MFd/b&#10;k1WwfrHljzke8Fqui8/JdTPcrIYnpZ4e++UriEB9+A/f2x9awWwKf1/iD5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tO4cYAAADbAAAADwAAAAAAAAAAAAAAAACYAgAAZHJz&#10;L2Rvd25yZXYueG1sUEsFBgAAAAAEAAQA9QAAAIsDAAAAAA==&#10;" stroked="f" strokeweight=".25pt">
                  <v:shadow color="#868686"/>
                  <v:textbox>
                    <w:txbxContent>
                      <w:p w:rsidR="00F81BC7" w:rsidRPr="00391886" w:rsidRDefault="00F81BC7" w:rsidP="00F81BC7">
                        <w:pPr>
                          <w:spacing w:line="240" w:lineRule="auto"/>
                          <w:ind w:firstLine="0"/>
                          <w:rPr>
                            <w:i/>
                            <w:sz w:val="18"/>
                            <w:szCs w:val="18"/>
                          </w:rPr>
                        </w:pPr>
                        <w:r>
                          <w:rPr>
                            <w:i/>
                            <w:sz w:val="18"/>
                            <w:szCs w:val="18"/>
                          </w:rPr>
                          <w:t>.10</w:t>
                        </w:r>
                      </w:p>
                    </w:txbxContent>
                  </v:textbox>
                </v:shape>
              </v:group>
            </w:pict>
          </mc:Fallback>
        </mc:AlternateContent>
      </w:r>
    </w:p>
    <w:p w:rsidR="00F81BC7" w:rsidRDefault="00F81BC7" w:rsidP="00F81BC7">
      <w:pPr>
        <w:rPr>
          <w:lang w:val="en-US"/>
        </w:rPr>
      </w:pPr>
    </w:p>
    <w:p w:rsidR="00F81BC7" w:rsidRDefault="00F81BC7" w:rsidP="00F81BC7">
      <w:pPr>
        <w:rPr>
          <w:lang w:val="en-US"/>
        </w:rPr>
      </w:pPr>
    </w:p>
    <w:p w:rsidR="00F81BC7" w:rsidRDefault="00F81BC7" w:rsidP="00F81BC7">
      <w:pPr>
        <w:ind w:firstLine="0"/>
        <w:rPr>
          <w:b/>
          <w:lang w:val="en-US"/>
        </w:rPr>
      </w:pPr>
    </w:p>
    <w:p w:rsidR="00F81BC7" w:rsidRDefault="00F81BC7" w:rsidP="00F81BC7">
      <w:pPr>
        <w:ind w:firstLine="0"/>
        <w:rPr>
          <w:b/>
          <w:lang w:val="en-US"/>
        </w:rPr>
      </w:pPr>
    </w:p>
    <w:p w:rsidR="00F81BC7" w:rsidRDefault="00F81BC7" w:rsidP="00F81BC7">
      <w:pPr>
        <w:ind w:firstLine="0"/>
        <w:rPr>
          <w:b/>
          <w:lang w:val="en-US"/>
        </w:rPr>
      </w:pPr>
    </w:p>
    <w:p w:rsidR="00F81BC7" w:rsidRDefault="00F81BC7" w:rsidP="00F81BC7">
      <w:pPr>
        <w:ind w:firstLine="0"/>
        <w:rPr>
          <w:b/>
          <w:lang w:val="en-US"/>
        </w:rPr>
      </w:pPr>
    </w:p>
    <w:p w:rsidR="00F81BC7" w:rsidRDefault="00F81BC7" w:rsidP="00F81BC7">
      <w:pPr>
        <w:ind w:firstLine="0"/>
        <w:rPr>
          <w:b/>
          <w:lang w:val="en-US"/>
        </w:rPr>
      </w:pPr>
    </w:p>
    <w:p w:rsidR="00F81BC7" w:rsidRDefault="00F81BC7" w:rsidP="00F81BC7">
      <w:pPr>
        <w:ind w:firstLine="0"/>
        <w:rPr>
          <w:b/>
          <w:lang w:val="en-US"/>
        </w:rPr>
      </w:pPr>
      <w:r>
        <w:rPr>
          <w:noProof/>
          <w:lang w:eastAsia="pt-PT"/>
        </w:rPr>
        <mc:AlternateContent>
          <mc:Choice Requires="wps">
            <w:drawing>
              <wp:anchor distT="4294967293" distB="4294967293" distL="114300" distR="114300" simplePos="0" relativeHeight="251662336" behindDoc="0" locked="0" layoutInCell="1" allowOverlap="1" wp14:anchorId="25D6A54C" wp14:editId="369020F6">
                <wp:simplePos x="0" y="0"/>
                <wp:positionH relativeFrom="column">
                  <wp:posOffset>-41910</wp:posOffset>
                </wp:positionH>
                <wp:positionV relativeFrom="paragraph">
                  <wp:posOffset>93980</wp:posOffset>
                </wp:positionV>
                <wp:extent cx="5524500" cy="0"/>
                <wp:effectExtent l="0" t="0" r="19050" b="19050"/>
                <wp:wrapNone/>
                <wp:docPr id="19" name="Conexão rect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xão recta 19"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pt,7.4pt" to="431.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" strokecolor="black [3213]" strokeweight=".5pt">
                <o:lock v:ext="edit" shapetype="f"/>
              </v:line>
            </w:pict>
          </mc:Fallback>
        </mc:AlternateContent>
      </w:r>
    </w:p>
    <w:p w:rsidR="00F81BC7" w:rsidRPr="00D25EF3" w:rsidRDefault="00F81BC7" w:rsidP="00F81BC7">
      <w:pPr>
        <w:spacing w:line="480" w:lineRule="auto"/>
        <w:ind w:firstLine="0"/>
        <w:jc w:val="left"/>
        <w:rPr>
          <w:sz w:val="24"/>
          <w:lang w:val="en-US"/>
        </w:rPr>
      </w:pPr>
      <w:proofErr w:type="gramStart"/>
      <w:r w:rsidRPr="00D25EF3">
        <w:rPr>
          <w:b/>
          <w:sz w:val="24"/>
          <w:lang w:val="en-US"/>
        </w:rPr>
        <w:t xml:space="preserve">Figure </w:t>
      </w:r>
      <w:r>
        <w:rPr>
          <w:b/>
          <w:sz w:val="24"/>
          <w:lang w:val="en-US"/>
        </w:rPr>
        <w:t>2</w:t>
      </w:r>
      <w:r w:rsidRPr="00D25EF3">
        <w:rPr>
          <w:b/>
          <w:sz w:val="24"/>
          <w:lang w:val="en-US"/>
        </w:rPr>
        <w:t>.</w:t>
      </w:r>
      <w:proofErr w:type="gramEnd"/>
      <w:r w:rsidRPr="00D25EF3">
        <w:rPr>
          <w:sz w:val="24"/>
          <w:lang w:val="en-US"/>
        </w:rPr>
        <w:t xml:space="preserve"> </w:t>
      </w:r>
      <w:proofErr w:type="gramStart"/>
      <w:r w:rsidRPr="00D25EF3">
        <w:rPr>
          <w:sz w:val="24"/>
          <w:lang w:val="en-US"/>
        </w:rPr>
        <w:t xml:space="preserve">Model representing the mediating effect of anxiety on the link between hope and </w:t>
      </w:r>
      <w:proofErr w:type="spellStart"/>
      <w:r w:rsidRPr="00D25EF3">
        <w:rPr>
          <w:sz w:val="24"/>
          <w:lang w:val="en-US"/>
        </w:rPr>
        <w:t>HRQoL</w:t>
      </w:r>
      <w:proofErr w:type="spellEnd"/>
      <w:r w:rsidRPr="00D25EF3">
        <w:rPr>
          <w:sz w:val="24"/>
          <w:lang w:val="en-US"/>
        </w:rPr>
        <w:t>.</w:t>
      </w:r>
      <w:proofErr w:type="gramEnd"/>
    </w:p>
    <w:p w:rsidR="00F81BC7" w:rsidRPr="00D25EF3" w:rsidRDefault="00F81BC7" w:rsidP="00F81BC7">
      <w:pPr>
        <w:spacing w:line="480" w:lineRule="auto"/>
        <w:ind w:firstLine="0"/>
        <w:jc w:val="left"/>
        <w:rPr>
          <w:sz w:val="24"/>
          <w:lang w:val="en-US"/>
        </w:rPr>
      </w:pPr>
      <w:r w:rsidRPr="00D25EF3">
        <w:rPr>
          <w:i/>
          <w:sz w:val="24"/>
          <w:lang w:val="en-US"/>
        </w:rPr>
        <w:t>Note</w:t>
      </w:r>
      <w:r w:rsidRPr="00D25EF3">
        <w:rPr>
          <w:sz w:val="24"/>
          <w:lang w:val="en-US"/>
        </w:rPr>
        <w:t>. The independent variable’s direct effect on the dependent variable after controlling for the mediator is represented by the value inside parentheses. Bold non-italic figures represent unstandardized coefficients for direct paths; the italic figure represents unstandardized coefficient for the indirect path.</w:t>
      </w:r>
    </w:p>
    <w:p w:rsidR="00F81BC7" w:rsidRPr="00D25EF3" w:rsidRDefault="00F81BC7" w:rsidP="00F81BC7">
      <w:pPr>
        <w:spacing w:line="480" w:lineRule="auto"/>
        <w:ind w:firstLine="0"/>
        <w:jc w:val="left"/>
        <w:rPr>
          <w:sz w:val="24"/>
          <w:lang w:val="en-US"/>
        </w:rPr>
      </w:pPr>
      <w:proofErr w:type="gramStart"/>
      <w:r w:rsidRPr="00D25EF3">
        <w:rPr>
          <w:sz w:val="24"/>
          <w:vertAlign w:val="superscript"/>
          <w:lang w:val="en-US"/>
        </w:rPr>
        <w:t>*</w:t>
      </w:r>
      <w:r w:rsidRPr="00D25EF3">
        <w:rPr>
          <w:i/>
          <w:iCs/>
          <w:sz w:val="24"/>
          <w:lang w:val="en-US"/>
        </w:rPr>
        <w:t>p</w:t>
      </w:r>
      <w:r w:rsidRPr="00D25EF3">
        <w:rPr>
          <w:sz w:val="24"/>
          <w:lang w:val="en-US"/>
        </w:rPr>
        <w:t xml:space="preserve"> &lt; .05.</w:t>
      </w:r>
      <w:proofErr w:type="gramEnd"/>
      <w:r w:rsidRPr="00D25EF3">
        <w:rPr>
          <w:sz w:val="24"/>
          <w:lang w:val="en-US"/>
        </w:rPr>
        <w:t xml:space="preserve"> </w:t>
      </w:r>
      <w:r w:rsidRPr="00D25EF3">
        <w:rPr>
          <w:sz w:val="24"/>
          <w:vertAlign w:val="superscript"/>
          <w:lang w:val="en-US"/>
        </w:rPr>
        <w:t>***</w:t>
      </w:r>
      <w:r w:rsidRPr="00D25EF3">
        <w:rPr>
          <w:i/>
          <w:iCs/>
          <w:sz w:val="24"/>
          <w:lang w:val="en-US"/>
        </w:rPr>
        <w:t>p</w:t>
      </w:r>
      <w:r w:rsidRPr="00D25EF3">
        <w:rPr>
          <w:sz w:val="24"/>
          <w:lang w:val="en-US"/>
        </w:rPr>
        <w:t xml:space="preserve"> &lt; .</w:t>
      </w:r>
      <w:proofErr w:type="gramStart"/>
      <w:r w:rsidRPr="00D25EF3">
        <w:rPr>
          <w:sz w:val="24"/>
          <w:lang w:val="en-US"/>
        </w:rPr>
        <w:t>001.;</w:t>
      </w:r>
      <w:proofErr w:type="gramEnd"/>
      <w:r w:rsidRPr="00D25EF3">
        <w:rPr>
          <w:sz w:val="24"/>
          <w:lang w:val="en-US"/>
        </w:rPr>
        <w:t xml:space="preserve"> the indirect effect was significant at 95% CI [.06/16].</w:t>
      </w:r>
    </w:p>
    <w:p w:rsidR="00F81BC7" w:rsidRPr="00870CA5" w:rsidRDefault="00F81BC7" w:rsidP="00F81BC7">
      <w:pPr>
        <w:pStyle w:val="Cabealho1"/>
        <w:spacing w:line="276" w:lineRule="auto"/>
        <w:ind w:left="0"/>
        <w:rPr>
          <w:rFonts w:ascii="Times New Roman" w:hAnsi="Times New Roman"/>
          <w:sz w:val="24"/>
          <w:szCs w:val="24"/>
          <w:lang w:val="en-US"/>
        </w:rPr>
      </w:pPr>
    </w:p>
    <w:p w:rsidR="00F81BC7" w:rsidRPr="00533F2C" w:rsidRDefault="00F81BC7" w:rsidP="00F81BC7">
      <w:pPr>
        <w:rPr>
          <w:lang w:val="en-US"/>
        </w:rPr>
      </w:pPr>
    </w:p>
    <w:p w:rsidR="00F81BC7" w:rsidRPr="00F958B0" w:rsidRDefault="00F81BC7" w:rsidP="00F81BC7">
      <w:pPr>
        <w:rPr>
          <w:lang w:val="en-US"/>
        </w:rPr>
      </w:pPr>
    </w:p>
    <w:p w:rsidR="00F81BC7" w:rsidRPr="00A619D3" w:rsidRDefault="00F81BC7" w:rsidP="00F81BC7">
      <w:pPr>
        <w:rPr>
          <w:lang w:val="en-US"/>
        </w:rPr>
      </w:pPr>
    </w:p>
    <w:p w:rsidR="00F81BC7" w:rsidRDefault="00F81BC7" w:rsidP="00F81BC7">
      <w:pPr>
        <w:rPr>
          <w:lang w:val="en-US"/>
        </w:rPr>
      </w:pPr>
    </w:p>
    <w:p w:rsidR="00F81BC7" w:rsidRDefault="00F81BC7" w:rsidP="00F81BC7">
      <w:pPr>
        <w:rPr>
          <w:lang w:val="en-US"/>
        </w:rPr>
      </w:pPr>
    </w:p>
    <w:p w:rsidR="00F81BC7" w:rsidRDefault="00F81BC7" w:rsidP="00F81BC7">
      <w:pPr>
        <w:rPr>
          <w:lang w:val="en-US"/>
        </w:rPr>
      </w:pPr>
    </w:p>
    <w:p w:rsidR="00F81BC7" w:rsidRDefault="00F81BC7" w:rsidP="00F81BC7">
      <w:pPr>
        <w:rPr>
          <w:lang w:val="en-US"/>
        </w:rPr>
      </w:pPr>
    </w:p>
    <w:p w:rsidR="00F81BC7" w:rsidRDefault="00F81BC7" w:rsidP="00F81BC7">
      <w:pPr>
        <w:rPr>
          <w:lang w:val="en-US"/>
        </w:rPr>
      </w:pPr>
    </w:p>
    <w:p w:rsidR="00F81BC7" w:rsidRDefault="00F81BC7" w:rsidP="00F81BC7">
      <w:pPr>
        <w:rPr>
          <w:lang w:val="en-US"/>
        </w:rPr>
      </w:pPr>
      <w:bookmarkStart w:id="0" w:name="_GoBack"/>
      <w:bookmarkEnd w:id="0"/>
    </w:p>
    <w:p w:rsidR="00F81BC7" w:rsidRDefault="00F81BC7" w:rsidP="00F81BC7">
      <w:pPr>
        <w:rPr>
          <w:lang w:val="en-US"/>
        </w:rPr>
      </w:pPr>
    </w:p>
    <w:p w:rsidR="00F81BC7" w:rsidRDefault="00F81BC7" w:rsidP="00F81BC7">
      <w:pPr>
        <w:rPr>
          <w:lang w:val="en-US"/>
        </w:rPr>
      </w:pPr>
    </w:p>
    <w:p w:rsidR="00F81BC7" w:rsidRDefault="00F81BC7" w:rsidP="00F81BC7">
      <w:pPr>
        <w:rPr>
          <w:lang w:val="en-US"/>
        </w:rPr>
      </w:pPr>
    </w:p>
    <w:p w:rsidR="00F81BC7" w:rsidRDefault="00F81BC7" w:rsidP="00F81BC7">
      <w:pPr>
        <w:rPr>
          <w:lang w:val="en-US"/>
        </w:rPr>
      </w:pPr>
    </w:p>
    <w:p w:rsidR="00F81BC7" w:rsidRDefault="00F81BC7" w:rsidP="00F81BC7">
      <w:pPr>
        <w:rPr>
          <w:lang w:val="en-US"/>
        </w:rPr>
      </w:pPr>
    </w:p>
    <w:p w:rsidR="00F81BC7" w:rsidRDefault="00F81BC7" w:rsidP="00F81BC7">
      <w:pPr>
        <w:rPr>
          <w:lang w:val="en-US"/>
        </w:rPr>
      </w:pPr>
    </w:p>
    <w:p w:rsidR="00F81BC7" w:rsidRDefault="00F81BC7" w:rsidP="00F81BC7">
      <w:pPr>
        <w:rPr>
          <w:lang w:val="en-US"/>
        </w:rPr>
      </w:pPr>
    </w:p>
    <w:p w:rsidR="00F81BC7" w:rsidRDefault="00F81BC7" w:rsidP="00F81BC7">
      <w:pPr>
        <w:rPr>
          <w:lang w:val="en-US"/>
        </w:rPr>
      </w:pPr>
    </w:p>
    <w:p w:rsidR="00F81BC7" w:rsidRDefault="00F81BC7" w:rsidP="00F81BC7">
      <w:pPr>
        <w:rPr>
          <w:lang w:val="en-US"/>
        </w:rPr>
      </w:pPr>
    </w:p>
    <w:p w:rsidR="00621100" w:rsidRPr="00F81BC7" w:rsidRDefault="00621100" w:rsidP="00F81BC7">
      <w:pPr>
        <w:widowControl/>
        <w:spacing w:line="276" w:lineRule="auto"/>
        <w:ind w:firstLine="0"/>
        <w:rPr>
          <w:szCs w:val="20"/>
          <w:lang w:val="en-US"/>
        </w:rPr>
      </w:pPr>
    </w:p>
    <w:sectPr w:rsidR="00621100" w:rsidRPr="00F81BC7">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8D1F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EE" w:rsidRDefault="00483CEE">
      <w:pPr>
        <w:spacing w:line="240" w:lineRule="auto"/>
      </w:pPr>
      <w:r>
        <w:separator/>
      </w:r>
    </w:p>
  </w:endnote>
  <w:endnote w:type="continuationSeparator" w:id="0">
    <w:p w:rsidR="00483CEE" w:rsidRDefault="00483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EE" w:rsidRDefault="00483CEE">
      <w:pPr>
        <w:spacing w:line="240" w:lineRule="auto"/>
      </w:pPr>
      <w:r>
        <w:separator/>
      </w:r>
    </w:p>
  </w:footnote>
  <w:footnote w:type="continuationSeparator" w:id="0">
    <w:p w:rsidR="00483CEE" w:rsidRDefault="00483C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254134792"/>
      <w:docPartObj>
        <w:docPartGallery w:val="Page Numbers (Top of Page)"/>
        <w:docPartUnique/>
      </w:docPartObj>
    </w:sdtPr>
    <w:sdtEndPr>
      <w:rPr>
        <w:b/>
        <w:bCs/>
        <w:color w:val="auto"/>
        <w:spacing w:val="0"/>
        <w:sz w:val="22"/>
        <w:szCs w:val="24"/>
      </w:rPr>
    </w:sdtEndPr>
    <w:sdtContent>
      <w:p w:rsidR="006F792B" w:rsidRPr="00E46A98" w:rsidRDefault="006F792B" w:rsidP="00A271F3">
        <w:pPr>
          <w:pStyle w:val="Cabealho"/>
          <w:pBdr>
            <w:bottom w:val="single" w:sz="4" w:space="1" w:color="D9D9D9" w:themeColor="background1" w:themeShade="D9"/>
          </w:pBdr>
          <w:ind w:firstLine="0"/>
          <w:jc w:val="right"/>
          <w:rPr>
            <w:b/>
            <w:bCs/>
            <w:lang w:val="en-US"/>
          </w:rPr>
        </w:pPr>
        <w:r w:rsidRPr="00E46A98">
          <w:rPr>
            <w:caps/>
            <w:sz w:val="20"/>
            <w:szCs w:val="20"/>
            <w:lang w:val="en-US"/>
          </w:rPr>
          <w:t>Hope, Anxiety and Health-related quality of life in pediatric cancer</w:t>
        </w:r>
        <w:r w:rsidRPr="00E46A98">
          <w:rPr>
            <w:lang w:val="en-US"/>
          </w:rPr>
          <w:t xml:space="preserve"> | </w:t>
        </w:r>
        <w:r>
          <w:fldChar w:fldCharType="begin"/>
        </w:r>
        <w:r w:rsidRPr="00E46A98">
          <w:rPr>
            <w:lang w:val="en-US"/>
          </w:rPr>
          <w:instrText>PAGE   \* MERGEFORMAT</w:instrText>
        </w:r>
        <w:r>
          <w:fldChar w:fldCharType="separate"/>
        </w:r>
        <w:r w:rsidR="00C3522C" w:rsidRPr="00C3522C">
          <w:rPr>
            <w:b/>
            <w:bCs/>
            <w:noProof/>
            <w:lang w:val="en-US"/>
          </w:rPr>
          <w:t>34</w:t>
        </w:r>
        <w:r>
          <w:rPr>
            <w:b/>
            <w:bCs/>
          </w:rPr>
          <w:fldChar w:fldCharType="end"/>
        </w:r>
      </w:p>
    </w:sdtContent>
  </w:sdt>
  <w:p w:rsidR="006F792B" w:rsidRPr="008B7E48" w:rsidRDefault="006F792B">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2D42"/>
    <w:multiLevelType w:val="hybridMultilevel"/>
    <w:tmpl w:val="F2EE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a Alexandra Mesquita Crespo">
    <w15:presenceInfo w15:providerId="AD" w15:userId="S-1-5-21-519004610-3057071967-2284481750-10591"/>
  </w15:person>
  <w15:person w15:author="CarlaCrespo">
    <w15:presenceInfo w15:providerId="None" w15:userId="CarlaCrespo"/>
  </w15:person>
  <w15:person w15:author="Usuário do Microsoft Office">
    <w15:presenceInfo w15:providerId="None" w15:userId="Usuário do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7B"/>
    <w:rsid w:val="0000028E"/>
    <w:rsid w:val="000004F1"/>
    <w:rsid w:val="00000674"/>
    <w:rsid w:val="00000E06"/>
    <w:rsid w:val="000016E2"/>
    <w:rsid w:val="000021EB"/>
    <w:rsid w:val="000024D1"/>
    <w:rsid w:val="000032A9"/>
    <w:rsid w:val="0000425C"/>
    <w:rsid w:val="00005329"/>
    <w:rsid w:val="00006ADC"/>
    <w:rsid w:val="00006DF4"/>
    <w:rsid w:val="00010AE1"/>
    <w:rsid w:val="00010E40"/>
    <w:rsid w:val="00011C97"/>
    <w:rsid w:val="000152A7"/>
    <w:rsid w:val="00015963"/>
    <w:rsid w:val="00016202"/>
    <w:rsid w:val="00016DCA"/>
    <w:rsid w:val="000203B4"/>
    <w:rsid w:val="0002042A"/>
    <w:rsid w:val="00023295"/>
    <w:rsid w:val="00024DA6"/>
    <w:rsid w:val="00025151"/>
    <w:rsid w:val="00027AC4"/>
    <w:rsid w:val="00030670"/>
    <w:rsid w:val="00030952"/>
    <w:rsid w:val="00030AA4"/>
    <w:rsid w:val="00031214"/>
    <w:rsid w:val="0003182D"/>
    <w:rsid w:val="00031BD3"/>
    <w:rsid w:val="00034540"/>
    <w:rsid w:val="0003480C"/>
    <w:rsid w:val="00034E53"/>
    <w:rsid w:val="00034E7E"/>
    <w:rsid w:val="000355E5"/>
    <w:rsid w:val="00036137"/>
    <w:rsid w:val="00037A2D"/>
    <w:rsid w:val="000404D3"/>
    <w:rsid w:val="000404FC"/>
    <w:rsid w:val="00044EB3"/>
    <w:rsid w:val="00045FDA"/>
    <w:rsid w:val="000465AC"/>
    <w:rsid w:val="00050B43"/>
    <w:rsid w:val="0005124F"/>
    <w:rsid w:val="00052D36"/>
    <w:rsid w:val="00053835"/>
    <w:rsid w:val="00053C1F"/>
    <w:rsid w:val="00053FC2"/>
    <w:rsid w:val="000543E1"/>
    <w:rsid w:val="00054AFF"/>
    <w:rsid w:val="000555DB"/>
    <w:rsid w:val="00055A01"/>
    <w:rsid w:val="000566DC"/>
    <w:rsid w:val="00056AB4"/>
    <w:rsid w:val="00057602"/>
    <w:rsid w:val="000608D8"/>
    <w:rsid w:val="00060AFC"/>
    <w:rsid w:val="00061DE0"/>
    <w:rsid w:val="00062E9D"/>
    <w:rsid w:val="00063610"/>
    <w:rsid w:val="000650A5"/>
    <w:rsid w:val="00065F87"/>
    <w:rsid w:val="00066476"/>
    <w:rsid w:val="00066C06"/>
    <w:rsid w:val="00067FEA"/>
    <w:rsid w:val="000706C2"/>
    <w:rsid w:val="00070B4C"/>
    <w:rsid w:val="00071638"/>
    <w:rsid w:val="00071A8C"/>
    <w:rsid w:val="0007209B"/>
    <w:rsid w:val="00072722"/>
    <w:rsid w:val="00072EF0"/>
    <w:rsid w:val="0007307B"/>
    <w:rsid w:val="000740B2"/>
    <w:rsid w:val="00075624"/>
    <w:rsid w:val="00075C04"/>
    <w:rsid w:val="00075DC8"/>
    <w:rsid w:val="0007667C"/>
    <w:rsid w:val="00077DBA"/>
    <w:rsid w:val="00077FA8"/>
    <w:rsid w:val="000809C7"/>
    <w:rsid w:val="0008169A"/>
    <w:rsid w:val="00081B09"/>
    <w:rsid w:val="0008260D"/>
    <w:rsid w:val="00082950"/>
    <w:rsid w:val="000849F0"/>
    <w:rsid w:val="00084A6F"/>
    <w:rsid w:val="00084F02"/>
    <w:rsid w:val="00085BD8"/>
    <w:rsid w:val="000864B8"/>
    <w:rsid w:val="0008704E"/>
    <w:rsid w:val="00087503"/>
    <w:rsid w:val="00090D83"/>
    <w:rsid w:val="00092888"/>
    <w:rsid w:val="000938FC"/>
    <w:rsid w:val="00094B8C"/>
    <w:rsid w:val="00094C71"/>
    <w:rsid w:val="00095A47"/>
    <w:rsid w:val="00095C60"/>
    <w:rsid w:val="0009615E"/>
    <w:rsid w:val="000963B8"/>
    <w:rsid w:val="00096802"/>
    <w:rsid w:val="00097F4F"/>
    <w:rsid w:val="000A10D7"/>
    <w:rsid w:val="000A121F"/>
    <w:rsid w:val="000A3639"/>
    <w:rsid w:val="000A441A"/>
    <w:rsid w:val="000A55DA"/>
    <w:rsid w:val="000A57ED"/>
    <w:rsid w:val="000B03BE"/>
    <w:rsid w:val="000B0462"/>
    <w:rsid w:val="000B0698"/>
    <w:rsid w:val="000B0B46"/>
    <w:rsid w:val="000B12FB"/>
    <w:rsid w:val="000B143E"/>
    <w:rsid w:val="000B145E"/>
    <w:rsid w:val="000B17DE"/>
    <w:rsid w:val="000B1BB8"/>
    <w:rsid w:val="000B2840"/>
    <w:rsid w:val="000B3243"/>
    <w:rsid w:val="000B3525"/>
    <w:rsid w:val="000B43CB"/>
    <w:rsid w:val="000B5741"/>
    <w:rsid w:val="000B6196"/>
    <w:rsid w:val="000B63B7"/>
    <w:rsid w:val="000B7599"/>
    <w:rsid w:val="000B787B"/>
    <w:rsid w:val="000B7956"/>
    <w:rsid w:val="000B7E42"/>
    <w:rsid w:val="000C0BA9"/>
    <w:rsid w:val="000C1496"/>
    <w:rsid w:val="000C165B"/>
    <w:rsid w:val="000C199C"/>
    <w:rsid w:val="000C279E"/>
    <w:rsid w:val="000C2F95"/>
    <w:rsid w:val="000C36BB"/>
    <w:rsid w:val="000C48D1"/>
    <w:rsid w:val="000C4B0A"/>
    <w:rsid w:val="000C56EB"/>
    <w:rsid w:val="000C6E4D"/>
    <w:rsid w:val="000D1102"/>
    <w:rsid w:val="000D159E"/>
    <w:rsid w:val="000D2323"/>
    <w:rsid w:val="000D2937"/>
    <w:rsid w:val="000D51E4"/>
    <w:rsid w:val="000D5E86"/>
    <w:rsid w:val="000D6F02"/>
    <w:rsid w:val="000D7803"/>
    <w:rsid w:val="000D7929"/>
    <w:rsid w:val="000E005A"/>
    <w:rsid w:val="000E0F87"/>
    <w:rsid w:val="000E1090"/>
    <w:rsid w:val="000E21D0"/>
    <w:rsid w:val="000E26CF"/>
    <w:rsid w:val="000E2929"/>
    <w:rsid w:val="000E3040"/>
    <w:rsid w:val="000E3CD8"/>
    <w:rsid w:val="000E43B7"/>
    <w:rsid w:val="000E4735"/>
    <w:rsid w:val="000E4942"/>
    <w:rsid w:val="000E53EB"/>
    <w:rsid w:val="000E5560"/>
    <w:rsid w:val="000E60F9"/>
    <w:rsid w:val="000E666B"/>
    <w:rsid w:val="000E674A"/>
    <w:rsid w:val="000E7E61"/>
    <w:rsid w:val="000F07D7"/>
    <w:rsid w:val="000F0928"/>
    <w:rsid w:val="000F0FBB"/>
    <w:rsid w:val="000F1299"/>
    <w:rsid w:val="000F2159"/>
    <w:rsid w:val="000F2BFE"/>
    <w:rsid w:val="000F657E"/>
    <w:rsid w:val="000F66D2"/>
    <w:rsid w:val="000F7F63"/>
    <w:rsid w:val="001000C1"/>
    <w:rsid w:val="00100D9B"/>
    <w:rsid w:val="00101549"/>
    <w:rsid w:val="00101E26"/>
    <w:rsid w:val="001022B5"/>
    <w:rsid w:val="00102573"/>
    <w:rsid w:val="00102887"/>
    <w:rsid w:val="001030E1"/>
    <w:rsid w:val="00103344"/>
    <w:rsid w:val="00103798"/>
    <w:rsid w:val="001047C4"/>
    <w:rsid w:val="0010489A"/>
    <w:rsid w:val="0010524A"/>
    <w:rsid w:val="001060E7"/>
    <w:rsid w:val="00106266"/>
    <w:rsid w:val="0010639B"/>
    <w:rsid w:val="0010676D"/>
    <w:rsid w:val="0011053C"/>
    <w:rsid w:val="001130B8"/>
    <w:rsid w:val="00115072"/>
    <w:rsid w:val="00115496"/>
    <w:rsid w:val="00115F6E"/>
    <w:rsid w:val="00116DEB"/>
    <w:rsid w:val="00117078"/>
    <w:rsid w:val="001170E2"/>
    <w:rsid w:val="001205C7"/>
    <w:rsid w:val="0012077E"/>
    <w:rsid w:val="001211F1"/>
    <w:rsid w:val="00123214"/>
    <w:rsid w:val="00124503"/>
    <w:rsid w:val="00125893"/>
    <w:rsid w:val="0012643B"/>
    <w:rsid w:val="00127E8A"/>
    <w:rsid w:val="00127FAD"/>
    <w:rsid w:val="0013000A"/>
    <w:rsid w:val="00130861"/>
    <w:rsid w:val="00130880"/>
    <w:rsid w:val="00131086"/>
    <w:rsid w:val="0013319F"/>
    <w:rsid w:val="0013445F"/>
    <w:rsid w:val="001356EB"/>
    <w:rsid w:val="00136FC7"/>
    <w:rsid w:val="00140C32"/>
    <w:rsid w:val="00140F0F"/>
    <w:rsid w:val="001425F5"/>
    <w:rsid w:val="0014611A"/>
    <w:rsid w:val="00146304"/>
    <w:rsid w:val="001463BA"/>
    <w:rsid w:val="00146507"/>
    <w:rsid w:val="00146524"/>
    <w:rsid w:val="00147843"/>
    <w:rsid w:val="00150E50"/>
    <w:rsid w:val="001516F2"/>
    <w:rsid w:val="00152DED"/>
    <w:rsid w:val="0015344F"/>
    <w:rsid w:val="0015378E"/>
    <w:rsid w:val="00154BD2"/>
    <w:rsid w:val="0015567D"/>
    <w:rsid w:val="0015570B"/>
    <w:rsid w:val="001567BE"/>
    <w:rsid w:val="00156E3F"/>
    <w:rsid w:val="00156FD0"/>
    <w:rsid w:val="00157833"/>
    <w:rsid w:val="00160273"/>
    <w:rsid w:val="0016044B"/>
    <w:rsid w:val="00160ECC"/>
    <w:rsid w:val="00162231"/>
    <w:rsid w:val="00162ADC"/>
    <w:rsid w:val="0016338F"/>
    <w:rsid w:val="00164A72"/>
    <w:rsid w:val="0016532D"/>
    <w:rsid w:val="001653FF"/>
    <w:rsid w:val="00165F42"/>
    <w:rsid w:val="001664DA"/>
    <w:rsid w:val="00166530"/>
    <w:rsid w:val="001675CF"/>
    <w:rsid w:val="00170B49"/>
    <w:rsid w:val="0017189D"/>
    <w:rsid w:val="001725D2"/>
    <w:rsid w:val="00172C0B"/>
    <w:rsid w:val="001730D7"/>
    <w:rsid w:val="001734E2"/>
    <w:rsid w:val="00173677"/>
    <w:rsid w:val="00173D05"/>
    <w:rsid w:val="00175231"/>
    <w:rsid w:val="00176604"/>
    <w:rsid w:val="001808E4"/>
    <w:rsid w:val="00184DA1"/>
    <w:rsid w:val="001864E8"/>
    <w:rsid w:val="00186574"/>
    <w:rsid w:val="00190823"/>
    <w:rsid w:val="001914E3"/>
    <w:rsid w:val="0019298D"/>
    <w:rsid w:val="00193539"/>
    <w:rsid w:val="001943A0"/>
    <w:rsid w:val="00194936"/>
    <w:rsid w:val="00195588"/>
    <w:rsid w:val="00195BF3"/>
    <w:rsid w:val="00196171"/>
    <w:rsid w:val="00196376"/>
    <w:rsid w:val="00197FD1"/>
    <w:rsid w:val="001A0563"/>
    <w:rsid w:val="001A0A55"/>
    <w:rsid w:val="001A1EC1"/>
    <w:rsid w:val="001A2079"/>
    <w:rsid w:val="001A27B8"/>
    <w:rsid w:val="001A62F6"/>
    <w:rsid w:val="001A724A"/>
    <w:rsid w:val="001A7984"/>
    <w:rsid w:val="001B0492"/>
    <w:rsid w:val="001B07AA"/>
    <w:rsid w:val="001B123B"/>
    <w:rsid w:val="001B3C11"/>
    <w:rsid w:val="001B639D"/>
    <w:rsid w:val="001B6C27"/>
    <w:rsid w:val="001B6C73"/>
    <w:rsid w:val="001B723C"/>
    <w:rsid w:val="001B7DC2"/>
    <w:rsid w:val="001B7EBD"/>
    <w:rsid w:val="001C0E15"/>
    <w:rsid w:val="001C1276"/>
    <w:rsid w:val="001C2341"/>
    <w:rsid w:val="001C2360"/>
    <w:rsid w:val="001C2571"/>
    <w:rsid w:val="001C443E"/>
    <w:rsid w:val="001C4707"/>
    <w:rsid w:val="001C4814"/>
    <w:rsid w:val="001C4D4C"/>
    <w:rsid w:val="001C5525"/>
    <w:rsid w:val="001C58F2"/>
    <w:rsid w:val="001C6061"/>
    <w:rsid w:val="001C6B8B"/>
    <w:rsid w:val="001C77C2"/>
    <w:rsid w:val="001C7F6C"/>
    <w:rsid w:val="001D145C"/>
    <w:rsid w:val="001D1C27"/>
    <w:rsid w:val="001D1EBE"/>
    <w:rsid w:val="001D353A"/>
    <w:rsid w:val="001D45A8"/>
    <w:rsid w:val="001D4FA8"/>
    <w:rsid w:val="001D5AAE"/>
    <w:rsid w:val="001D5C8C"/>
    <w:rsid w:val="001D61D7"/>
    <w:rsid w:val="001D6A37"/>
    <w:rsid w:val="001D746A"/>
    <w:rsid w:val="001D7587"/>
    <w:rsid w:val="001D7681"/>
    <w:rsid w:val="001E03A7"/>
    <w:rsid w:val="001E0B15"/>
    <w:rsid w:val="001E1ABD"/>
    <w:rsid w:val="001E279D"/>
    <w:rsid w:val="001E3F30"/>
    <w:rsid w:val="001E4506"/>
    <w:rsid w:val="001E4969"/>
    <w:rsid w:val="001E4D91"/>
    <w:rsid w:val="001E5D07"/>
    <w:rsid w:val="001E613A"/>
    <w:rsid w:val="001E61F4"/>
    <w:rsid w:val="001E707E"/>
    <w:rsid w:val="001E7264"/>
    <w:rsid w:val="001E7D07"/>
    <w:rsid w:val="001F0722"/>
    <w:rsid w:val="001F15DE"/>
    <w:rsid w:val="001F1608"/>
    <w:rsid w:val="001F1871"/>
    <w:rsid w:val="001F1886"/>
    <w:rsid w:val="001F212E"/>
    <w:rsid w:val="001F28F4"/>
    <w:rsid w:val="001F2C2A"/>
    <w:rsid w:val="001F4567"/>
    <w:rsid w:val="001F5ACB"/>
    <w:rsid w:val="001F67D3"/>
    <w:rsid w:val="001F7127"/>
    <w:rsid w:val="00200F36"/>
    <w:rsid w:val="0020109F"/>
    <w:rsid w:val="002010D3"/>
    <w:rsid w:val="002012BD"/>
    <w:rsid w:val="00201E2C"/>
    <w:rsid w:val="002021E0"/>
    <w:rsid w:val="00202A4B"/>
    <w:rsid w:val="0020394F"/>
    <w:rsid w:val="00203A13"/>
    <w:rsid w:val="00203ED6"/>
    <w:rsid w:val="002047D0"/>
    <w:rsid w:val="002066BB"/>
    <w:rsid w:val="00210C7F"/>
    <w:rsid w:val="00211CBE"/>
    <w:rsid w:val="00211D8F"/>
    <w:rsid w:val="00212859"/>
    <w:rsid w:val="00212ABB"/>
    <w:rsid w:val="00215857"/>
    <w:rsid w:val="00216218"/>
    <w:rsid w:val="00220090"/>
    <w:rsid w:val="0022030A"/>
    <w:rsid w:val="0022276B"/>
    <w:rsid w:val="002227E6"/>
    <w:rsid w:val="00222ABE"/>
    <w:rsid w:val="00222ED1"/>
    <w:rsid w:val="002240E0"/>
    <w:rsid w:val="00225274"/>
    <w:rsid w:val="002254C2"/>
    <w:rsid w:val="00225736"/>
    <w:rsid w:val="002259C8"/>
    <w:rsid w:val="00225E22"/>
    <w:rsid w:val="00227054"/>
    <w:rsid w:val="00227CBF"/>
    <w:rsid w:val="00231B24"/>
    <w:rsid w:val="002322E5"/>
    <w:rsid w:val="00232DA2"/>
    <w:rsid w:val="00232F8B"/>
    <w:rsid w:val="00233EBC"/>
    <w:rsid w:val="00235460"/>
    <w:rsid w:val="00236D9E"/>
    <w:rsid w:val="0023701A"/>
    <w:rsid w:val="002371A8"/>
    <w:rsid w:val="002374F4"/>
    <w:rsid w:val="0024027E"/>
    <w:rsid w:val="00241615"/>
    <w:rsid w:val="00241D1E"/>
    <w:rsid w:val="00241E90"/>
    <w:rsid w:val="00241E94"/>
    <w:rsid w:val="00242B08"/>
    <w:rsid w:val="00242F62"/>
    <w:rsid w:val="00243636"/>
    <w:rsid w:val="00243A7F"/>
    <w:rsid w:val="00244CBC"/>
    <w:rsid w:val="0024524C"/>
    <w:rsid w:val="002464FA"/>
    <w:rsid w:val="00250D0F"/>
    <w:rsid w:val="0025156C"/>
    <w:rsid w:val="00252381"/>
    <w:rsid w:val="00252500"/>
    <w:rsid w:val="002525E5"/>
    <w:rsid w:val="00252643"/>
    <w:rsid w:val="00252B58"/>
    <w:rsid w:val="00252D70"/>
    <w:rsid w:val="002545A7"/>
    <w:rsid w:val="00254C99"/>
    <w:rsid w:val="00254EC1"/>
    <w:rsid w:val="00255CC8"/>
    <w:rsid w:val="00255DC7"/>
    <w:rsid w:val="0025778D"/>
    <w:rsid w:val="00261412"/>
    <w:rsid w:val="002616DC"/>
    <w:rsid w:val="00262A8A"/>
    <w:rsid w:val="00263722"/>
    <w:rsid w:val="00263CE6"/>
    <w:rsid w:val="00264378"/>
    <w:rsid w:val="00264512"/>
    <w:rsid w:val="002654E1"/>
    <w:rsid w:val="002709DB"/>
    <w:rsid w:val="00270C02"/>
    <w:rsid w:val="00270D11"/>
    <w:rsid w:val="00270EB4"/>
    <w:rsid w:val="00271915"/>
    <w:rsid w:val="00272A54"/>
    <w:rsid w:val="002748EA"/>
    <w:rsid w:val="0027556F"/>
    <w:rsid w:val="00277E98"/>
    <w:rsid w:val="00281536"/>
    <w:rsid w:val="0028155C"/>
    <w:rsid w:val="002819F2"/>
    <w:rsid w:val="002832CF"/>
    <w:rsid w:val="00283632"/>
    <w:rsid w:val="00283D51"/>
    <w:rsid w:val="002845F0"/>
    <w:rsid w:val="00284DAD"/>
    <w:rsid w:val="00285491"/>
    <w:rsid w:val="002854EF"/>
    <w:rsid w:val="00285BA2"/>
    <w:rsid w:val="00285D9E"/>
    <w:rsid w:val="00285FAE"/>
    <w:rsid w:val="00286CE0"/>
    <w:rsid w:val="00287CED"/>
    <w:rsid w:val="00291DC6"/>
    <w:rsid w:val="00292275"/>
    <w:rsid w:val="00294263"/>
    <w:rsid w:val="002944F8"/>
    <w:rsid w:val="002951DF"/>
    <w:rsid w:val="00295DDF"/>
    <w:rsid w:val="00296A1E"/>
    <w:rsid w:val="00296C3F"/>
    <w:rsid w:val="00296D63"/>
    <w:rsid w:val="00297F8A"/>
    <w:rsid w:val="002A0013"/>
    <w:rsid w:val="002A11A5"/>
    <w:rsid w:val="002A2063"/>
    <w:rsid w:val="002A2248"/>
    <w:rsid w:val="002A2B48"/>
    <w:rsid w:val="002A2BD5"/>
    <w:rsid w:val="002A3CEB"/>
    <w:rsid w:val="002A3F26"/>
    <w:rsid w:val="002A4CF8"/>
    <w:rsid w:val="002A4F98"/>
    <w:rsid w:val="002A5158"/>
    <w:rsid w:val="002A5420"/>
    <w:rsid w:val="002A5BD0"/>
    <w:rsid w:val="002A63EF"/>
    <w:rsid w:val="002A6430"/>
    <w:rsid w:val="002A6B63"/>
    <w:rsid w:val="002B01A2"/>
    <w:rsid w:val="002B065C"/>
    <w:rsid w:val="002B081A"/>
    <w:rsid w:val="002B090A"/>
    <w:rsid w:val="002B124A"/>
    <w:rsid w:val="002B24F9"/>
    <w:rsid w:val="002B25DE"/>
    <w:rsid w:val="002B382C"/>
    <w:rsid w:val="002B44B2"/>
    <w:rsid w:val="002B47CE"/>
    <w:rsid w:val="002B6724"/>
    <w:rsid w:val="002B6A04"/>
    <w:rsid w:val="002B6DAF"/>
    <w:rsid w:val="002C0F1B"/>
    <w:rsid w:val="002C1BBE"/>
    <w:rsid w:val="002C2DBD"/>
    <w:rsid w:val="002C52A2"/>
    <w:rsid w:val="002C5925"/>
    <w:rsid w:val="002C66D4"/>
    <w:rsid w:val="002C6E7F"/>
    <w:rsid w:val="002C74D0"/>
    <w:rsid w:val="002C7888"/>
    <w:rsid w:val="002D1CE2"/>
    <w:rsid w:val="002D229E"/>
    <w:rsid w:val="002D35E1"/>
    <w:rsid w:val="002D3E0C"/>
    <w:rsid w:val="002D4022"/>
    <w:rsid w:val="002D437A"/>
    <w:rsid w:val="002D518D"/>
    <w:rsid w:val="002D51D9"/>
    <w:rsid w:val="002D5603"/>
    <w:rsid w:val="002D5A45"/>
    <w:rsid w:val="002D60F6"/>
    <w:rsid w:val="002D6786"/>
    <w:rsid w:val="002D774E"/>
    <w:rsid w:val="002D77B8"/>
    <w:rsid w:val="002D7980"/>
    <w:rsid w:val="002E05A7"/>
    <w:rsid w:val="002E065D"/>
    <w:rsid w:val="002E240A"/>
    <w:rsid w:val="002E280D"/>
    <w:rsid w:val="002E3426"/>
    <w:rsid w:val="002E3B4D"/>
    <w:rsid w:val="002E42C3"/>
    <w:rsid w:val="002E4B12"/>
    <w:rsid w:val="002E5504"/>
    <w:rsid w:val="002E6AA1"/>
    <w:rsid w:val="002E7582"/>
    <w:rsid w:val="002E7B8A"/>
    <w:rsid w:val="002F01C6"/>
    <w:rsid w:val="002F10CD"/>
    <w:rsid w:val="002F17C7"/>
    <w:rsid w:val="002F25EC"/>
    <w:rsid w:val="002F35D2"/>
    <w:rsid w:val="002F4603"/>
    <w:rsid w:val="002F48ED"/>
    <w:rsid w:val="002F4DB8"/>
    <w:rsid w:val="002F4E12"/>
    <w:rsid w:val="002F5622"/>
    <w:rsid w:val="002F6563"/>
    <w:rsid w:val="003010DC"/>
    <w:rsid w:val="003019D5"/>
    <w:rsid w:val="003035F5"/>
    <w:rsid w:val="00304794"/>
    <w:rsid w:val="00305574"/>
    <w:rsid w:val="00305F36"/>
    <w:rsid w:val="003061C7"/>
    <w:rsid w:val="0030654D"/>
    <w:rsid w:val="00306AE6"/>
    <w:rsid w:val="00307C08"/>
    <w:rsid w:val="00310836"/>
    <w:rsid w:val="0031164B"/>
    <w:rsid w:val="003117FF"/>
    <w:rsid w:val="003126DD"/>
    <w:rsid w:val="00313A9F"/>
    <w:rsid w:val="003152F7"/>
    <w:rsid w:val="003163F0"/>
    <w:rsid w:val="00316AB5"/>
    <w:rsid w:val="00317579"/>
    <w:rsid w:val="003175CD"/>
    <w:rsid w:val="003201F0"/>
    <w:rsid w:val="0032040A"/>
    <w:rsid w:val="00320850"/>
    <w:rsid w:val="00321558"/>
    <w:rsid w:val="00322682"/>
    <w:rsid w:val="003238BD"/>
    <w:rsid w:val="003256EA"/>
    <w:rsid w:val="00325CC2"/>
    <w:rsid w:val="00325DEF"/>
    <w:rsid w:val="00326EDD"/>
    <w:rsid w:val="00327353"/>
    <w:rsid w:val="00331559"/>
    <w:rsid w:val="00333BD9"/>
    <w:rsid w:val="00334653"/>
    <w:rsid w:val="003365CE"/>
    <w:rsid w:val="0033679F"/>
    <w:rsid w:val="00337532"/>
    <w:rsid w:val="003401DB"/>
    <w:rsid w:val="0034063D"/>
    <w:rsid w:val="00340DD4"/>
    <w:rsid w:val="00341ABF"/>
    <w:rsid w:val="00342CAB"/>
    <w:rsid w:val="00342DA3"/>
    <w:rsid w:val="00345E86"/>
    <w:rsid w:val="003461A9"/>
    <w:rsid w:val="0034681C"/>
    <w:rsid w:val="003503EB"/>
    <w:rsid w:val="00350984"/>
    <w:rsid w:val="00350FF7"/>
    <w:rsid w:val="0035135D"/>
    <w:rsid w:val="00351EFC"/>
    <w:rsid w:val="00352420"/>
    <w:rsid w:val="00352AC2"/>
    <w:rsid w:val="00353892"/>
    <w:rsid w:val="00354BA2"/>
    <w:rsid w:val="003559AF"/>
    <w:rsid w:val="00356CA0"/>
    <w:rsid w:val="00360031"/>
    <w:rsid w:val="003601BC"/>
    <w:rsid w:val="003602A2"/>
    <w:rsid w:val="00363603"/>
    <w:rsid w:val="003636A1"/>
    <w:rsid w:val="003642C3"/>
    <w:rsid w:val="00364404"/>
    <w:rsid w:val="003667BE"/>
    <w:rsid w:val="00366CBF"/>
    <w:rsid w:val="003672BB"/>
    <w:rsid w:val="003700BD"/>
    <w:rsid w:val="0037139C"/>
    <w:rsid w:val="00371486"/>
    <w:rsid w:val="0037156B"/>
    <w:rsid w:val="00372428"/>
    <w:rsid w:val="00372E2D"/>
    <w:rsid w:val="003745B1"/>
    <w:rsid w:val="0037475E"/>
    <w:rsid w:val="00375295"/>
    <w:rsid w:val="0037551C"/>
    <w:rsid w:val="0037559F"/>
    <w:rsid w:val="00375BDC"/>
    <w:rsid w:val="00375C43"/>
    <w:rsid w:val="00376D20"/>
    <w:rsid w:val="0038013D"/>
    <w:rsid w:val="003807B1"/>
    <w:rsid w:val="00380DAA"/>
    <w:rsid w:val="00381076"/>
    <w:rsid w:val="003825B6"/>
    <w:rsid w:val="003828DD"/>
    <w:rsid w:val="00382DD3"/>
    <w:rsid w:val="00382F5A"/>
    <w:rsid w:val="00384210"/>
    <w:rsid w:val="0038564C"/>
    <w:rsid w:val="00386215"/>
    <w:rsid w:val="003866CF"/>
    <w:rsid w:val="003907A7"/>
    <w:rsid w:val="00391637"/>
    <w:rsid w:val="00393E0F"/>
    <w:rsid w:val="00394446"/>
    <w:rsid w:val="0039479A"/>
    <w:rsid w:val="00395ED6"/>
    <w:rsid w:val="003965B7"/>
    <w:rsid w:val="0039668C"/>
    <w:rsid w:val="003967E2"/>
    <w:rsid w:val="003A0C75"/>
    <w:rsid w:val="003A2181"/>
    <w:rsid w:val="003A2ABC"/>
    <w:rsid w:val="003A31E2"/>
    <w:rsid w:val="003A3225"/>
    <w:rsid w:val="003A38B2"/>
    <w:rsid w:val="003A4950"/>
    <w:rsid w:val="003A4E2D"/>
    <w:rsid w:val="003A5CFA"/>
    <w:rsid w:val="003A6027"/>
    <w:rsid w:val="003A61B4"/>
    <w:rsid w:val="003A64AC"/>
    <w:rsid w:val="003A6F7E"/>
    <w:rsid w:val="003B0266"/>
    <w:rsid w:val="003B1C5C"/>
    <w:rsid w:val="003B1D68"/>
    <w:rsid w:val="003B1D92"/>
    <w:rsid w:val="003B32C1"/>
    <w:rsid w:val="003B43E3"/>
    <w:rsid w:val="003B4A76"/>
    <w:rsid w:val="003B4ACA"/>
    <w:rsid w:val="003B62AB"/>
    <w:rsid w:val="003B6B84"/>
    <w:rsid w:val="003B723E"/>
    <w:rsid w:val="003B79D0"/>
    <w:rsid w:val="003B7C55"/>
    <w:rsid w:val="003C0424"/>
    <w:rsid w:val="003C0D5D"/>
    <w:rsid w:val="003C1FA9"/>
    <w:rsid w:val="003C254E"/>
    <w:rsid w:val="003C345B"/>
    <w:rsid w:val="003C4451"/>
    <w:rsid w:val="003C48E8"/>
    <w:rsid w:val="003C4968"/>
    <w:rsid w:val="003C4A19"/>
    <w:rsid w:val="003C5226"/>
    <w:rsid w:val="003C6342"/>
    <w:rsid w:val="003C65E5"/>
    <w:rsid w:val="003C7A9A"/>
    <w:rsid w:val="003C7EB0"/>
    <w:rsid w:val="003C7EBF"/>
    <w:rsid w:val="003D0267"/>
    <w:rsid w:val="003D0349"/>
    <w:rsid w:val="003D070F"/>
    <w:rsid w:val="003D0C17"/>
    <w:rsid w:val="003D1A3E"/>
    <w:rsid w:val="003D1BA9"/>
    <w:rsid w:val="003D1DA1"/>
    <w:rsid w:val="003D20B4"/>
    <w:rsid w:val="003D2C93"/>
    <w:rsid w:val="003D4B93"/>
    <w:rsid w:val="003D4DA6"/>
    <w:rsid w:val="003D65FF"/>
    <w:rsid w:val="003D6988"/>
    <w:rsid w:val="003D7918"/>
    <w:rsid w:val="003E0055"/>
    <w:rsid w:val="003E11F6"/>
    <w:rsid w:val="003E22E1"/>
    <w:rsid w:val="003E431E"/>
    <w:rsid w:val="003E4432"/>
    <w:rsid w:val="003E4D0A"/>
    <w:rsid w:val="003E4F26"/>
    <w:rsid w:val="003E54CE"/>
    <w:rsid w:val="003E583D"/>
    <w:rsid w:val="003E5AFA"/>
    <w:rsid w:val="003E5D8F"/>
    <w:rsid w:val="003F3245"/>
    <w:rsid w:val="003F35CA"/>
    <w:rsid w:val="003F427C"/>
    <w:rsid w:val="003F4362"/>
    <w:rsid w:val="003F4C7E"/>
    <w:rsid w:val="003F5A17"/>
    <w:rsid w:val="003F7F57"/>
    <w:rsid w:val="00400909"/>
    <w:rsid w:val="004010B8"/>
    <w:rsid w:val="0040309C"/>
    <w:rsid w:val="00403E2B"/>
    <w:rsid w:val="00404A5A"/>
    <w:rsid w:val="0040584A"/>
    <w:rsid w:val="00406199"/>
    <w:rsid w:val="00406A99"/>
    <w:rsid w:val="00406C5D"/>
    <w:rsid w:val="0040728F"/>
    <w:rsid w:val="00407305"/>
    <w:rsid w:val="00407F4D"/>
    <w:rsid w:val="004103D0"/>
    <w:rsid w:val="00410AA5"/>
    <w:rsid w:val="0041223D"/>
    <w:rsid w:val="00412381"/>
    <w:rsid w:val="0041262C"/>
    <w:rsid w:val="00412F8E"/>
    <w:rsid w:val="00413CD9"/>
    <w:rsid w:val="00415BC8"/>
    <w:rsid w:val="00415EF5"/>
    <w:rsid w:val="0041646C"/>
    <w:rsid w:val="00417482"/>
    <w:rsid w:val="00417887"/>
    <w:rsid w:val="00417CC3"/>
    <w:rsid w:val="00417F87"/>
    <w:rsid w:val="00420B4F"/>
    <w:rsid w:val="00420F7F"/>
    <w:rsid w:val="00421D9A"/>
    <w:rsid w:val="00421ED0"/>
    <w:rsid w:val="00422543"/>
    <w:rsid w:val="00423869"/>
    <w:rsid w:val="00423A36"/>
    <w:rsid w:val="00427FAC"/>
    <w:rsid w:val="00431536"/>
    <w:rsid w:val="00432297"/>
    <w:rsid w:val="0043345A"/>
    <w:rsid w:val="004334FB"/>
    <w:rsid w:val="00433FAD"/>
    <w:rsid w:val="004367CC"/>
    <w:rsid w:val="00437CD0"/>
    <w:rsid w:val="00440D23"/>
    <w:rsid w:val="00442722"/>
    <w:rsid w:val="00442D7F"/>
    <w:rsid w:val="0044344A"/>
    <w:rsid w:val="0044476B"/>
    <w:rsid w:val="00446057"/>
    <w:rsid w:val="00447D5F"/>
    <w:rsid w:val="0045028B"/>
    <w:rsid w:val="004508A8"/>
    <w:rsid w:val="004511C7"/>
    <w:rsid w:val="0045268F"/>
    <w:rsid w:val="00453241"/>
    <w:rsid w:val="00453360"/>
    <w:rsid w:val="00453E09"/>
    <w:rsid w:val="00454113"/>
    <w:rsid w:val="004541DD"/>
    <w:rsid w:val="004542BE"/>
    <w:rsid w:val="00456084"/>
    <w:rsid w:val="00456D6B"/>
    <w:rsid w:val="004575AE"/>
    <w:rsid w:val="004576A5"/>
    <w:rsid w:val="00460585"/>
    <w:rsid w:val="00461538"/>
    <w:rsid w:val="00461DBB"/>
    <w:rsid w:val="00461DFB"/>
    <w:rsid w:val="004625A2"/>
    <w:rsid w:val="00462D53"/>
    <w:rsid w:val="00463C38"/>
    <w:rsid w:val="00464010"/>
    <w:rsid w:val="00466C21"/>
    <w:rsid w:val="00467112"/>
    <w:rsid w:val="00467CED"/>
    <w:rsid w:val="004709E0"/>
    <w:rsid w:val="0047119C"/>
    <w:rsid w:val="004711FB"/>
    <w:rsid w:val="0047125D"/>
    <w:rsid w:val="00471330"/>
    <w:rsid w:val="00471B91"/>
    <w:rsid w:val="00474D94"/>
    <w:rsid w:val="0047538B"/>
    <w:rsid w:val="00475E6D"/>
    <w:rsid w:val="00476D4A"/>
    <w:rsid w:val="00477497"/>
    <w:rsid w:val="004775FC"/>
    <w:rsid w:val="00477A0D"/>
    <w:rsid w:val="00477ABF"/>
    <w:rsid w:val="004801E6"/>
    <w:rsid w:val="00480452"/>
    <w:rsid w:val="004806BF"/>
    <w:rsid w:val="004809B8"/>
    <w:rsid w:val="00481E5B"/>
    <w:rsid w:val="00482475"/>
    <w:rsid w:val="0048293B"/>
    <w:rsid w:val="00483705"/>
    <w:rsid w:val="00483CEE"/>
    <w:rsid w:val="004852C4"/>
    <w:rsid w:val="004853E8"/>
    <w:rsid w:val="0048666B"/>
    <w:rsid w:val="00486F8E"/>
    <w:rsid w:val="0048792E"/>
    <w:rsid w:val="00491459"/>
    <w:rsid w:val="00491643"/>
    <w:rsid w:val="00491DB4"/>
    <w:rsid w:val="00492077"/>
    <w:rsid w:val="00493405"/>
    <w:rsid w:val="00495457"/>
    <w:rsid w:val="0049674A"/>
    <w:rsid w:val="00496A51"/>
    <w:rsid w:val="00496ABE"/>
    <w:rsid w:val="00496E2E"/>
    <w:rsid w:val="00496E9C"/>
    <w:rsid w:val="00497405"/>
    <w:rsid w:val="0049762B"/>
    <w:rsid w:val="004976DF"/>
    <w:rsid w:val="00497A37"/>
    <w:rsid w:val="00497F71"/>
    <w:rsid w:val="004A411A"/>
    <w:rsid w:val="004A5982"/>
    <w:rsid w:val="004A676B"/>
    <w:rsid w:val="004A7BA6"/>
    <w:rsid w:val="004A7D5C"/>
    <w:rsid w:val="004A7FB9"/>
    <w:rsid w:val="004A7FEC"/>
    <w:rsid w:val="004B061D"/>
    <w:rsid w:val="004B2A13"/>
    <w:rsid w:val="004B355E"/>
    <w:rsid w:val="004B3CE9"/>
    <w:rsid w:val="004B5040"/>
    <w:rsid w:val="004B611F"/>
    <w:rsid w:val="004B7CBA"/>
    <w:rsid w:val="004C1003"/>
    <w:rsid w:val="004C12C4"/>
    <w:rsid w:val="004C21D0"/>
    <w:rsid w:val="004C2D9F"/>
    <w:rsid w:val="004C3C1A"/>
    <w:rsid w:val="004C4A8A"/>
    <w:rsid w:val="004C64E2"/>
    <w:rsid w:val="004C6E97"/>
    <w:rsid w:val="004C730C"/>
    <w:rsid w:val="004D0C7C"/>
    <w:rsid w:val="004D1DB6"/>
    <w:rsid w:val="004D23EB"/>
    <w:rsid w:val="004D24D4"/>
    <w:rsid w:val="004D4751"/>
    <w:rsid w:val="004D5982"/>
    <w:rsid w:val="004D610D"/>
    <w:rsid w:val="004D72D8"/>
    <w:rsid w:val="004D733E"/>
    <w:rsid w:val="004D74A4"/>
    <w:rsid w:val="004D74C4"/>
    <w:rsid w:val="004E08CA"/>
    <w:rsid w:val="004E1D46"/>
    <w:rsid w:val="004E233F"/>
    <w:rsid w:val="004E2C60"/>
    <w:rsid w:val="004E421D"/>
    <w:rsid w:val="004E458B"/>
    <w:rsid w:val="004E5D7F"/>
    <w:rsid w:val="004E5D86"/>
    <w:rsid w:val="004E64F3"/>
    <w:rsid w:val="004E665D"/>
    <w:rsid w:val="004E6859"/>
    <w:rsid w:val="004E7121"/>
    <w:rsid w:val="004E7A96"/>
    <w:rsid w:val="004F0684"/>
    <w:rsid w:val="004F206A"/>
    <w:rsid w:val="004F3F55"/>
    <w:rsid w:val="004F54D3"/>
    <w:rsid w:val="004F655B"/>
    <w:rsid w:val="004F69F4"/>
    <w:rsid w:val="004F70A7"/>
    <w:rsid w:val="004F7BC4"/>
    <w:rsid w:val="004F7D59"/>
    <w:rsid w:val="005000B8"/>
    <w:rsid w:val="0050155C"/>
    <w:rsid w:val="00501CBB"/>
    <w:rsid w:val="0050236C"/>
    <w:rsid w:val="00502B1F"/>
    <w:rsid w:val="00502D1D"/>
    <w:rsid w:val="005048A3"/>
    <w:rsid w:val="005049EA"/>
    <w:rsid w:val="00506C0A"/>
    <w:rsid w:val="00507156"/>
    <w:rsid w:val="00510056"/>
    <w:rsid w:val="0051059C"/>
    <w:rsid w:val="0051097B"/>
    <w:rsid w:val="00510C43"/>
    <w:rsid w:val="00512ADA"/>
    <w:rsid w:val="00512D63"/>
    <w:rsid w:val="00514EBA"/>
    <w:rsid w:val="00516652"/>
    <w:rsid w:val="00516B92"/>
    <w:rsid w:val="005173E1"/>
    <w:rsid w:val="00517510"/>
    <w:rsid w:val="0051751B"/>
    <w:rsid w:val="005179AD"/>
    <w:rsid w:val="00517EB2"/>
    <w:rsid w:val="005208FB"/>
    <w:rsid w:val="005211B3"/>
    <w:rsid w:val="005214E4"/>
    <w:rsid w:val="0052173D"/>
    <w:rsid w:val="00521DB1"/>
    <w:rsid w:val="0052340B"/>
    <w:rsid w:val="00526501"/>
    <w:rsid w:val="005265C9"/>
    <w:rsid w:val="00527134"/>
    <w:rsid w:val="005279CE"/>
    <w:rsid w:val="00527D39"/>
    <w:rsid w:val="00527FE5"/>
    <w:rsid w:val="00530BC1"/>
    <w:rsid w:val="00531067"/>
    <w:rsid w:val="005311A3"/>
    <w:rsid w:val="005317E5"/>
    <w:rsid w:val="00532CFB"/>
    <w:rsid w:val="00532D51"/>
    <w:rsid w:val="00532E00"/>
    <w:rsid w:val="005363FC"/>
    <w:rsid w:val="00537B18"/>
    <w:rsid w:val="00540072"/>
    <w:rsid w:val="00540285"/>
    <w:rsid w:val="005417F0"/>
    <w:rsid w:val="00541CF2"/>
    <w:rsid w:val="00541EDD"/>
    <w:rsid w:val="005433B6"/>
    <w:rsid w:val="005435FD"/>
    <w:rsid w:val="0054420D"/>
    <w:rsid w:val="00544F2E"/>
    <w:rsid w:val="00545917"/>
    <w:rsid w:val="00546304"/>
    <w:rsid w:val="00546461"/>
    <w:rsid w:val="00546511"/>
    <w:rsid w:val="00551E17"/>
    <w:rsid w:val="005526E5"/>
    <w:rsid w:val="005534C5"/>
    <w:rsid w:val="005549CA"/>
    <w:rsid w:val="00554B88"/>
    <w:rsid w:val="00555613"/>
    <w:rsid w:val="005566A6"/>
    <w:rsid w:val="0055687C"/>
    <w:rsid w:val="00556ED8"/>
    <w:rsid w:val="00557AB0"/>
    <w:rsid w:val="00560496"/>
    <w:rsid w:val="005628AA"/>
    <w:rsid w:val="00562E9A"/>
    <w:rsid w:val="00563AF9"/>
    <w:rsid w:val="0056464F"/>
    <w:rsid w:val="00564965"/>
    <w:rsid w:val="00566CE0"/>
    <w:rsid w:val="0056778B"/>
    <w:rsid w:val="00567933"/>
    <w:rsid w:val="00571B1D"/>
    <w:rsid w:val="005725D8"/>
    <w:rsid w:val="00573491"/>
    <w:rsid w:val="00573DE9"/>
    <w:rsid w:val="00576287"/>
    <w:rsid w:val="00576456"/>
    <w:rsid w:val="00576729"/>
    <w:rsid w:val="00576AB9"/>
    <w:rsid w:val="005776A2"/>
    <w:rsid w:val="00577A91"/>
    <w:rsid w:val="00580A5E"/>
    <w:rsid w:val="00580C48"/>
    <w:rsid w:val="005811BD"/>
    <w:rsid w:val="00581385"/>
    <w:rsid w:val="00581892"/>
    <w:rsid w:val="005821D6"/>
    <w:rsid w:val="005829FC"/>
    <w:rsid w:val="00582B51"/>
    <w:rsid w:val="00582E3C"/>
    <w:rsid w:val="0058378D"/>
    <w:rsid w:val="00583F58"/>
    <w:rsid w:val="00586026"/>
    <w:rsid w:val="00586E3F"/>
    <w:rsid w:val="00587ECE"/>
    <w:rsid w:val="00587F52"/>
    <w:rsid w:val="005917D0"/>
    <w:rsid w:val="00591915"/>
    <w:rsid w:val="00591A41"/>
    <w:rsid w:val="00592770"/>
    <w:rsid w:val="00593E3E"/>
    <w:rsid w:val="00594A35"/>
    <w:rsid w:val="00594FDF"/>
    <w:rsid w:val="00596144"/>
    <w:rsid w:val="005967A9"/>
    <w:rsid w:val="005A04B6"/>
    <w:rsid w:val="005A0D7A"/>
    <w:rsid w:val="005A257C"/>
    <w:rsid w:val="005A3F91"/>
    <w:rsid w:val="005A3FFF"/>
    <w:rsid w:val="005A40EA"/>
    <w:rsid w:val="005A423D"/>
    <w:rsid w:val="005A42DF"/>
    <w:rsid w:val="005A5241"/>
    <w:rsid w:val="005A5532"/>
    <w:rsid w:val="005A7439"/>
    <w:rsid w:val="005B022F"/>
    <w:rsid w:val="005B0913"/>
    <w:rsid w:val="005B118F"/>
    <w:rsid w:val="005B16B6"/>
    <w:rsid w:val="005B3B11"/>
    <w:rsid w:val="005B3E81"/>
    <w:rsid w:val="005B5999"/>
    <w:rsid w:val="005B6630"/>
    <w:rsid w:val="005B671E"/>
    <w:rsid w:val="005B6BC1"/>
    <w:rsid w:val="005B6EE7"/>
    <w:rsid w:val="005C0110"/>
    <w:rsid w:val="005C01E3"/>
    <w:rsid w:val="005C126C"/>
    <w:rsid w:val="005C13B8"/>
    <w:rsid w:val="005C16E1"/>
    <w:rsid w:val="005C228E"/>
    <w:rsid w:val="005C27BF"/>
    <w:rsid w:val="005C2DA2"/>
    <w:rsid w:val="005C3216"/>
    <w:rsid w:val="005C503A"/>
    <w:rsid w:val="005C5123"/>
    <w:rsid w:val="005C60BF"/>
    <w:rsid w:val="005C6806"/>
    <w:rsid w:val="005C6BBA"/>
    <w:rsid w:val="005C7816"/>
    <w:rsid w:val="005C7E4E"/>
    <w:rsid w:val="005C7F06"/>
    <w:rsid w:val="005D2052"/>
    <w:rsid w:val="005D346C"/>
    <w:rsid w:val="005D3F14"/>
    <w:rsid w:val="005D4ACF"/>
    <w:rsid w:val="005D4B12"/>
    <w:rsid w:val="005D5C3B"/>
    <w:rsid w:val="005D5E9E"/>
    <w:rsid w:val="005D6EF9"/>
    <w:rsid w:val="005D7AD7"/>
    <w:rsid w:val="005D7F62"/>
    <w:rsid w:val="005E0C80"/>
    <w:rsid w:val="005E1FEE"/>
    <w:rsid w:val="005E24E5"/>
    <w:rsid w:val="005E37AB"/>
    <w:rsid w:val="005E3FDE"/>
    <w:rsid w:val="005E4464"/>
    <w:rsid w:val="005E483A"/>
    <w:rsid w:val="005E5DF7"/>
    <w:rsid w:val="005E62D7"/>
    <w:rsid w:val="005E6322"/>
    <w:rsid w:val="005E79A3"/>
    <w:rsid w:val="005E7FB0"/>
    <w:rsid w:val="005F0089"/>
    <w:rsid w:val="005F18B3"/>
    <w:rsid w:val="005F18C4"/>
    <w:rsid w:val="005F28FF"/>
    <w:rsid w:val="005F2F33"/>
    <w:rsid w:val="005F41CE"/>
    <w:rsid w:val="005F445F"/>
    <w:rsid w:val="005F5047"/>
    <w:rsid w:val="005F590F"/>
    <w:rsid w:val="005F6E1C"/>
    <w:rsid w:val="005F79A0"/>
    <w:rsid w:val="005F7DAA"/>
    <w:rsid w:val="006001F6"/>
    <w:rsid w:val="0060194D"/>
    <w:rsid w:val="0060221C"/>
    <w:rsid w:val="00602BF7"/>
    <w:rsid w:val="00603022"/>
    <w:rsid w:val="0060331F"/>
    <w:rsid w:val="00603F55"/>
    <w:rsid w:val="00604820"/>
    <w:rsid w:val="00604952"/>
    <w:rsid w:val="00604B8A"/>
    <w:rsid w:val="006067A2"/>
    <w:rsid w:val="00606A28"/>
    <w:rsid w:val="0061077E"/>
    <w:rsid w:val="00610B21"/>
    <w:rsid w:val="0061168A"/>
    <w:rsid w:val="006123E3"/>
    <w:rsid w:val="00613023"/>
    <w:rsid w:val="006132A1"/>
    <w:rsid w:val="0061554A"/>
    <w:rsid w:val="00615BA1"/>
    <w:rsid w:val="00615D18"/>
    <w:rsid w:val="0061615D"/>
    <w:rsid w:val="00620E1E"/>
    <w:rsid w:val="00621100"/>
    <w:rsid w:val="0062125A"/>
    <w:rsid w:val="006216F1"/>
    <w:rsid w:val="00623A1E"/>
    <w:rsid w:val="00624C35"/>
    <w:rsid w:val="00625B2E"/>
    <w:rsid w:val="00626DB0"/>
    <w:rsid w:val="00631C5B"/>
    <w:rsid w:val="00631DAD"/>
    <w:rsid w:val="00631E24"/>
    <w:rsid w:val="00632B2C"/>
    <w:rsid w:val="00632BD2"/>
    <w:rsid w:val="006332EF"/>
    <w:rsid w:val="006334B9"/>
    <w:rsid w:val="00634A72"/>
    <w:rsid w:val="00636BC7"/>
    <w:rsid w:val="00636F5D"/>
    <w:rsid w:val="00637B90"/>
    <w:rsid w:val="0064266C"/>
    <w:rsid w:val="0064270B"/>
    <w:rsid w:val="006436D1"/>
    <w:rsid w:val="00643BB4"/>
    <w:rsid w:val="006448DA"/>
    <w:rsid w:val="006450E1"/>
    <w:rsid w:val="00645C56"/>
    <w:rsid w:val="0064619C"/>
    <w:rsid w:val="006462D1"/>
    <w:rsid w:val="00646568"/>
    <w:rsid w:val="00646F5C"/>
    <w:rsid w:val="00647680"/>
    <w:rsid w:val="00647F74"/>
    <w:rsid w:val="006508ED"/>
    <w:rsid w:val="00650A7C"/>
    <w:rsid w:val="00650B50"/>
    <w:rsid w:val="00650F19"/>
    <w:rsid w:val="0065202E"/>
    <w:rsid w:val="00653224"/>
    <w:rsid w:val="006543EF"/>
    <w:rsid w:val="00655685"/>
    <w:rsid w:val="0065765B"/>
    <w:rsid w:val="00657707"/>
    <w:rsid w:val="006609FF"/>
    <w:rsid w:val="00661E1B"/>
    <w:rsid w:val="0066247E"/>
    <w:rsid w:val="00662625"/>
    <w:rsid w:val="00663328"/>
    <w:rsid w:val="00664099"/>
    <w:rsid w:val="00664104"/>
    <w:rsid w:val="00665129"/>
    <w:rsid w:val="00665323"/>
    <w:rsid w:val="0066576C"/>
    <w:rsid w:val="0066594E"/>
    <w:rsid w:val="006661BB"/>
    <w:rsid w:val="00666505"/>
    <w:rsid w:val="00666561"/>
    <w:rsid w:val="006675FE"/>
    <w:rsid w:val="00667839"/>
    <w:rsid w:val="00670B64"/>
    <w:rsid w:val="00671D55"/>
    <w:rsid w:val="00672336"/>
    <w:rsid w:val="00672CAD"/>
    <w:rsid w:val="00673CA4"/>
    <w:rsid w:val="00673EC7"/>
    <w:rsid w:val="00673F70"/>
    <w:rsid w:val="00675F9B"/>
    <w:rsid w:val="0067658D"/>
    <w:rsid w:val="00676AA7"/>
    <w:rsid w:val="00676F39"/>
    <w:rsid w:val="0068024A"/>
    <w:rsid w:val="00680C23"/>
    <w:rsid w:val="006827B1"/>
    <w:rsid w:val="00682C0C"/>
    <w:rsid w:val="00683E24"/>
    <w:rsid w:val="00685265"/>
    <w:rsid w:val="00685780"/>
    <w:rsid w:val="0068677F"/>
    <w:rsid w:val="00687EE8"/>
    <w:rsid w:val="006903AD"/>
    <w:rsid w:val="00690D2E"/>
    <w:rsid w:val="00692EB4"/>
    <w:rsid w:val="00693C74"/>
    <w:rsid w:val="006951F2"/>
    <w:rsid w:val="00695301"/>
    <w:rsid w:val="00695F1A"/>
    <w:rsid w:val="006968A2"/>
    <w:rsid w:val="00697436"/>
    <w:rsid w:val="006A0916"/>
    <w:rsid w:val="006A291E"/>
    <w:rsid w:val="006A2BF9"/>
    <w:rsid w:val="006A3A05"/>
    <w:rsid w:val="006A5488"/>
    <w:rsid w:val="006A628C"/>
    <w:rsid w:val="006A68D2"/>
    <w:rsid w:val="006B08C8"/>
    <w:rsid w:val="006B0C8E"/>
    <w:rsid w:val="006B0CA3"/>
    <w:rsid w:val="006B1EE1"/>
    <w:rsid w:val="006B218A"/>
    <w:rsid w:val="006B309B"/>
    <w:rsid w:val="006B34B8"/>
    <w:rsid w:val="006B392C"/>
    <w:rsid w:val="006B3C55"/>
    <w:rsid w:val="006B5330"/>
    <w:rsid w:val="006B687B"/>
    <w:rsid w:val="006B6C52"/>
    <w:rsid w:val="006B74DC"/>
    <w:rsid w:val="006B7602"/>
    <w:rsid w:val="006B7F6E"/>
    <w:rsid w:val="006C05E9"/>
    <w:rsid w:val="006C0883"/>
    <w:rsid w:val="006C259C"/>
    <w:rsid w:val="006C32B8"/>
    <w:rsid w:val="006C38A7"/>
    <w:rsid w:val="006C3CE3"/>
    <w:rsid w:val="006C436C"/>
    <w:rsid w:val="006C5A7D"/>
    <w:rsid w:val="006C6DC8"/>
    <w:rsid w:val="006D16D9"/>
    <w:rsid w:val="006D3088"/>
    <w:rsid w:val="006D314C"/>
    <w:rsid w:val="006D51B0"/>
    <w:rsid w:val="006D5959"/>
    <w:rsid w:val="006D5B2C"/>
    <w:rsid w:val="006E0BD7"/>
    <w:rsid w:val="006E0D20"/>
    <w:rsid w:val="006E0DBA"/>
    <w:rsid w:val="006E0F14"/>
    <w:rsid w:val="006E1BFA"/>
    <w:rsid w:val="006E482D"/>
    <w:rsid w:val="006E4835"/>
    <w:rsid w:val="006E4BFE"/>
    <w:rsid w:val="006E7425"/>
    <w:rsid w:val="006F0821"/>
    <w:rsid w:val="006F179B"/>
    <w:rsid w:val="006F19B7"/>
    <w:rsid w:val="006F2380"/>
    <w:rsid w:val="006F39A2"/>
    <w:rsid w:val="006F3EF3"/>
    <w:rsid w:val="006F556B"/>
    <w:rsid w:val="006F5EC2"/>
    <w:rsid w:val="006F6D53"/>
    <w:rsid w:val="006F792B"/>
    <w:rsid w:val="00700E40"/>
    <w:rsid w:val="007020DE"/>
    <w:rsid w:val="00702FE5"/>
    <w:rsid w:val="0070318A"/>
    <w:rsid w:val="0070615B"/>
    <w:rsid w:val="0070634B"/>
    <w:rsid w:val="00710779"/>
    <w:rsid w:val="00710A62"/>
    <w:rsid w:val="00710E5F"/>
    <w:rsid w:val="00711FF6"/>
    <w:rsid w:val="00712595"/>
    <w:rsid w:val="00712D77"/>
    <w:rsid w:val="007138A2"/>
    <w:rsid w:val="00714B4C"/>
    <w:rsid w:val="00714D5A"/>
    <w:rsid w:val="00714F28"/>
    <w:rsid w:val="00716516"/>
    <w:rsid w:val="00716685"/>
    <w:rsid w:val="00717B0E"/>
    <w:rsid w:val="00720027"/>
    <w:rsid w:val="0072007C"/>
    <w:rsid w:val="007205B7"/>
    <w:rsid w:val="00720926"/>
    <w:rsid w:val="00722F07"/>
    <w:rsid w:val="00723113"/>
    <w:rsid w:val="00724DEC"/>
    <w:rsid w:val="00727323"/>
    <w:rsid w:val="0073028D"/>
    <w:rsid w:val="00731A43"/>
    <w:rsid w:val="007322BD"/>
    <w:rsid w:val="00734254"/>
    <w:rsid w:val="007348BB"/>
    <w:rsid w:val="007358B0"/>
    <w:rsid w:val="00737855"/>
    <w:rsid w:val="007379A0"/>
    <w:rsid w:val="00737E61"/>
    <w:rsid w:val="0074013C"/>
    <w:rsid w:val="00740CF9"/>
    <w:rsid w:val="00740DC1"/>
    <w:rsid w:val="00741003"/>
    <w:rsid w:val="007427B4"/>
    <w:rsid w:val="007430C4"/>
    <w:rsid w:val="00744C94"/>
    <w:rsid w:val="007460F6"/>
    <w:rsid w:val="0074660E"/>
    <w:rsid w:val="00746DD1"/>
    <w:rsid w:val="00746FE6"/>
    <w:rsid w:val="00747B02"/>
    <w:rsid w:val="00750171"/>
    <w:rsid w:val="007515A9"/>
    <w:rsid w:val="007517AF"/>
    <w:rsid w:val="00751CCD"/>
    <w:rsid w:val="00752303"/>
    <w:rsid w:val="00752832"/>
    <w:rsid w:val="007529B4"/>
    <w:rsid w:val="007537D5"/>
    <w:rsid w:val="0075465E"/>
    <w:rsid w:val="0075520A"/>
    <w:rsid w:val="00755E61"/>
    <w:rsid w:val="0075602E"/>
    <w:rsid w:val="0076322B"/>
    <w:rsid w:val="007638ED"/>
    <w:rsid w:val="00763A66"/>
    <w:rsid w:val="00765366"/>
    <w:rsid w:val="007655C1"/>
    <w:rsid w:val="00765F58"/>
    <w:rsid w:val="0076612D"/>
    <w:rsid w:val="00766242"/>
    <w:rsid w:val="00766F8C"/>
    <w:rsid w:val="00767ADE"/>
    <w:rsid w:val="00770576"/>
    <w:rsid w:val="00770AB7"/>
    <w:rsid w:val="00771119"/>
    <w:rsid w:val="0077333B"/>
    <w:rsid w:val="00773DE2"/>
    <w:rsid w:val="0077494A"/>
    <w:rsid w:val="007755CD"/>
    <w:rsid w:val="00776329"/>
    <w:rsid w:val="00777404"/>
    <w:rsid w:val="00777671"/>
    <w:rsid w:val="007779D3"/>
    <w:rsid w:val="0078148B"/>
    <w:rsid w:val="007819E6"/>
    <w:rsid w:val="00781B7E"/>
    <w:rsid w:val="007824EC"/>
    <w:rsid w:val="007826E4"/>
    <w:rsid w:val="007849AF"/>
    <w:rsid w:val="00785A70"/>
    <w:rsid w:val="0078605A"/>
    <w:rsid w:val="00786599"/>
    <w:rsid w:val="00786DA0"/>
    <w:rsid w:val="00787FA2"/>
    <w:rsid w:val="007910C8"/>
    <w:rsid w:val="00791B12"/>
    <w:rsid w:val="00792BD6"/>
    <w:rsid w:val="007931D3"/>
    <w:rsid w:val="00793DE9"/>
    <w:rsid w:val="00793E82"/>
    <w:rsid w:val="00794D91"/>
    <w:rsid w:val="00794ECB"/>
    <w:rsid w:val="007950E2"/>
    <w:rsid w:val="00795155"/>
    <w:rsid w:val="007976DC"/>
    <w:rsid w:val="00797815"/>
    <w:rsid w:val="007A085B"/>
    <w:rsid w:val="007A0E0D"/>
    <w:rsid w:val="007A0FFE"/>
    <w:rsid w:val="007A1C29"/>
    <w:rsid w:val="007A36D9"/>
    <w:rsid w:val="007A388E"/>
    <w:rsid w:val="007A3F86"/>
    <w:rsid w:val="007A3FA6"/>
    <w:rsid w:val="007A74BA"/>
    <w:rsid w:val="007A7CC1"/>
    <w:rsid w:val="007B1181"/>
    <w:rsid w:val="007B1696"/>
    <w:rsid w:val="007B216B"/>
    <w:rsid w:val="007B230A"/>
    <w:rsid w:val="007B2ECD"/>
    <w:rsid w:val="007B3DD1"/>
    <w:rsid w:val="007B4F88"/>
    <w:rsid w:val="007B6A81"/>
    <w:rsid w:val="007C0B1C"/>
    <w:rsid w:val="007C0F22"/>
    <w:rsid w:val="007C268E"/>
    <w:rsid w:val="007C274C"/>
    <w:rsid w:val="007C4FF4"/>
    <w:rsid w:val="007C64DC"/>
    <w:rsid w:val="007C66F3"/>
    <w:rsid w:val="007C6F75"/>
    <w:rsid w:val="007C7E4B"/>
    <w:rsid w:val="007D0303"/>
    <w:rsid w:val="007D151C"/>
    <w:rsid w:val="007D18FA"/>
    <w:rsid w:val="007D2002"/>
    <w:rsid w:val="007D21DB"/>
    <w:rsid w:val="007D2637"/>
    <w:rsid w:val="007D2AC5"/>
    <w:rsid w:val="007D38C9"/>
    <w:rsid w:val="007D4668"/>
    <w:rsid w:val="007D571E"/>
    <w:rsid w:val="007D6511"/>
    <w:rsid w:val="007D71A4"/>
    <w:rsid w:val="007D7500"/>
    <w:rsid w:val="007D7FCF"/>
    <w:rsid w:val="007E10F0"/>
    <w:rsid w:val="007E1108"/>
    <w:rsid w:val="007E1A5B"/>
    <w:rsid w:val="007E1B60"/>
    <w:rsid w:val="007E38DC"/>
    <w:rsid w:val="007E3CA7"/>
    <w:rsid w:val="007E3CCF"/>
    <w:rsid w:val="007E4C5E"/>
    <w:rsid w:val="007E551B"/>
    <w:rsid w:val="007E6591"/>
    <w:rsid w:val="007E69D1"/>
    <w:rsid w:val="007F027E"/>
    <w:rsid w:val="007F079E"/>
    <w:rsid w:val="007F25DA"/>
    <w:rsid w:val="007F4166"/>
    <w:rsid w:val="007F4759"/>
    <w:rsid w:val="007F47A8"/>
    <w:rsid w:val="007F4B39"/>
    <w:rsid w:val="007F5769"/>
    <w:rsid w:val="007F5E71"/>
    <w:rsid w:val="007F69C1"/>
    <w:rsid w:val="007F7192"/>
    <w:rsid w:val="0080060D"/>
    <w:rsid w:val="00801FFB"/>
    <w:rsid w:val="00802086"/>
    <w:rsid w:val="0080297A"/>
    <w:rsid w:val="00803390"/>
    <w:rsid w:val="008041BB"/>
    <w:rsid w:val="008041EB"/>
    <w:rsid w:val="00804429"/>
    <w:rsid w:val="00804E45"/>
    <w:rsid w:val="00805CD4"/>
    <w:rsid w:val="00806905"/>
    <w:rsid w:val="00807048"/>
    <w:rsid w:val="00807581"/>
    <w:rsid w:val="008078F1"/>
    <w:rsid w:val="00807A1E"/>
    <w:rsid w:val="00811059"/>
    <w:rsid w:val="00811917"/>
    <w:rsid w:val="00811F01"/>
    <w:rsid w:val="00813E7E"/>
    <w:rsid w:val="008142A0"/>
    <w:rsid w:val="008149E1"/>
    <w:rsid w:val="008152A3"/>
    <w:rsid w:val="008154A2"/>
    <w:rsid w:val="00815792"/>
    <w:rsid w:val="008204EB"/>
    <w:rsid w:val="00820528"/>
    <w:rsid w:val="0082176A"/>
    <w:rsid w:val="00822986"/>
    <w:rsid w:val="0082369B"/>
    <w:rsid w:val="00823ABE"/>
    <w:rsid w:val="008246BD"/>
    <w:rsid w:val="00824B8D"/>
    <w:rsid w:val="00824D54"/>
    <w:rsid w:val="008254BD"/>
    <w:rsid w:val="00826DCC"/>
    <w:rsid w:val="008279FE"/>
    <w:rsid w:val="00827F7C"/>
    <w:rsid w:val="00830176"/>
    <w:rsid w:val="00831F34"/>
    <w:rsid w:val="00831FC6"/>
    <w:rsid w:val="00832B63"/>
    <w:rsid w:val="0083380D"/>
    <w:rsid w:val="00833E9A"/>
    <w:rsid w:val="0083505D"/>
    <w:rsid w:val="0083582A"/>
    <w:rsid w:val="00836057"/>
    <w:rsid w:val="00836E34"/>
    <w:rsid w:val="0083749F"/>
    <w:rsid w:val="0084126F"/>
    <w:rsid w:val="00841B56"/>
    <w:rsid w:val="00841D12"/>
    <w:rsid w:val="008437EB"/>
    <w:rsid w:val="00844053"/>
    <w:rsid w:val="008453FA"/>
    <w:rsid w:val="00846A3D"/>
    <w:rsid w:val="00847BAF"/>
    <w:rsid w:val="00847FED"/>
    <w:rsid w:val="00851591"/>
    <w:rsid w:val="008517B6"/>
    <w:rsid w:val="00851B1B"/>
    <w:rsid w:val="00852956"/>
    <w:rsid w:val="00853924"/>
    <w:rsid w:val="008539E2"/>
    <w:rsid w:val="00853AC3"/>
    <w:rsid w:val="00854BF3"/>
    <w:rsid w:val="00856D53"/>
    <w:rsid w:val="00857240"/>
    <w:rsid w:val="00861137"/>
    <w:rsid w:val="0086184E"/>
    <w:rsid w:val="008618D2"/>
    <w:rsid w:val="00861C15"/>
    <w:rsid w:val="008630F3"/>
    <w:rsid w:val="008650D9"/>
    <w:rsid w:val="00865E61"/>
    <w:rsid w:val="008661AF"/>
    <w:rsid w:val="008664BA"/>
    <w:rsid w:val="0086772F"/>
    <w:rsid w:val="008702AE"/>
    <w:rsid w:val="008721F0"/>
    <w:rsid w:val="008745D1"/>
    <w:rsid w:val="00874CE0"/>
    <w:rsid w:val="0087526E"/>
    <w:rsid w:val="008762A5"/>
    <w:rsid w:val="00880DCB"/>
    <w:rsid w:val="00880F66"/>
    <w:rsid w:val="00881134"/>
    <w:rsid w:val="00881E1E"/>
    <w:rsid w:val="008821FB"/>
    <w:rsid w:val="008826E0"/>
    <w:rsid w:val="008832C7"/>
    <w:rsid w:val="00883D3A"/>
    <w:rsid w:val="00883DE1"/>
    <w:rsid w:val="00885542"/>
    <w:rsid w:val="00885BA8"/>
    <w:rsid w:val="00886693"/>
    <w:rsid w:val="008866C3"/>
    <w:rsid w:val="0088731C"/>
    <w:rsid w:val="00890267"/>
    <w:rsid w:val="00891125"/>
    <w:rsid w:val="00892437"/>
    <w:rsid w:val="00892EC4"/>
    <w:rsid w:val="008932D9"/>
    <w:rsid w:val="00893F84"/>
    <w:rsid w:val="00895933"/>
    <w:rsid w:val="00896E8E"/>
    <w:rsid w:val="00897021"/>
    <w:rsid w:val="008977F7"/>
    <w:rsid w:val="008A1128"/>
    <w:rsid w:val="008A2367"/>
    <w:rsid w:val="008A2442"/>
    <w:rsid w:val="008A3776"/>
    <w:rsid w:val="008A3E9A"/>
    <w:rsid w:val="008A4282"/>
    <w:rsid w:val="008A5777"/>
    <w:rsid w:val="008A5A33"/>
    <w:rsid w:val="008A5A84"/>
    <w:rsid w:val="008A5C5D"/>
    <w:rsid w:val="008A6924"/>
    <w:rsid w:val="008A75B0"/>
    <w:rsid w:val="008A7EE6"/>
    <w:rsid w:val="008B047E"/>
    <w:rsid w:val="008B1759"/>
    <w:rsid w:val="008B2543"/>
    <w:rsid w:val="008B4B11"/>
    <w:rsid w:val="008B4B3B"/>
    <w:rsid w:val="008B4CFE"/>
    <w:rsid w:val="008B79E1"/>
    <w:rsid w:val="008B7D70"/>
    <w:rsid w:val="008B7F59"/>
    <w:rsid w:val="008C259E"/>
    <w:rsid w:val="008C31B6"/>
    <w:rsid w:val="008C32D8"/>
    <w:rsid w:val="008C3396"/>
    <w:rsid w:val="008C478F"/>
    <w:rsid w:val="008C4B79"/>
    <w:rsid w:val="008C5AFD"/>
    <w:rsid w:val="008C5B55"/>
    <w:rsid w:val="008C5D33"/>
    <w:rsid w:val="008C602B"/>
    <w:rsid w:val="008C6232"/>
    <w:rsid w:val="008D04B3"/>
    <w:rsid w:val="008D2A9B"/>
    <w:rsid w:val="008D678E"/>
    <w:rsid w:val="008D6BE1"/>
    <w:rsid w:val="008D6DD2"/>
    <w:rsid w:val="008E0804"/>
    <w:rsid w:val="008E1789"/>
    <w:rsid w:val="008E2AAA"/>
    <w:rsid w:val="008E32A7"/>
    <w:rsid w:val="008E3718"/>
    <w:rsid w:val="008E3E1C"/>
    <w:rsid w:val="008E3F30"/>
    <w:rsid w:val="008E4159"/>
    <w:rsid w:val="008E6CF1"/>
    <w:rsid w:val="008E73F8"/>
    <w:rsid w:val="008E7549"/>
    <w:rsid w:val="008F191C"/>
    <w:rsid w:val="008F1A40"/>
    <w:rsid w:val="008F21AE"/>
    <w:rsid w:val="008F2D94"/>
    <w:rsid w:val="008F2FE0"/>
    <w:rsid w:val="008F319A"/>
    <w:rsid w:val="008F31C3"/>
    <w:rsid w:val="008F395A"/>
    <w:rsid w:val="008F49D0"/>
    <w:rsid w:val="008F4F58"/>
    <w:rsid w:val="008F538C"/>
    <w:rsid w:val="008F6D3B"/>
    <w:rsid w:val="008F74E1"/>
    <w:rsid w:val="008F75EB"/>
    <w:rsid w:val="00900A0D"/>
    <w:rsid w:val="00901340"/>
    <w:rsid w:val="009014DE"/>
    <w:rsid w:val="0090252A"/>
    <w:rsid w:val="00902C95"/>
    <w:rsid w:val="00902EBA"/>
    <w:rsid w:val="009039DF"/>
    <w:rsid w:val="009048EF"/>
    <w:rsid w:val="00904C73"/>
    <w:rsid w:val="00904C8C"/>
    <w:rsid w:val="00905F55"/>
    <w:rsid w:val="0090657C"/>
    <w:rsid w:val="00906673"/>
    <w:rsid w:val="009069CF"/>
    <w:rsid w:val="00907209"/>
    <w:rsid w:val="00907439"/>
    <w:rsid w:val="009079CC"/>
    <w:rsid w:val="00910AA1"/>
    <w:rsid w:val="009111A6"/>
    <w:rsid w:val="00911502"/>
    <w:rsid w:val="00911DA1"/>
    <w:rsid w:val="00912382"/>
    <w:rsid w:val="009127D1"/>
    <w:rsid w:val="00913A75"/>
    <w:rsid w:val="009142E6"/>
    <w:rsid w:val="009154F6"/>
    <w:rsid w:val="00916463"/>
    <w:rsid w:val="00917A6F"/>
    <w:rsid w:val="0092033D"/>
    <w:rsid w:val="00921480"/>
    <w:rsid w:val="00921569"/>
    <w:rsid w:val="009216DC"/>
    <w:rsid w:val="00921F19"/>
    <w:rsid w:val="0092259A"/>
    <w:rsid w:val="009226BF"/>
    <w:rsid w:val="00923431"/>
    <w:rsid w:val="009242F4"/>
    <w:rsid w:val="00924DC5"/>
    <w:rsid w:val="00926C40"/>
    <w:rsid w:val="00926DC0"/>
    <w:rsid w:val="00927135"/>
    <w:rsid w:val="00927431"/>
    <w:rsid w:val="00927B5C"/>
    <w:rsid w:val="00927DA2"/>
    <w:rsid w:val="0093091F"/>
    <w:rsid w:val="0093162C"/>
    <w:rsid w:val="00932273"/>
    <w:rsid w:val="00933DA7"/>
    <w:rsid w:val="009362BB"/>
    <w:rsid w:val="00936F71"/>
    <w:rsid w:val="00940A25"/>
    <w:rsid w:val="00941C19"/>
    <w:rsid w:val="009425E5"/>
    <w:rsid w:val="0094505B"/>
    <w:rsid w:val="00946F6A"/>
    <w:rsid w:val="009473B8"/>
    <w:rsid w:val="009504AE"/>
    <w:rsid w:val="00951887"/>
    <w:rsid w:val="00951B8D"/>
    <w:rsid w:val="009520EB"/>
    <w:rsid w:val="00952241"/>
    <w:rsid w:val="009532ED"/>
    <w:rsid w:val="009537D5"/>
    <w:rsid w:val="00953D75"/>
    <w:rsid w:val="009559AC"/>
    <w:rsid w:val="00955E2B"/>
    <w:rsid w:val="00956C7F"/>
    <w:rsid w:val="00957178"/>
    <w:rsid w:val="0095731B"/>
    <w:rsid w:val="0096011F"/>
    <w:rsid w:val="00962D33"/>
    <w:rsid w:val="00963A2C"/>
    <w:rsid w:val="00964D45"/>
    <w:rsid w:val="009657DB"/>
    <w:rsid w:val="00965C08"/>
    <w:rsid w:val="009667EF"/>
    <w:rsid w:val="009668F9"/>
    <w:rsid w:val="00970AFE"/>
    <w:rsid w:val="00972030"/>
    <w:rsid w:val="00972451"/>
    <w:rsid w:val="0097270E"/>
    <w:rsid w:val="009730E3"/>
    <w:rsid w:val="00973C58"/>
    <w:rsid w:val="00974B69"/>
    <w:rsid w:val="00974FAD"/>
    <w:rsid w:val="0097525A"/>
    <w:rsid w:val="009763AA"/>
    <w:rsid w:val="009764D6"/>
    <w:rsid w:val="00977A35"/>
    <w:rsid w:val="00980DD5"/>
    <w:rsid w:val="00980E07"/>
    <w:rsid w:val="00981812"/>
    <w:rsid w:val="009820D4"/>
    <w:rsid w:val="00984150"/>
    <w:rsid w:val="00986240"/>
    <w:rsid w:val="009868E2"/>
    <w:rsid w:val="00986DC8"/>
    <w:rsid w:val="00987D8B"/>
    <w:rsid w:val="00990AF4"/>
    <w:rsid w:val="00990B45"/>
    <w:rsid w:val="0099107C"/>
    <w:rsid w:val="00991A63"/>
    <w:rsid w:val="00991BC4"/>
    <w:rsid w:val="00991CAD"/>
    <w:rsid w:val="0099282B"/>
    <w:rsid w:val="0099362C"/>
    <w:rsid w:val="009950E6"/>
    <w:rsid w:val="009953AF"/>
    <w:rsid w:val="0099650D"/>
    <w:rsid w:val="0099675F"/>
    <w:rsid w:val="00996F7E"/>
    <w:rsid w:val="009A1BBB"/>
    <w:rsid w:val="009A263D"/>
    <w:rsid w:val="009A432A"/>
    <w:rsid w:val="009A4A3F"/>
    <w:rsid w:val="009A5587"/>
    <w:rsid w:val="009A6CB5"/>
    <w:rsid w:val="009A7C0E"/>
    <w:rsid w:val="009B0017"/>
    <w:rsid w:val="009B0157"/>
    <w:rsid w:val="009B0209"/>
    <w:rsid w:val="009B12F4"/>
    <w:rsid w:val="009B1E51"/>
    <w:rsid w:val="009B324D"/>
    <w:rsid w:val="009B341F"/>
    <w:rsid w:val="009B3EBB"/>
    <w:rsid w:val="009B48D1"/>
    <w:rsid w:val="009B4918"/>
    <w:rsid w:val="009B4CEE"/>
    <w:rsid w:val="009B553D"/>
    <w:rsid w:val="009B57D8"/>
    <w:rsid w:val="009B7111"/>
    <w:rsid w:val="009B7797"/>
    <w:rsid w:val="009B7E9F"/>
    <w:rsid w:val="009C104A"/>
    <w:rsid w:val="009C1492"/>
    <w:rsid w:val="009C1826"/>
    <w:rsid w:val="009C3B58"/>
    <w:rsid w:val="009C554E"/>
    <w:rsid w:val="009C5614"/>
    <w:rsid w:val="009C5CFE"/>
    <w:rsid w:val="009C6A09"/>
    <w:rsid w:val="009C7BF0"/>
    <w:rsid w:val="009D27F2"/>
    <w:rsid w:val="009D32E2"/>
    <w:rsid w:val="009D3640"/>
    <w:rsid w:val="009D427F"/>
    <w:rsid w:val="009D4477"/>
    <w:rsid w:val="009D679C"/>
    <w:rsid w:val="009D69D1"/>
    <w:rsid w:val="009E0F1E"/>
    <w:rsid w:val="009E229B"/>
    <w:rsid w:val="009E4372"/>
    <w:rsid w:val="009E5080"/>
    <w:rsid w:val="009E6242"/>
    <w:rsid w:val="009E62DD"/>
    <w:rsid w:val="009E7B19"/>
    <w:rsid w:val="009E7DD7"/>
    <w:rsid w:val="009F00AB"/>
    <w:rsid w:val="009F2888"/>
    <w:rsid w:val="009F2B8B"/>
    <w:rsid w:val="009F3DB8"/>
    <w:rsid w:val="009F50DB"/>
    <w:rsid w:val="009F522B"/>
    <w:rsid w:val="009F5BB1"/>
    <w:rsid w:val="009F7486"/>
    <w:rsid w:val="009F7E5E"/>
    <w:rsid w:val="00A003DB"/>
    <w:rsid w:val="00A004FB"/>
    <w:rsid w:val="00A01032"/>
    <w:rsid w:val="00A01209"/>
    <w:rsid w:val="00A01874"/>
    <w:rsid w:val="00A0197F"/>
    <w:rsid w:val="00A0253E"/>
    <w:rsid w:val="00A031C7"/>
    <w:rsid w:val="00A05330"/>
    <w:rsid w:val="00A0605D"/>
    <w:rsid w:val="00A06DFF"/>
    <w:rsid w:val="00A1103A"/>
    <w:rsid w:val="00A11435"/>
    <w:rsid w:val="00A11A2F"/>
    <w:rsid w:val="00A12966"/>
    <w:rsid w:val="00A146F6"/>
    <w:rsid w:val="00A14B27"/>
    <w:rsid w:val="00A14CEE"/>
    <w:rsid w:val="00A15059"/>
    <w:rsid w:val="00A158FB"/>
    <w:rsid w:val="00A15A1F"/>
    <w:rsid w:val="00A17244"/>
    <w:rsid w:val="00A205ED"/>
    <w:rsid w:val="00A21048"/>
    <w:rsid w:val="00A211A9"/>
    <w:rsid w:val="00A220D1"/>
    <w:rsid w:val="00A23707"/>
    <w:rsid w:val="00A239E8"/>
    <w:rsid w:val="00A24393"/>
    <w:rsid w:val="00A2465C"/>
    <w:rsid w:val="00A24952"/>
    <w:rsid w:val="00A24A7F"/>
    <w:rsid w:val="00A24D3E"/>
    <w:rsid w:val="00A2537C"/>
    <w:rsid w:val="00A26396"/>
    <w:rsid w:val="00A26FC9"/>
    <w:rsid w:val="00A2701F"/>
    <w:rsid w:val="00A2703F"/>
    <w:rsid w:val="00A271F3"/>
    <w:rsid w:val="00A27945"/>
    <w:rsid w:val="00A27AFA"/>
    <w:rsid w:val="00A27E34"/>
    <w:rsid w:val="00A300E9"/>
    <w:rsid w:val="00A31284"/>
    <w:rsid w:val="00A31B94"/>
    <w:rsid w:val="00A321D2"/>
    <w:rsid w:val="00A32CA6"/>
    <w:rsid w:val="00A33715"/>
    <w:rsid w:val="00A33B0A"/>
    <w:rsid w:val="00A34FDC"/>
    <w:rsid w:val="00A35043"/>
    <w:rsid w:val="00A3529C"/>
    <w:rsid w:val="00A35923"/>
    <w:rsid w:val="00A35A3D"/>
    <w:rsid w:val="00A36028"/>
    <w:rsid w:val="00A3696E"/>
    <w:rsid w:val="00A36A10"/>
    <w:rsid w:val="00A36B60"/>
    <w:rsid w:val="00A36BA7"/>
    <w:rsid w:val="00A408D6"/>
    <w:rsid w:val="00A410E0"/>
    <w:rsid w:val="00A416AE"/>
    <w:rsid w:val="00A4182E"/>
    <w:rsid w:val="00A43E0B"/>
    <w:rsid w:val="00A44054"/>
    <w:rsid w:val="00A4410A"/>
    <w:rsid w:val="00A45E8D"/>
    <w:rsid w:val="00A4708A"/>
    <w:rsid w:val="00A5034E"/>
    <w:rsid w:val="00A5144A"/>
    <w:rsid w:val="00A51738"/>
    <w:rsid w:val="00A52A16"/>
    <w:rsid w:val="00A53246"/>
    <w:rsid w:val="00A54160"/>
    <w:rsid w:val="00A5441C"/>
    <w:rsid w:val="00A54A7B"/>
    <w:rsid w:val="00A54FC1"/>
    <w:rsid w:val="00A56246"/>
    <w:rsid w:val="00A5682A"/>
    <w:rsid w:val="00A608CB"/>
    <w:rsid w:val="00A614AF"/>
    <w:rsid w:val="00A6178B"/>
    <w:rsid w:val="00A62889"/>
    <w:rsid w:val="00A6398E"/>
    <w:rsid w:val="00A64BAB"/>
    <w:rsid w:val="00A65510"/>
    <w:rsid w:val="00A65EB5"/>
    <w:rsid w:val="00A66BF5"/>
    <w:rsid w:val="00A708D0"/>
    <w:rsid w:val="00A70AA7"/>
    <w:rsid w:val="00A70CCA"/>
    <w:rsid w:val="00A714F3"/>
    <w:rsid w:val="00A71895"/>
    <w:rsid w:val="00A71EEE"/>
    <w:rsid w:val="00A72591"/>
    <w:rsid w:val="00A72ED3"/>
    <w:rsid w:val="00A735AF"/>
    <w:rsid w:val="00A74493"/>
    <w:rsid w:val="00A74A9A"/>
    <w:rsid w:val="00A75578"/>
    <w:rsid w:val="00A75E2B"/>
    <w:rsid w:val="00A75F57"/>
    <w:rsid w:val="00A77FEF"/>
    <w:rsid w:val="00A8054F"/>
    <w:rsid w:val="00A80A2D"/>
    <w:rsid w:val="00A81307"/>
    <w:rsid w:val="00A82740"/>
    <w:rsid w:val="00A827A3"/>
    <w:rsid w:val="00A82DD6"/>
    <w:rsid w:val="00A83620"/>
    <w:rsid w:val="00A852F9"/>
    <w:rsid w:val="00A85346"/>
    <w:rsid w:val="00A854D6"/>
    <w:rsid w:val="00A86291"/>
    <w:rsid w:val="00A86444"/>
    <w:rsid w:val="00A86510"/>
    <w:rsid w:val="00A86727"/>
    <w:rsid w:val="00A90AC7"/>
    <w:rsid w:val="00A92769"/>
    <w:rsid w:val="00A9348A"/>
    <w:rsid w:val="00A9389B"/>
    <w:rsid w:val="00A93A93"/>
    <w:rsid w:val="00A940B6"/>
    <w:rsid w:val="00A95491"/>
    <w:rsid w:val="00A96C9F"/>
    <w:rsid w:val="00A97725"/>
    <w:rsid w:val="00AA0052"/>
    <w:rsid w:val="00AA0744"/>
    <w:rsid w:val="00AA1939"/>
    <w:rsid w:val="00AA2249"/>
    <w:rsid w:val="00AA3374"/>
    <w:rsid w:val="00AA3A39"/>
    <w:rsid w:val="00AA409E"/>
    <w:rsid w:val="00AA71FA"/>
    <w:rsid w:val="00AA7EA7"/>
    <w:rsid w:val="00AB0422"/>
    <w:rsid w:val="00AB07AB"/>
    <w:rsid w:val="00AB0AE0"/>
    <w:rsid w:val="00AB106D"/>
    <w:rsid w:val="00AB3C30"/>
    <w:rsid w:val="00AB3CA1"/>
    <w:rsid w:val="00AB601C"/>
    <w:rsid w:val="00AB627D"/>
    <w:rsid w:val="00AB729D"/>
    <w:rsid w:val="00AC01BC"/>
    <w:rsid w:val="00AC173A"/>
    <w:rsid w:val="00AC257B"/>
    <w:rsid w:val="00AC3620"/>
    <w:rsid w:val="00AC3868"/>
    <w:rsid w:val="00AC3BB4"/>
    <w:rsid w:val="00AC418C"/>
    <w:rsid w:val="00AC52A7"/>
    <w:rsid w:val="00AC5A5A"/>
    <w:rsid w:val="00AC6621"/>
    <w:rsid w:val="00AC7623"/>
    <w:rsid w:val="00AD147B"/>
    <w:rsid w:val="00AD2B30"/>
    <w:rsid w:val="00AD2DCC"/>
    <w:rsid w:val="00AD386C"/>
    <w:rsid w:val="00AD403A"/>
    <w:rsid w:val="00AD4D61"/>
    <w:rsid w:val="00AD5BB0"/>
    <w:rsid w:val="00AD5EF1"/>
    <w:rsid w:val="00AD6AE2"/>
    <w:rsid w:val="00AD77C2"/>
    <w:rsid w:val="00AE130C"/>
    <w:rsid w:val="00AE1C2E"/>
    <w:rsid w:val="00AE27F9"/>
    <w:rsid w:val="00AE48E4"/>
    <w:rsid w:val="00AE5041"/>
    <w:rsid w:val="00AE5687"/>
    <w:rsid w:val="00AE5AEE"/>
    <w:rsid w:val="00AE736C"/>
    <w:rsid w:val="00AE73A2"/>
    <w:rsid w:val="00AE7A18"/>
    <w:rsid w:val="00AF1920"/>
    <w:rsid w:val="00AF1DF5"/>
    <w:rsid w:val="00AF33C9"/>
    <w:rsid w:val="00AF482F"/>
    <w:rsid w:val="00AF6D83"/>
    <w:rsid w:val="00AF7434"/>
    <w:rsid w:val="00AF7921"/>
    <w:rsid w:val="00AF7B44"/>
    <w:rsid w:val="00AF7C4D"/>
    <w:rsid w:val="00B025CA"/>
    <w:rsid w:val="00B02AC5"/>
    <w:rsid w:val="00B02CC4"/>
    <w:rsid w:val="00B03267"/>
    <w:rsid w:val="00B0530B"/>
    <w:rsid w:val="00B05624"/>
    <w:rsid w:val="00B07DAD"/>
    <w:rsid w:val="00B07F46"/>
    <w:rsid w:val="00B107FB"/>
    <w:rsid w:val="00B10B3F"/>
    <w:rsid w:val="00B1174E"/>
    <w:rsid w:val="00B11D64"/>
    <w:rsid w:val="00B1201E"/>
    <w:rsid w:val="00B144E1"/>
    <w:rsid w:val="00B15DA8"/>
    <w:rsid w:val="00B15E01"/>
    <w:rsid w:val="00B1627E"/>
    <w:rsid w:val="00B200BF"/>
    <w:rsid w:val="00B2011A"/>
    <w:rsid w:val="00B20879"/>
    <w:rsid w:val="00B2088E"/>
    <w:rsid w:val="00B21BA2"/>
    <w:rsid w:val="00B2244A"/>
    <w:rsid w:val="00B247E7"/>
    <w:rsid w:val="00B26176"/>
    <w:rsid w:val="00B2629E"/>
    <w:rsid w:val="00B26F0B"/>
    <w:rsid w:val="00B27236"/>
    <w:rsid w:val="00B279A5"/>
    <w:rsid w:val="00B27BF6"/>
    <w:rsid w:val="00B27CB0"/>
    <w:rsid w:val="00B30AEB"/>
    <w:rsid w:val="00B30BDA"/>
    <w:rsid w:val="00B31C99"/>
    <w:rsid w:val="00B32463"/>
    <w:rsid w:val="00B33EEB"/>
    <w:rsid w:val="00B34292"/>
    <w:rsid w:val="00B344E8"/>
    <w:rsid w:val="00B35400"/>
    <w:rsid w:val="00B357F6"/>
    <w:rsid w:val="00B35D8C"/>
    <w:rsid w:val="00B3630C"/>
    <w:rsid w:val="00B41A7B"/>
    <w:rsid w:val="00B42282"/>
    <w:rsid w:val="00B42486"/>
    <w:rsid w:val="00B448FE"/>
    <w:rsid w:val="00B44914"/>
    <w:rsid w:val="00B4609F"/>
    <w:rsid w:val="00B477FD"/>
    <w:rsid w:val="00B522FB"/>
    <w:rsid w:val="00B52647"/>
    <w:rsid w:val="00B536EE"/>
    <w:rsid w:val="00B53FFA"/>
    <w:rsid w:val="00B5505C"/>
    <w:rsid w:val="00B55157"/>
    <w:rsid w:val="00B576E7"/>
    <w:rsid w:val="00B600A2"/>
    <w:rsid w:val="00B6014E"/>
    <w:rsid w:val="00B607CA"/>
    <w:rsid w:val="00B61030"/>
    <w:rsid w:val="00B616BC"/>
    <w:rsid w:val="00B637F8"/>
    <w:rsid w:val="00B65464"/>
    <w:rsid w:val="00B66D59"/>
    <w:rsid w:val="00B67261"/>
    <w:rsid w:val="00B67DF4"/>
    <w:rsid w:val="00B70821"/>
    <w:rsid w:val="00B70CD8"/>
    <w:rsid w:val="00B71EBB"/>
    <w:rsid w:val="00B73F1B"/>
    <w:rsid w:val="00B74EDD"/>
    <w:rsid w:val="00B75724"/>
    <w:rsid w:val="00B757C8"/>
    <w:rsid w:val="00B76C75"/>
    <w:rsid w:val="00B76CDF"/>
    <w:rsid w:val="00B81E47"/>
    <w:rsid w:val="00B81E9E"/>
    <w:rsid w:val="00B82950"/>
    <w:rsid w:val="00B82D8D"/>
    <w:rsid w:val="00B83917"/>
    <w:rsid w:val="00B84E64"/>
    <w:rsid w:val="00B84E95"/>
    <w:rsid w:val="00B8613C"/>
    <w:rsid w:val="00B87F8E"/>
    <w:rsid w:val="00B90759"/>
    <w:rsid w:val="00B91CFF"/>
    <w:rsid w:val="00B94F4A"/>
    <w:rsid w:val="00B9508E"/>
    <w:rsid w:val="00B95BA6"/>
    <w:rsid w:val="00B9606E"/>
    <w:rsid w:val="00B965CF"/>
    <w:rsid w:val="00B96636"/>
    <w:rsid w:val="00B96889"/>
    <w:rsid w:val="00B9765D"/>
    <w:rsid w:val="00B9784E"/>
    <w:rsid w:val="00BA0C5E"/>
    <w:rsid w:val="00BA111D"/>
    <w:rsid w:val="00BA1FA6"/>
    <w:rsid w:val="00BA3396"/>
    <w:rsid w:val="00BA3D9E"/>
    <w:rsid w:val="00BA4139"/>
    <w:rsid w:val="00BA489B"/>
    <w:rsid w:val="00BA4CA3"/>
    <w:rsid w:val="00BA5D00"/>
    <w:rsid w:val="00BA6429"/>
    <w:rsid w:val="00BA71CE"/>
    <w:rsid w:val="00BA7833"/>
    <w:rsid w:val="00BB08DC"/>
    <w:rsid w:val="00BB17A6"/>
    <w:rsid w:val="00BB1ACC"/>
    <w:rsid w:val="00BB24D0"/>
    <w:rsid w:val="00BB5F2B"/>
    <w:rsid w:val="00BB651E"/>
    <w:rsid w:val="00BC099E"/>
    <w:rsid w:val="00BC0D0C"/>
    <w:rsid w:val="00BC1838"/>
    <w:rsid w:val="00BC32A3"/>
    <w:rsid w:val="00BC3856"/>
    <w:rsid w:val="00BC4407"/>
    <w:rsid w:val="00BC4B99"/>
    <w:rsid w:val="00BC4EEF"/>
    <w:rsid w:val="00BC551A"/>
    <w:rsid w:val="00BC7024"/>
    <w:rsid w:val="00BC7078"/>
    <w:rsid w:val="00BD1AEF"/>
    <w:rsid w:val="00BD20B0"/>
    <w:rsid w:val="00BD4009"/>
    <w:rsid w:val="00BD629C"/>
    <w:rsid w:val="00BD77B1"/>
    <w:rsid w:val="00BD7F8C"/>
    <w:rsid w:val="00BE0298"/>
    <w:rsid w:val="00BE0C6A"/>
    <w:rsid w:val="00BE0E92"/>
    <w:rsid w:val="00BE35AA"/>
    <w:rsid w:val="00BE3B31"/>
    <w:rsid w:val="00BE3F15"/>
    <w:rsid w:val="00BE4555"/>
    <w:rsid w:val="00BE4D81"/>
    <w:rsid w:val="00BE4F00"/>
    <w:rsid w:val="00BE5AB8"/>
    <w:rsid w:val="00BE5C92"/>
    <w:rsid w:val="00BE6D63"/>
    <w:rsid w:val="00BF01CA"/>
    <w:rsid w:val="00BF0B73"/>
    <w:rsid w:val="00BF27A3"/>
    <w:rsid w:val="00BF27F7"/>
    <w:rsid w:val="00BF2EB1"/>
    <w:rsid w:val="00BF3A49"/>
    <w:rsid w:val="00BF469A"/>
    <w:rsid w:val="00BF4966"/>
    <w:rsid w:val="00BF5221"/>
    <w:rsid w:val="00BF5586"/>
    <w:rsid w:val="00BF65C5"/>
    <w:rsid w:val="00BF696A"/>
    <w:rsid w:val="00BF6A0A"/>
    <w:rsid w:val="00BF6FC8"/>
    <w:rsid w:val="00BF71C8"/>
    <w:rsid w:val="00C014DF"/>
    <w:rsid w:val="00C014E1"/>
    <w:rsid w:val="00C01CFB"/>
    <w:rsid w:val="00C0289E"/>
    <w:rsid w:val="00C02C87"/>
    <w:rsid w:val="00C02DBB"/>
    <w:rsid w:val="00C02E25"/>
    <w:rsid w:val="00C03672"/>
    <w:rsid w:val="00C0384B"/>
    <w:rsid w:val="00C03BC0"/>
    <w:rsid w:val="00C0493D"/>
    <w:rsid w:val="00C04B83"/>
    <w:rsid w:val="00C04B86"/>
    <w:rsid w:val="00C04CDD"/>
    <w:rsid w:val="00C059C7"/>
    <w:rsid w:val="00C05AE4"/>
    <w:rsid w:val="00C05BB3"/>
    <w:rsid w:val="00C05C8D"/>
    <w:rsid w:val="00C06230"/>
    <w:rsid w:val="00C076D6"/>
    <w:rsid w:val="00C0775D"/>
    <w:rsid w:val="00C10D1D"/>
    <w:rsid w:val="00C10D41"/>
    <w:rsid w:val="00C1182D"/>
    <w:rsid w:val="00C120DE"/>
    <w:rsid w:val="00C121F3"/>
    <w:rsid w:val="00C129DE"/>
    <w:rsid w:val="00C12B03"/>
    <w:rsid w:val="00C13288"/>
    <w:rsid w:val="00C1417D"/>
    <w:rsid w:val="00C14897"/>
    <w:rsid w:val="00C14D55"/>
    <w:rsid w:val="00C14DFE"/>
    <w:rsid w:val="00C15817"/>
    <w:rsid w:val="00C15A86"/>
    <w:rsid w:val="00C15D34"/>
    <w:rsid w:val="00C163A3"/>
    <w:rsid w:val="00C203DE"/>
    <w:rsid w:val="00C205D2"/>
    <w:rsid w:val="00C205E7"/>
    <w:rsid w:val="00C22E7B"/>
    <w:rsid w:val="00C230C2"/>
    <w:rsid w:val="00C23445"/>
    <w:rsid w:val="00C234D2"/>
    <w:rsid w:val="00C23814"/>
    <w:rsid w:val="00C238D9"/>
    <w:rsid w:val="00C2393E"/>
    <w:rsid w:val="00C24155"/>
    <w:rsid w:val="00C2471B"/>
    <w:rsid w:val="00C25D4B"/>
    <w:rsid w:val="00C26202"/>
    <w:rsid w:val="00C26466"/>
    <w:rsid w:val="00C273CA"/>
    <w:rsid w:val="00C30DCC"/>
    <w:rsid w:val="00C30E63"/>
    <w:rsid w:val="00C3338E"/>
    <w:rsid w:val="00C3398F"/>
    <w:rsid w:val="00C345D6"/>
    <w:rsid w:val="00C34DB6"/>
    <w:rsid w:val="00C3522C"/>
    <w:rsid w:val="00C354A3"/>
    <w:rsid w:val="00C36381"/>
    <w:rsid w:val="00C41986"/>
    <w:rsid w:val="00C4286B"/>
    <w:rsid w:val="00C43341"/>
    <w:rsid w:val="00C43EAA"/>
    <w:rsid w:val="00C441AF"/>
    <w:rsid w:val="00C441C5"/>
    <w:rsid w:val="00C451DF"/>
    <w:rsid w:val="00C45408"/>
    <w:rsid w:val="00C4601E"/>
    <w:rsid w:val="00C46B12"/>
    <w:rsid w:val="00C470E7"/>
    <w:rsid w:val="00C471A7"/>
    <w:rsid w:val="00C47384"/>
    <w:rsid w:val="00C50A66"/>
    <w:rsid w:val="00C50F88"/>
    <w:rsid w:val="00C5185B"/>
    <w:rsid w:val="00C521D0"/>
    <w:rsid w:val="00C5227B"/>
    <w:rsid w:val="00C53573"/>
    <w:rsid w:val="00C53614"/>
    <w:rsid w:val="00C541AC"/>
    <w:rsid w:val="00C5487E"/>
    <w:rsid w:val="00C56E94"/>
    <w:rsid w:val="00C573D5"/>
    <w:rsid w:val="00C57C62"/>
    <w:rsid w:val="00C603C8"/>
    <w:rsid w:val="00C60870"/>
    <w:rsid w:val="00C60C80"/>
    <w:rsid w:val="00C625BC"/>
    <w:rsid w:val="00C62D05"/>
    <w:rsid w:val="00C63773"/>
    <w:rsid w:val="00C63EF1"/>
    <w:rsid w:val="00C64D1E"/>
    <w:rsid w:val="00C650F3"/>
    <w:rsid w:val="00C65FFF"/>
    <w:rsid w:val="00C66A25"/>
    <w:rsid w:val="00C67DE9"/>
    <w:rsid w:val="00C70139"/>
    <w:rsid w:val="00C70D90"/>
    <w:rsid w:val="00C71BDF"/>
    <w:rsid w:val="00C72AC7"/>
    <w:rsid w:val="00C73B58"/>
    <w:rsid w:val="00C74268"/>
    <w:rsid w:val="00C7451E"/>
    <w:rsid w:val="00C765B4"/>
    <w:rsid w:val="00C77016"/>
    <w:rsid w:val="00C77FBF"/>
    <w:rsid w:val="00C80189"/>
    <w:rsid w:val="00C804D8"/>
    <w:rsid w:val="00C805C0"/>
    <w:rsid w:val="00C80792"/>
    <w:rsid w:val="00C80ED2"/>
    <w:rsid w:val="00C822AB"/>
    <w:rsid w:val="00C82364"/>
    <w:rsid w:val="00C82546"/>
    <w:rsid w:val="00C834BC"/>
    <w:rsid w:val="00C841D9"/>
    <w:rsid w:val="00C84545"/>
    <w:rsid w:val="00C84A04"/>
    <w:rsid w:val="00C84DFA"/>
    <w:rsid w:val="00C85483"/>
    <w:rsid w:val="00C855D6"/>
    <w:rsid w:val="00C857DF"/>
    <w:rsid w:val="00C85B39"/>
    <w:rsid w:val="00C8617A"/>
    <w:rsid w:val="00C86225"/>
    <w:rsid w:val="00C870A6"/>
    <w:rsid w:val="00C871B7"/>
    <w:rsid w:val="00C872A2"/>
    <w:rsid w:val="00C87CE9"/>
    <w:rsid w:val="00C904E6"/>
    <w:rsid w:val="00C90FE2"/>
    <w:rsid w:val="00C91BDA"/>
    <w:rsid w:val="00C91FAB"/>
    <w:rsid w:val="00C91FB3"/>
    <w:rsid w:val="00C92676"/>
    <w:rsid w:val="00C9376C"/>
    <w:rsid w:val="00C9432A"/>
    <w:rsid w:val="00C948B2"/>
    <w:rsid w:val="00C94CF6"/>
    <w:rsid w:val="00C972B3"/>
    <w:rsid w:val="00C974C9"/>
    <w:rsid w:val="00CA02DF"/>
    <w:rsid w:val="00CA0B14"/>
    <w:rsid w:val="00CA1D04"/>
    <w:rsid w:val="00CA2021"/>
    <w:rsid w:val="00CA278A"/>
    <w:rsid w:val="00CA2F36"/>
    <w:rsid w:val="00CA31DE"/>
    <w:rsid w:val="00CA3B10"/>
    <w:rsid w:val="00CA41A9"/>
    <w:rsid w:val="00CA41C7"/>
    <w:rsid w:val="00CA4658"/>
    <w:rsid w:val="00CA539B"/>
    <w:rsid w:val="00CA590C"/>
    <w:rsid w:val="00CA5995"/>
    <w:rsid w:val="00CA7E31"/>
    <w:rsid w:val="00CA7E3C"/>
    <w:rsid w:val="00CB1F42"/>
    <w:rsid w:val="00CB2C91"/>
    <w:rsid w:val="00CB317B"/>
    <w:rsid w:val="00CB367F"/>
    <w:rsid w:val="00CB4F91"/>
    <w:rsid w:val="00CB6FDF"/>
    <w:rsid w:val="00CB713A"/>
    <w:rsid w:val="00CC028F"/>
    <w:rsid w:val="00CC052E"/>
    <w:rsid w:val="00CC2889"/>
    <w:rsid w:val="00CC576B"/>
    <w:rsid w:val="00CC5F67"/>
    <w:rsid w:val="00CC6CFF"/>
    <w:rsid w:val="00CC7627"/>
    <w:rsid w:val="00CC7C22"/>
    <w:rsid w:val="00CD0098"/>
    <w:rsid w:val="00CD141D"/>
    <w:rsid w:val="00CD2B9E"/>
    <w:rsid w:val="00CD3C18"/>
    <w:rsid w:val="00CD45AB"/>
    <w:rsid w:val="00CD47DD"/>
    <w:rsid w:val="00CD4C60"/>
    <w:rsid w:val="00CD5B43"/>
    <w:rsid w:val="00CD718B"/>
    <w:rsid w:val="00CE0845"/>
    <w:rsid w:val="00CE10DC"/>
    <w:rsid w:val="00CE21A7"/>
    <w:rsid w:val="00CE288B"/>
    <w:rsid w:val="00CE45CB"/>
    <w:rsid w:val="00CE46CD"/>
    <w:rsid w:val="00CE57F8"/>
    <w:rsid w:val="00CE5BD9"/>
    <w:rsid w:val="00CE79A7"/>
    <w:rsid w:val="00CF115A"/>
    <w:rsid w:val="00CF1D46"/>
    <w:rsid w:val="00CF1F0F"/>
    <w:rsid w:val="00CF2056"/>
    <w:rsid w:val="00CF2D07"/>
    <w:rsid w:val="00CF36DF"/>
    <w:rsid w:val="00CF5581"/>
    <w:rsid w:val="00CF758E"/>
    <w:rsid w:val="00CF7B22"/>
    <w:rsid w:val="00CF7CD4"/>
    <w:rsid w:val="00D00989"/>
    <w:rsid w:val="00D0178B"/>
    <w:rsid w:val="00D01CBB"/>
    <w:rsid w:val="00D0477F"/>
    <w:rsid w:val="00D0525A"/>
    <w:rsid w:val="00D05748"/>
    <w:rsid w:val="00D0766F"/>
    <w:rsid w:val="00D114DF"/>
    <w:rsid w:val="00D11CB3"/>
    <w:rsid w:val="00D1289F"/>
    <w:rsid w:val="00D1430C"/>
    <w:rsid w:val="00D153B6"/>
    <w:rsid w:val="00D15BE7"/>
    <w:rsid w:val="00D15C60"/>
    <w:rsid w:val="00D1607A"/>
    <w:rsid w:val="00D1608E"/>
    <w:rsid w:val="00D177B0"/>
    <w:rsid w:val="00D21D26"/>
    <w:rsid w:val="00D21F72"/>
    <w:rsid w:val="00D226F4"/>
    <w:rsid w:val="00D2286D"/>
    <w:rsid w:val="00D2717B"/>
    <w:rsid w:val="00D27AC6"/>
    <w:rsid w:val="00D27FEC"/>
    <w:rsid w:val="00D302A6"/>
    <w:rsid w:val="00D31B88"/>
    <w:rsid w:val="00D32A35"/>
    <w:rsid w:val="00D330F7"/>
    <w:rsid w:val="00D33534"/>
    <w:rsid w:val="00D33B97"/>
    <w:rsid w:val="00D35201"/>
    <w:rsid w:val="00D35555"/>
    <w:rsid w:val="00D35F0A"/>
    <w:rsid w:val="00D36B13"/>
    <w:rsid w:val="00D36B51"/>
    <w:rsid w:val="00D376C3"/>
    <w:rsid w:val="00D376F1"/>
    <w:rsid w:val="00D43630"/>
    <w:rsid w:val="00D448E9"/>
    <w:rsid w:val="00D4497B"/>
    <w:rsid w:val="00D45538"/>
    <w:rsid w:val="00D46FDB"/>
    <w:rsid w:val="00D50B85"/>
    <w:rsid w:val="00D512D6"/>
    <w:rsid w:val="00D52A31"/>
    <w:rsid w:val="00D52ED5"/>
    <w:rsid w:val="00D53A4C"/>
    <w:rsid w:val="00D54236"/>
    <w:rsid w:val="00D56BC8"/>
    <w:rsid w:val="00D5787D"/>
    <w:rsid w:val="00D601D4"/>
    <w:rsid w:val="00D60635"/>
    <w:rsid w:val="00D60C17"/>
    <w:rsid w:val="00D61505"/>
    <w:rsid w:val="00D61765"/>
    <w:rsid w:val="00D61966"/>
    <w:rsid w:val="00D61D76"/>
    <w:rsid w:val="00D6226E"/>
    <w:rsid w:val="00D62CED"/>
    <w:rsid w:val="00D630E1"/>
    <w:rsid w:val="00D63730"/>
    <w:rsid w:val="00D6492A"/>
    <w:rsid w:val="00D64AD3"/>
    <w:rsid w:val="00D66323"/>
    <w:rsid w:val="00D66610"/>
    <w:rsid w:val="00D67574"/>
    <w:rsid w:val="00D6771B"/>
    <w:rsid w:val="00D67A33"/>
    <w:rsid w:val="00D70ACF"/>
    <w:rsid w:val="00D71583"/>
    <w:rsid w:val="00D7173F"/>
    <w:rsid w:val="00D71E4C"/>
    <w:rsid w:val="00D7235F"/>
    <w:rsid w:val="00D7302F"/>
    <w:rsid w:val="00D7377D"/>
    <w:rsid w:val="00D73823"/>
    <w:rsid w:val="00D747EC"/>
    <w:rsid w:val="00D74899"/>
    <w:rsid w:val="00D800F8"/>
    <w:rsid w:val="00D812FF"/>
    <w:rsid w:val="00D8269F"/>
    <w:rsid w:val="00D830BD"/>
    <w:rsid w:val="00D836C4"/>
    <w:rsid w:val="00D841FE"/>
    <w:rsid w:val="00D847E0"/>
    <w:rsid w:val="00D8516C"/>
    <w:rsid w:val="00D856A2"/>
    <w:rsid w:val="00D862D8"/>
    <w:rsid w:val="00D87BC2"/>
    <w:rsid w:val="00D90B4E"/>
    <w:rsid w:val="00D9142B"/>
    <w:rsid w:val="00D917CA"/>
    <w:rsid w:val="00D91D04"/>
    <w:rsid w:val="00D9349F"/>
    <w:rsid w:val="00D9384B"/>
    <w:rsid w:val="00D93C74"/>
    <w:rsid w:val="00D95857"/>
    <w:rsid w:val="00D97D88"/>
    <w:rsid w:val="00D97FFE"/>
    <w:rsid w:val="00DA2A21"/>
    <w:rsid w:val="00DA2EFC"/>
    <w:rsid w:val="00DA3D55"/>
    <w:rsid w:val="00DA452D"/>
    <w:rsid w:val="00DA4E61"/>
    <w:rsid w:val="00DA4F59"/>
    <w:rsid w:val="00DA587D"/>
    <w:rsid w:val="00DA646E"/>
    <w:rsid w:val="00DA65D3"/>
    <w:rsid w:val="00DA66F1"/>
    <w:rsid w:val="00DA6AE4"/>
    <w:rsid w:val="00DA6E90"/>
    <w:rsid w:val="00DA6EC7"/>
    <w:rsid w:val="00DA77CD"/>
    <w:rsid w:val="00DB00ED"/>
    <w:rsid w:val="00DB09A0"/>
    <w:rsid w:val="00DB0BB1"/>
    <w:rsid w:val="00DB127B"/>
    <w:rsid w:val="00DB17DE"/>
    <w:rsid w:val="00DB1AE0"/>
    <w:rsid w:val="00DB34D5"/>
    <w:rsid w:val="00DB3D60"/>
    <w:rsid w:val="00DB41D4"/>
    <w:rsid w:val="00DB5333"/>
    <w:rsid w:val="00DB5966"/>
    <w:rsid w:val="00DB726D"/>
    <w:rsid w:val="00DC1168"/>
    <w:rsid w:val="00DC20B7"/>
    <w:rsid w:val="00DC2762"/>
    <w:rsid w:val="00DC33A2"/>
    <w:rsid w:val="00DC4081"/>
    <w:rsid w:val="00DC47E8"/>
    <w:rsid w:val="00DC4BF9"/>
    <w:rsid w:val="00DC4DD9"/>
    <w:rsid w:val="00DC572E"/>
    <w:rsid w:val="00DC6E7E"/>
    <w:rsid w:val="00DC752D"/>
    <w:rsid w:val="00DC7F73"/>
    <w:rsid w:val="00DD03AC"/>
    <w:rsid w:val="00DD0FAA"/>
    <w:rsid w:val="00DD0FF0"/>
    <w:rsid w:val="00DD211C"/>
    <w:rsid w:val="00DD3107"/>
    <w:rsid w:val="00DD3C04"/>
    <w:rsid w:val="00DD3CA2"/>
    <w:rsid w:val="00DD3F03"/>
    <w:rsid w:val="00DD46E3"/>
    <w:rsid w:val="00DD542E"/>
    <w:rsid w:val="00DD5BC9"/>
    <w:rsid w:val="00DD5E79"/>
    <w:rsid w:val="00DD71EA"/>
    <w:rsid w:val="00DD790F"/>
    <w:rsid w:val="00DE1241"/>
    <w:rsid w:val="00DE2337"/>
    <w:rsid w:val="00DE3C92"/>
    <w:rsid w:val="00DE3CCF"/>
    <w:rsid w:val="00DE4A2C"/>
    <w:rsid w:val="00DE4B3F"/>
    <w:rsid w:val="00DE5257"/>
    <w:rsid w:val="00DE7082"/>
    <w:rsid w:val="00DF0DEC"/>
    <w:rsid w:val="00DF0DEE"/>
    <w:rsid w:val="00DF2546"/>
    <w:rsid w:val="00DF2AA4"/>
    <w:rsid w:val="00DF42DA"/>
    <w:rsid w:val="00DF54E9"/>
    <w:rsid w:val="00DF5BFD"/>
    <w:rsid w:val="00DF5CB3"/>
    <w:rsid w:val="00DF5E4E"/>
    <w:rsid w:val="00DF5F30"/>
    <w:rsid w:val="00DF660B"/>
    <w:rsid w:val="00DF6783"/>
    <w:rsid w:val="00DF76D3"/>
    <w:rsid w:val="00DF7978"/>
    <w:rsid w:val="00E0214B"/>
    <w:rsid w:val="00E023C1"/>
    <w:rsid w:val="00E02A52"/>
    <w:rsid w:val="00E02C09"/>
    <w:rsid w:val="00E03098"/>
    <w:rsid w:val="00E0428E"/>
    <w:rsid w:val="00E0430B"/>
    <w:rsid w:val="00E05310"/>
    <w:rsid w:val="00E05AA9"/>
    <w:rsid w:val="00E07077"/>
    <w:rsid w:val="00E1134B"/>
    <w:rsid w:val="00E113A2"/>
    <w:rsid w:val="00E12048"/>
    <w:rsid w:val="00E123EA"/>
    <w:rsid w:val="00E12E5B"/>
    <w:rsid w:val="00E132B4"/>
    <w:rsid w:val="00E1424B"/>
    <w:rsid w:val="00E14777"/>
    <w:rsid w:val="00E1588D"/>
    <w:rsid w:val="00E15D4D"/>
    <w:rsid w:val="00E165CD"/>
    <w:rsid w:val="00E16BE9"/>
    <w:rsid w:val="00E16BED"/>
    <w:rsid w:val="00E16CCF"/>
    <w:rsid w:val="00E172C3"/>
    <w:rsid w:val="00E17394"/>
    <w:rsid w:val="00E173EB"/>
    <w:rsid w:val="00E176BA"/>
    <w:rsid w:val="00E20BFC"/>
    <w:rsid w:val="00E2174C"/>
    <w:rsid w:val="00E21AD4"/>
    <w:rsid w:val="00E21C3D"/>
    <w:rsid w:val="00E23DDE"/>
    <w:rsid w:val="00E24234"/>
    <w:rsid w:val="00E25383"/>
    <w:rsid w:val="00E26A8B"/>
    <w:rsid w:val="00E26F84"/>
    <w:rsid w:val="00E304EF"/>
    <w:rsid w:val="00E30A94"/>
    <w:rsid w:val="00E3101A"/>
    <w:rsid w:val="00E31165"/>
    <w:rsid w:val="00E317CD"/>
    <w:rsid w:val="00E3180E"/>
    <w:rsid w:val="00E31EE3"/>
    <w:rsid w:val="00E32A26"/>
    <w:rsid w:val="00E32EAB"/>
    <w:rsid w:val="00E33190"/>
    <w:rsid w:val="00E3363F"/>
    <w:rsid w:val="00E339FD"/>
    <w:rsid w:val="00E34629"/>
    <w:rsid w:val="00E36B85"/>
    <w:rsid w:val="00E36E8F"/>
    <w:rsid w:val="00E4031D"/>
    <w:rsid w:val="00E41506"/>
    <w:rsid w:val="00E41DAD"/>
    <w:rsid w:val="00E41EA6"/>
    <w:rsid w:val="00E426B9"/>
    <w:rsid w:val="00E43608"/>
    <w:rsid w:val="00E44295"/>
    <w:rsid w:val="00E46C9C"/>
    <w:rsid w:val="00E472A3"/>
    <w:rsid w:val="00E47B4C"/>
    <w:rsid w:val="00E47D67"/>
    <w:rsid w:val="00E47DA3"/>
    <w:rsid w:val="00E506A2"/>
    <w:rsid w:val="00E510A6"/>
    <w:rsid w:val="00E511D1"/>
    <w:rsid w:val="00E518BE"/>
    <w:rsid w:val="00E51A96"/>
    <w:rsid w:val="00E528A2"/>
    <w:rsid w:val="00E53034"/>
    <w:rsid w:val="00E53100"/>
    <w:rsid w:val="00E534E6"/>
    <w:rsid w:val="00E53B40"/>
    <w:rsid w:val="00E54C53"/>
    <w:rsid w:val="00E56578"/>
    <w:rsid w:val="00E57C1F"/>
    <w:rsid w:val="00E57F7D"/>
    <w:rsid w:val="00E61801"/>
    <w:rsid w:val="00E61AC6"/>
    <w:rsid w:val="00E61B38"/>
    <w:rsid w:val="00E636F8"/>
    <w:rsid w:val="00E6423A"/>
    <w:rsid w:val="00E64424"/>
    <w:rsid w:val="00E647A8"/>
    <w:rsid w:val="00E64BF5"/>
    <w:rsid w:val="00E64EDF"/>
    <w:rsid w:val="00E65116"/>
    <w:rsid w:val="00E66E81"/>
    <w:rsid w:val="00E66E91"/>
    <w:rsid w:val="00E70880"/>
    <w:rsid w:val="00E708EE"/>
    <w:rsid w:val="00E71080"/>
    <w:rsid w:val="00E7310E"/>
    <w:rsid w:val="00E73195"/>
    <w:rsid w:val="00E738AA"/>
    <w:rsid w:val="00E74271"/>
    <w:rsid w:val="00E745F8"/>
    <w:rsid w:val="00E74765"/>
    <w:rsid w:val="00E756FC"/>
    <w:rsid w:val="00E773A7"/>
    <w:rsid w:val="00E8062C"/>
    <w:rsid w:val="00E807B6"/>
    <w:rsid w:val="00E817E2"/>
    <w:rsid w:val="00E83182"/>
    <w:rsid w:val="00E87547"/>
    <w:rsid w:val="00E90208"/>
    <w:rsid w:val="00E91E2A"/>
    <w:rsid w:val="00E92A4F"/>
    <w:rsid w:val="00E94789"/>
    <w:rsid w:val="00E94C8D"/>
    <w:rsid w:val="00E95B88"/>
    <w:rsid w:val="00E96C34"/>
    <w:rsid w:val="00E96DF2"/>
    <w:rsid w:val="00E97772"/>
    <w:rsid w:val="00EA00E3"/>
    <w:rsid w:val="00EA0CE6"/>
    <w:rsid w:val="00EA1204"/>
    <w:rsid w:val="00EA1222"/>
    <w:rsid w:val="00EA2C8B"/>
    <w:rsid w:val="00EA4A86"/>
    <w:rsid w:val="00EA4F78"/>
    <w:rsid w:val="00EA5A48"/>
    <w:rsid w:val="00EA5C04"/>
    <w:rsid w:val="00EA739A"/>
    <w:rsid w:val="00EA7649"/>
    <w:rsid w:val="00EA7DD1"/>
    <w:rsid w:val="00EB05F0"/>
    <w:rsid w:val="00EB0E19"/>
    <w:rsid w:val="00EB183B"/>
    <w:rsid w:val="00EB1A41"/>
    <w:rsid w:val="00EB31C6"/>
    <w:rsid w:val="00EB349A"/>
    <w:rsid w:val="00EB5B30"/>
    <w:rsid w:val="00EB5C88"/>
    <w:rsid w:val="00EB5CF3"/>
    <w:rsid w:val="00EB5FEB"/>
    <w:rsid w:val="00EB69BD"/>
    <w:rsid w:val="00EC05F2"/>
    <w:rsid w:val="00EC0A13"/>
    <w:rsid w:val="00EC16BA"/>
    <w:rsid w:val="00EC1F58"/>
    <w:rsid w:val="00EC27CD"/>
    <w:rsid w:val="00EC295F"/>
    <w:rsid w:val="00EC33A9"/>
    <w:rsid w:val="00EC4110"/>
    <w:rsid w:val="00EC48DC"/>
    <w:rsid w:val="00EC6125"/>
    <w:rsid w:val="00EC731B"/>
    <w:rsid w:val="00ED06DA"/>
    <w:rsid w:val="00ED1391"/>
    <w:rsid w:val="00ED2061"/>
    <w:rsid w:val="00ED27C9"/>
    <w:rsid w:val="00ED280C"/>
    <w:rsid w:val="00ED3903"/>
    <w:rsid w:val="00ED5681"/>
    <w:rsid w:val="00ED6A83"/>
    <w:rsid w:val="00ED6A87"/>
    <w:rsid w:val="00ED7471"/>
    <w:rsid w:val="00EE294B"/>
    <w:rsid w:val="00EE2C74"/>
    <w:rsid w:val="00EE3564"/>
    <w:rsid w:val="00EE424E"/>
    <w:rsid w:val="00EE48F5"/>
    <w:rsid w:val="00EE50DD"/>
    <w:rsid w:val="00EE579F"/>
    <w:rsid w:val="00EE656A"/>
    <w:rsid w:val="00EE6FAA"/>
    <w:rsid w:val="00EE7288"/>
    <w:rsid w:val="00EE7381"/>
    <w:rsid w:val="00EE740B"/>
    <w:rsid w:val="00EE79AF"/>
    <w:rsid w:val="00EF0266"/>
    <w:rsid w:val="00EF0537"/>
    <w:rsid w:val="00EF0AA6"/>
    <w:rsid w:val="00EF14D1"/>
    <w:rsid w:val="00EF2399"/>
    <w:rsid w:val="00EF26A0"/>
    <w:rsid w:val="00EF33D6"/>
    <w:rsid w:val="00EF39B5"/>
    <w:rsid w:val="00EF4204"/>
    <w:rsid w:val="00EF429F"/>
    <w:rsid w:val="00EF4442"/>
    <w:rsid w:val="00EF53D2"/>
    <w:rsid w:val="00EF5758"/>
    <w:rsid w:val="00EF5798"/>
    <w:rsid w:val="00EF7151"/>
    <w:rsid w:val="00F00449"/>
    <w:rsid w:val="00F00B10"/>
    <w:rsid w:val="00F0117D"/>
    <w:rsid w:val="00F01288"/>
    <w:rsid w:val="00F021A9"/>
    <w:rsid w:val="00F025A8"/>
    <w:rsid w:val="00F027E9"/>
    <w:rsid w:val="00F030BA"/>
    <w:rsid w:val="00F0386C"/>
    <w:rsid w:val="00F0430E"/>
    <w:rsid w:val="00F04CF4"/>
    <w:rsid w:val="00F06A5F"/>
    <w:rsid w:val="00F07D88"/>
    <w:rsid w:val="00F07FE8"/>
    <w:rsid w:val="00F10B12"/>
    <w:rsid w:val="00F1150C"/>
    <w:rsid w:val="00F11AAD"/>
    <w:rsid w:val="00F12255"/>
    <w:rsid w:val="00F1316F"/>
    <w:rsid w:val="00F132DA"/>
    <w:rsid w:val="00F15477"/>
    <w:rsid w:val="00F165A4"/>
    <w:rsid w:val="00F16E83"/>
    <w:rsid w:val="00F1723A"/>
    <w:rsid w:val="00F20175"/>
    <w:rsid w:val="00F211B6"/>
    <w:rsid w:val="00F22D44"/>
    <w:rsid w:val="00F23616"/>
    <w:rsid w:val="00F2439D"/>
    <w:rsid w:val="00F2457F"/>
    <w:rsid w:val="00F26193"/>
    <w:rsid w:val="00F26ED7"/>
    <w:rsid w:val="00F317A9"/>
    <w:rsid w:val="00F332DC"/>
    <w:rsid w:val="00F33909"/>
    <w:rsid w:val="00F358F0"/>
    <w:rsid w:val="00F35CA5"/>
    <w:rsid w:val="00F37591"/>
    <w:rsid w:val="00F378F3"/>
    <w:rsid w:val="00F419C8"/>
    <w:rsid w:val="00F421CA"/>
    <w:rsid w:val="00F42777"/>
    <w:rsid w:val="00F43C4A"/>
    <w:rsid w:val="00F43C7A"/>
    <w:rsid w:val="00F440B4"/>
    <w:rsid w:val="00F441AF"/>
    <w:rsid w:val="00F450F1"/>
    <w:rsid w:val="00F455CB"/>
    <w:rsid w:val="00F46075"/>
    <w:rsid w:val="00F566ED"/>
    <w:rsid w:val="00F57376"/>
    <w:rsid w:val="00F62B9E"/>
    <w:rsid w:val="00F62FC9"/>
    <w:rsid w:val="00F648D2"/>
    <w:rsid w:val="00F652D4"/>
    <w:rsid w:val="00F6690B"/>
    <w:rsid w:val="00F67156"/>
    <w:rsid w:val="00F67C17"/>
    <w:rsid w:val="00F67EE5"/>
    <w:rsid w:val="00F7011B"/>
    <w:rsid w:val="00F7152D"/>
    <w:rsid w:val="00F71C8D"/>
    <w:rsid w:val="00F724E3"/>
    <w:rsid w:val="00F73254"/>
    <w:rsid w:val="00F73E16"/>
    <w:rsid w:val="00F750F3"/>
    <w:rsid w:val="00F751CA"/>
    <w:rsid w:val="00F75707"/>
    <w:rsid w:val="00F758B9"/>
    <w:rsid w:val="00F766B0"/>
    <w:rsid w:val="00F77297"/>
    <w:rsid w:val="00F77C5E"/>
    <w:rsid w:val="00F808A2"/>
    <w:rsid w:val="00F80DC7"/>
    <w:rsid w:val="00F8115C"/>
    <w:rsid w:val="00F81BC7"/>
    <w:rsid w:val="00F82CB2"/>
    <w:rsid w:val="00F83E92"/>
    <w:rsid w:val="00F84029"/>
    <w:rsid w:val="00F849E0"/>
    <w:rsid w:val="00F84C88"/>
    <w:rsid w:val="00F8628F"/>
    <w:rsid w:val="00F86767"/>
    <w:rsid w:val="00F871A9"/>
    <w:rsid w:val="00F87E3F"/>
    <w:rsid w:val="00F90A2B"/>
    <w:rsid w:val="00F90A8B"/>
    <w:rsid w:val="00F91565"/>
    <w:rsid w:val="00F91FA6"/>
    <w:rsid w:val="00F93D69"/>
    <w:rsid w:val="00F93E55"/>
    <w:rsid w:val="00F949EC"/>
    <w:rsid w:val="00F970E8"/>
    <w:rsid w:val="00F97458"/>
    <w:rsid w:val="00FA0BD4"/>
    <w:rsid w:val="00FA1F1A"/>
    <w:rsid w:val="00FA21EC"/>
    <w:rsid w:val="00FA2499"/>
    <w:rsid w:val="00FA2B31"/>
    <w:rsid w:val="00FA2BAB"/>
    <w:rsid w:val="00FA307F"/>
    <w:rsid w:val="00FA33B1"/>
    <w:rsid w:val="00FA4107"/>
    <w:rsid w:val="00FA5D86"/>
    <w:rsid w:val="00FA63A9"/>
    <w:rsid w:val="00FA672D"/>
    <w:rsid w:val="00FA7F1D"/>
    <w:rsid w:val="00FB06FC"/>
    <w:rsid w:val="00FB11BC"/>
    <w:rsid w:val="00FB1A92"/>
    <w:rsid w:val="00FB55C6"/>
    <w:rsid w:val="00FB6000"/>
    <w:rsid w:val="00FB681D"/>
    <w:rsid w:val="00FB7418"/>
    <w:rsid w:val="00FC0303"/>
    <w:rsid w:val="00FC0B24"/>
    <w:rsid w:val="00FC0DF8"/>
    <w:rsid w:val="00FC1006"/>
    <w:rsid w:val="00FC1DD3"/>
    <w:rsid w:val="00FC3461"/>
    <w:rsid w:val="00FC4598"/>
    <w:rsid w:val="00FC6E57"/>
    <w:rsid w:val="00FD04EE"/>
    <w:rsid w:val="00FD0641"/>
    <w:rsid w:val="00FD18E0"/>
    <w:rsid w:val="00FD1C1E"/>
    <w:rsid w:val="00FD2D76"/>
    <w:rsid w:val="00FD30A6"/>
    <w:rsid w:val="00FD3303"/>
    <w:rsid w:val="00FD3B2B"/>
    <w:rsid w:val="00FD5146"/>
    <w:rsid w:val="00FD5AFE"/>
    <w:rsid w:val="00FD62AD"/>
    <w:rsid w:val="00FD653B"/>
    <w:rsid w:val="00FD6992"/>
    <w:rsid w:val="00FD6F76"/>
    <w:rsid w:val="00FD7149"/>
    <w:rsid w:val="00FD7DCB"/>
    <w:rsid w:val="00FD7E8E"/>
    <w:rsid w:val="00FE02A9"/>
    <w:rsid w:val="00FE19D8"/>
    <w:rsid w:val="00FE22BD"/>
    <w:rsid w:val="00FE23FC"/>
    <w:rsid w:val="00FE243B"/>
    <w:rsid w:val="00FE2A98"/>
    <w:rsid w:val="00FE2C59"/>
    <w:rsid w:val="00FE487B"/>
    <w:rsid w:val="00FE7076"/>
    <w:rsid w:val="00FE7698"/>
    <w:rsid w:val="00FE782F"/>
    <w:rsid w:val="00FE7BEA"/>
    <w:rsid w:val="00FE7E0D"/>
    <w:rsid w:val="00FF0AAB"/>
    <w:rsid w:val="00FF0E71"/>
    <w:rsid w:val="00FF1457"/>
    <w:rsid w:val="00FF2391"/>
    <w:rsid w:val="00FF2792"/>
    <w:rsid w:val="00FF2A0D"/>
    <w:rsid w:val="00FF2D38"/>
    <w:rsid w:val="00FF4B23"/>
    <w:rsid w:val="00FF5DE7"/>
    <w:rsid w:val="00FF63A8"/>
    <w:rsid w:val="00FF6516"/>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7B"/>
    <w:pPr>
      <w:widowControl w:val="0"/>
      <w:spacing w:after="0" w:line="280" w:lineRule="exact"/>
      <w:ind w:firstLine="567"/>
      <w:jc w:val="both"/>
    </w:pPr>
    <w:rPr>
      <w:rFonts w:ascii="Times New Roman" w:eastAsia="Times New Roman" w:hAnsi="Times New Roman" w:cs="Times New Roman"/>
      <w:szCs w:val="24"/>
    </w:rPr>
  </w:style>
  <w:style w:type="paragraph" w:styleId="Cabealho1">
    <w:name w:val="heading 1"/>
    <w:basedOn w:val="Normal"/>
    <w:next w:val="Normal"/>
    <w:link w:val="Cabealho1Carcter"/>
    <w:qFormat/>
    <w:rsid w:val="00621100"/>
    <w:pPr>
      <w:keepNext/>
      <w:suppressAutoHyphens/>
      <w:spacing w:before="480"/>
      <w:ind w:left="567" w:firstLine="0"/>
      <w:jc w:val="left"/>
      <w:outlineLvl w:val="0"/>
    </w:pPr>
    <w:rPr>
      <w:rFonts w:ascii="Arial" w:hAnsi="Arial"/>
      <w:b/>
      <w:kern w:val="32"/>
      <w:sz w:val="20"/>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Dissert">
    <w:name w:val="Titulo Dissert"/>
    <w:basedOn w:val="Normal"/>
    <w:rsid w:val="00A54A7B"/>
    <w:pPr>
      <w:keepLines/>
      <w:suppressAutoHyphens/>
      <w:spacing w:before="120" w:after="120"/>
      <w:ind w:firstLine="0"/>
      <w:jc w:val="left"/>
    </w:pPr>
    <w:rPr>
      <w:rFonts w:ascii="Arial" w:hAnsi="Arial"/>
      <w:b/>
      <w:sz w:val="24"/>
    </w:rPr>
  </w:style>
  <w:style w:type="paragraph" w:styleId="Textodecomentrio">
    <w:name w:val="annotation text"/>
    <w:basedOn w:val="Normal"/>
    <w:link w:val="TextodecomentrioCarcter"/>
    <w:uiPriority w:val="99"/>
    <w:unhideWhenUsed/>
    <w:rsid w:val="00A54A7B"/>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A54A7B"/>
    <w:rPr>
      <w:rFonts w:ascii="Times New Roman" w:eastAsia="Times New Roman" w:hAnsi="Times New Roman" w:cs="Times New Roman"/>
      <w:sz w:val="20"/>
      <w:szCs w:val="20"/>
    </w:rPr>
  </w:style>
  <w:style w:type="paragraph" w:styleId="NormalWeb">
    <w:name w:val="Normal (Web)"/>
    <w:basedOn w:val="Normal"/>
    <w:uiPriority w:val="99"/>
    <w:unhideWhenUsed/>
    <w:rsid w:val="00621100"/>
    <w:pPr>
      <w:widowControl/>
      <w:spacing w:before="100" w:beforeAutospacing="1" w:after="100" w:afterAutospacing="1" w:line="240" w:lineRule="auto"/>
      <w:ind w:firstLine="0"/>
      <w:jc w:val="left"/>
    </w:pPr>
    <w:rPr>
      <w:rFonts w:eastAsiaTheme="minorEastAsia"/>
      <w:sz w:val="24"/>
      <w:lang w:eastAsia="pt-PT"/>
    </w:rPr>
  </w:style>
  <w:style w:type="character" w:customStyle="1" w:styleId="apple-converted-space">
    <w:name w:val="apple-converted-space"/>
    <w:basedOn w:val="Tipodeletrapredefinidodopargrafo"/>
    <w:rsid w:val="00621100"/>
  </w:style>
  <w:style w:type="paragraph" w:styleId="Cabealho">
    <w:name w:val="header"/>
    <w:basedOn w:val="Normal"/>
    <w:link w:val="CabealhoCarcter"/>
    <w:uiPriority w:val="99"/>
    <w:unhideWhenUsed/>
    <w:rsid w:val="00621100"/>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621100"/>
    <w:rPr>
      <w:rFonts w:ascii="Times New Roman" w:eastAsia="Times New Roman" w:hAnsi="Times New Roman" w:cs="Times New Roman"/>
      <w:szCs w:val="24"/>
    </w:rPr>
  </w:style>
  <w:style w:type="table" w:styleId="Tabelacomgrelha">
    <w:name w:val="Table Grid"/>
    <w:basedOn w:val="Tabelanormal"/>
    <w:rsid w:val="00621100"/>
    <w:pPr>
      <w:widowControl w:val="0"/>
      <w:spacing w:after="0" w:line="280" w:lineRule="exact"/>
      <w:ind w:firstLine="567"/>
      <w:jc w:val="both"/>
    </w:pPr>
    <w:rPr>
      <w:rFonts w:ascii="Times New Roman" w:eastAsia="Times New Roman"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1">
    <w:name w:val="Tabela com grelha1"/>
    <w:basedOn w:val="Tabelanormal"/>
    <w:next w:val="Tabelacomgrelha"/>
    <w:uiPriority w:val="59"/>
    <w:rsid w:val="006211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1Carcter">
    <w:name w:val="Cabeçalho 1 Carácter"/>
    <w:basedOn w:val="Tipodeletrapredefinidodopargrafo"/>
    <w:link w:val="Cabealho1"/>
    <w:rsid w:val="00621100"/>
    <w:rPr>
      <w:rFonts w:ascii="Arial" w:eastAsia="Times New Roman" w:hAnsi="Arial" w:cs="Times New Roman"/>
      <w:b/>
      <w:kern w:val="32"/>
      <w:sz w:val="20"/>
      <w:szCs w:val="32"/>
    </w:rPr>
  </w:style>
  <w:style w:type="paragraph" w:styleId="Rodap">
    <w:name w:val="footer"/>
    <w:basedOn w:val="Normal"/>
    <w:link w:val="RodapCarcter"/>
    <w:uiPriority w:val="99"/>
    <w:unhideWhenUsed/>
    <w:rsid w:val="0008260D"/>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08260D"/>
    <w:rPr>
      <w:rFonts w:ascii="Times New Roman" w:eastAsia="Times New Roman" w:hAnsi="Times New Roman" w:cs="Times New Roman"/>
      <w:szCs w:val="24"/>
    </w:rPr>
  </w:style>
  <w:style w:type="character" w:styleId="Nmerodelinha">
    <w:name w:val="line number"/>
    <w:basedOn w:val="Tipodeletrapredefinidodopargrafo"/>
    <w:uiPriority w:val="99"/>
    <w:semiHidden/>
    <w:unhideWhenUsed/>
    <w:rsid w:val="003F5A17"/>
  </w:style>
  <w:style w:type="paragraph" w:styleId="Textodebalo">
    <w:name w:val="Balloon Text"/>
    <w:basedOn w:val="Normal"/>
    <w:link w:val="TextodebaloCarcter"/>
    <w:uiPriority w:val="99"/>
    <w:semiHidden/>
    <w:unhideWhenUsed/>
    <w:rsid w:val="00E304EF"/>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04EF"/>
    <w:rPr>
      <w:rFonts w:ascii="Tahoma" w:eastAsia="Times New Roman" w:hAnsi="Tahoma" w:cs="Tahoma"/>
      <w:sz w:val="16"/>
      <w:szCs w:val="16"/>
    </w:rPr>
  </w:style>
  <w:style w:type="character" w:styleId="Refdecomentrio">
    <w:name w:val="annotation reference"/>
    <w:basedOn w:val="Tipodeletrapredefinidodopargrafo"/>
    <w:uiPriority w:val="99"/>
    <w:semiHidden/>
    <w:unhideWhenUsed/>
    <w:rsid w:val="005C13B8"/>
    <w:rPr>
      <w:sz w:val="16"/>
      <w:szCs w:val="16"/>
    </w:rPr>
  </w:style>
  <w:style w:type="paragraph" w:styleId="Assuntodecomentrio">
    <w:name w:val="annotation subject"/>
    <w:basedOn w:val="Textodecomentrio"/>
    <w:next w:val="Textodecomentrio"/>
    <w:link w:val="AssuntodecomentrioCarcter"/>
    <w:uiPriority w:val="99"/>
    <w:semiHidden/>
    <w:unhideWhenUsed/>
    <w:rsid w:val="00A271F3"/>
    <w:rPr>
      <w:b/>
      <w:bCs/>
    </w:rPr>
  </w:style>
  <w:style w:type="character" w:customStyle="1" w:styleId="AssuntodecomentrioCarcter">
    <w:name w:val="Assunto de comentário Carácter"/>
    <w:basedOn w:val="TextodecomentrioCarcter"/>
    <w:link w:val="Assuntodecomentrio"/>
    <w:uiPriority w:val="99"/>
    <w:semiHidden/>
    <w:rsid w:val="00A271F3"/>
    <w:rPr>
      <w:rFonts w:ascii="Times New Roman" w:eastAsia="Times New Roman" w:hAnsi="Times New Roman" w:cs="Times New Roman"/>
      <w:b/>
      <w:bCs/>
      <w:sz w:val="20"/>
      <w:szCs w:val="20"/>
    </w:rPr>
  </w:style>
  <w:style w:type="paragraph" w:styleId="PargrafodaLista">
    <w:name w:val="List Paragraph"/>
    <w:basedOn w:val="Normal"/>
    <w:uiPriority w:val="34"/>
    <w:qFormat/>
    <w:rsid w:val="000B12FB"/>
    <w:pPr>
      <w:widowControl/>
      <w:spacing w:line="240" w:lineRule="auto"/>
      <w:ind w:left="720" w:firstLine="0"/>
      <w:contextualSpacing/>
      <w:jc w:val="left"/>
    </w:pPr>
    <w:rPr>
      <w:rFonts w:asciiTheme="minorHAnsi" w:eastAsiaTheme="minorEastAsia" w:hAnsiTheme="minorHAnsi" w:cstheme="minorBidi"/>
      <w:sz w:val="24"/>
      <w:lang w:val="en-US" w:eastAsia="ja-JP"/>
    </w:rPr>
  </w:style>
  <w:style w:type="paragraph" w:styleId="Reviso">
    <w:name w:val="Revision"/>
    <w:hidden/>
    <w:uiPriority w:val="99"/>
    <w:semiHidden/>
    <w:rsid w:val="00744C94"/>
    <w:pPr>
      <w:spacing w:after="0" w:line="240" w:lineRule="auto"/>
    </w:pPr>
    <w:rPr>
      <w:rFonts w:ascii="Times New Roman" w:eastAsia="Times New Roman" w:hAnsi="Times New Roman" w:cs="Times New Roman"/>
      <w:szCs w:val="24"/>
    </w:rPr>
  </w:style>
  <w:style w:type="character" w:customStyle="1" w:styleId="il">
    <w:name w:val="il"/>
    <w:basedOn w:val="Tipodeletrapredefinidodopargrafo"/>
    <w:rsid w:val="00697436"/>
  </w:style>
  <w:style w:type="table" w:customStyle="1" w:styleId="Tabelacomgrelha2">
    <w:name w:val="Tabela com grelha2"/>
    <w:basedOn w:val="Tabelanormal"/>
    <w:next w:val="Tabelacomgrelha"/>
    <w:uiPriority w:val="59"/>
    <w:rsid w:val="00F81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7B"/>
    <w:pPr>
      <w:widowControl w:val="0"/>
      <w:spacing w:after="0" w:line="280" w:lineRule="exact"/>
      <w:ind w:firstLine="567"/>
      <w:jc w:val="both"/>
    </w:pPr>
    <w:rPr>
      <w:rFonts w:ascii="Times New Roman" w:eastAsia="Times New Roman" w:hAnsi="Times New Roman" w:cs="Times New Roman"/>
      <w:szCs w:val="24"/>
    </w:rPr>
  </w:style>
  <w:style w:type="paragraph" w:styleId="Cabealho1">
    <w:name w:val="heading 1"/>
    <w:basedOn w:val="Normal"/>
    <w:next w:val="Normal"/>
    <w:link w:val="Cabealho1Carcter"/>
    <w:qFormat/>
    <w:rsid w:val="00621100"/>
    <w:pPr>
      <w:keepNext/>
      <w:suppressAutoHyphens/>
      <w:spacing w:before="480"/>
      <w:ind w:left="567" w:firstLine="0"/>
      <w:jc w:val="left"/>
      <w:outlineLvl w:val="0"/>
    </w:pPr>
    <w:rPr>
      <w:rFonts w:ascii="Arial" w:hAnsi="Arial"/>
      <w:b/>
      <w:kern w:val="32"/>
      <w:sz w:val="20"/>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Dissert">
    <w:name w:val="Titulo Dissert"/>
    <w:basedOn w:val="Normal"/>
    <w:rsid w:val="00A54A7B"/>
    <w:pPr>
      <w:keepLines/>
      <w:suppressAutoHyphens/>
      <w:spacing w:before="120" w:after="120"/>
      <w:ind w:firstLine="0"/>
      <w:jc w:val="left"/>
    </w:pPr>
    <w:rPr>
      <w:rFonts w:ascii="Arial" w:hAnsi="Arial"/>
      <w:b/>
      <w:sz w:val="24"/>
    </w:rPr>
  </w:style>
  <w:style w:type="paragraph" w:styleId="Textodecomentrio">
    <w:name w:val="annotation text"/>
    <w:basedOn w:val="Normal"/>
    <w:link w:val="TextodecomentrioCarcter"/>
    <w:uiPriority w:val="99"/>
    <w:unhideWhenUsed/>
    <w:rsid w:val="00A54A7B"/>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A54A7B"/>
    <w:rPr>
      <w:rFonts w:ascii="Times New Roman" w:eastAsia="Times New Roman" w:hAnsi="Times New Roman" w:cs="Times New Roman"/>
      <w:sz w:val="20"/>
      <w:szCs w:val="20"/>
    </w:rPr>
  </w:style>
  <w:style w:type="paragraph" w:styleId="NormalWeb">
    <w:name w:val="Normal (Web)"/>
    <w:basedOn w:val="Normal"/>
    <w:uiPriority w:val="99"/>
    <w:unhideWhenUsed/>
    <w:rsid w:val="00621100"/>
    <w:pPr>
      <w:widowControl/>
      <w:spacing w:before="100" w:beforeAutospacing="1" w:after="100" w:afterAutospacing="1" w:line="240" w:lineRule="auto"/>
      <w:ind w:firstLine="0"/>
      <w:jc w:val="left"/>
    </w:pPr>
    <w:rPr>
      <w:rFonts w:eastAsiaTheme="minorEastAsia"/>
      <w:sz w:val="24"/>
      <w:lang w:eastAsia="pt-PT"/>
    </w:rPr>
  </w:style>
  <w:style w:type="character" w:customStyle="1" w:styleId="apple-converted-space">
    <w:name w:val="apple-converted-space"/>
    <w:basedOn w:val="Tipodeletrapredefinidodopargrafo"/>
    <w:rsid w:val="00621100"/>
  </w:style>
  <w:style w:type="paragraph" w:styleId="Cabealho">
    <w:name w:val="header"/>
    <w:basedOn w:val="Normal"/>
    <w:link w:val="CabealhoCarcter"/>
    <w:uiPriority w:val="99"/>
    <w:unhideWhenUsed/>
    <w:rsid w:val="00621100"/>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621100"/>
    <w:rPr>
      <w:rFonts w:ascii="Times New Roman" w:eastAsia="Times New Roman" w:hAnsi="Times New Roman" w:cs="Times New Roman"/>
      <w:szCs w:val="24"/>
    </w:rPr>
  </w:style>
  <w:style w:type="table" w:styleId="Tabelacomgrelha">
    <w:name w:val="Table Grid"/>
    <w:basedOn w:val="Tabelanormal"/>
    <w:rsid w:val="00621100"/>
    <w:pPr>
      <w:widowControl w:val="0"/>
      <w:spacing w:after="0" w:line="280" w:lineRule="exact"/>
      <w:ind w:firstLine="567"/>
      <w:jc w:val="both"/>
    </w:pPr>
    <w:rPr>
      <w:rFonts w:ascii="Times New Roman" w:eastAsia="Times New Roman"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1">
    <w:name w:val="Tabela com grelha1"/>
    <w:basedOn w:val="Tabelanormal"/>
    <w:next w:val="Tabelacomgrelha"/>
    <w:uiPriority w:val="59"/>
    <w:rsid w:val="006211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1Carcter">
    <w:name w:val="Cabeçalho 1 Carácter"/>
    <w:basedOn w:val="Tipodeletrapredefinidodopargrafo"/>
    <w:link w:val="Cabealho1"/>
    <w:rsid w:val="00621100"/>
    <w:rPr>
      <w:rFonts w:ascii="Arial" w:eastAsia="Times New Roman" w:hAnsi="Arial" w:cs="Times New Roman"/>
      <w:b/>
      <w:kern w:val="32"/>
      <w:sz w:val="20"/>
      <w:szCs w:val="32"/>
    </w:rPr>
  </w:style>
  <w:style w:type="paragraph" w:styleId="Rodap">
    <w:name w:val="footer"/>
    <w:basedOn w:val="Normal"/>
    <w:link w:val="RodapCarcter"/>
    <w:uiPriority w:val="99"/>
    <w:unhideWhenUsed/>
    <w:rsid w:val="0008260D"/>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08260D"/>
    <w:rPr>
      <w:rFonts w:ascii="Times New Roman" w:eastAsia="Times New Roman" w:hAnsi="Times New Roman" w:cs="Times New Roman"/>
      <w:szCs w:val="24"/>
    </w:rPr>
  </w:style>
  <w:style w:type="character" w:styleId="Nmerodelinha">
    <w:name w:val="line number"/>
    <w:basedOn w:val="Tipodeletrapredefinidodopargrafo"/>
    <w:uiPriority w:val="99"/>
    <w:semiHidden/>
    <w:unhideWhenUsed/>
    <w:rsid w:val="003F5A17"/>
  </w:style>
  <w:style w:type="paragraph" w:styleId="Textodebalo">
    <w:name w:val="Balloon Text"/>
    <w:basedOn w:val="Normal"/>
    <w:link w:val="TextodebaloCarcter"/>
    <w:uiPriority w:val="99"/>
    <w:semiHidden/>
    <w:unhideWhenUsed/>
    <w:rsid w:val="00E304EF"/>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04EF"/>
    <w:rPr>
      <w:rFonts w:ascii="Tahoma" w:eastAsia="Times New Roman" w:hAnsi="Tahoma" w:cs="Tahoma"/>
      <w:sz w:val="16"/>
      <w:szCs w:val="16"/>
    </w:rPr>
  </w:style>
  <w:style w:type="character" w:styleId="Refdecomentrio">
    <w:name w:val="annotation reference"/>
    <w:basedOn w:val="Tipodeletrapredefinidodopargrafo"/>
    <w:uiPriority w:val="99"/>
    <w:semiHidden/>
    <w:unhideWhenUsed/>
    <w:rsid w:val="005C13B8"/>
    <w:rPr>
      <w:sz w:val="16"/>
      <w:szCs w:val="16"/>
    </w:rPr>
  </w:style>
  <w:style w:type="paragraph" w:styleId="Assuntodecomentrio">
    <w:name w:val="annotation subject"/>
    <w:basedOn w:val="Textodecomentrio"/>
    <w:next w:val="Textodecomentrio"/>
    <w:link w:val="AssuntodecomentrioCarcter"/>
    <w:uiPriority w:val="99"/>
    <w:semiHidden/>
    <w:unhideWhenUsed/>
    <w:rsid w:val="00A271F3"/>
    <w:rPr>
      <w:b/>
      <w:bCs/>
    </w:rPr>
  </w:style>
  <w:style w:type="character" w:customStyle="1" w:styleId="AssuntodecomentrioCarcter">
    <w:name w:val="Assunto de comentário Carácter"/>
    <w:basedOn w:val="TextodecomentrioCarcter"/>
    <w:link w:val="Assuntodecomentrio"/>
    <w:uiPriority w:val="99"/>
    <w:semiHidden/>
    <w:rsid w:val="00A271F3"/>
    <w:rPr>
      <w:rFonts w:ascii="Times New Roman" w:eastAsia="Times New Roman" w:hAnsi="Times New Roman" w:cs="Times New Roman"/>
      <w:b/>
      <w:bCs/>
      <w:sz w:val="20"/>
      <w:szCs w:val="20"/>
    </w:rPr>
  </w:style>
  <w:style w:type="paragraph" w:styleId="PargrafodaLista">
    <w:name w:val="List Paragraph"/>
    <w:basedOn w:val="Normal"/>
    <w:uiPriority w:val="34"/>
    <w:qFormat/>
    <w:rsid w:val="000B12FB"/>
    <w:pPr>
      <w:widowControl/>
      <w:spacing w:line="240" w:lineRule="auto"/>
      <w:ind w:left="720" w:firstLine="0"/>
      <w:contextualSpacing/>
      <w:jc w:val="left"/>
    </w:pPr>
    <w:rPr>
      <w:rFonts w:asciiTheme="minorHAnsi" w:eastAsiaTheme="minorEastAsia" w:hAnsiTheme="minorHAnsi" w:cstheme="minorBidi"/>
      <w:sz w:val="24"/>
      <w:lang w:val="en-US" w:eastAsia="ja-JP"/>
    </w:rPr>
  </w:style>
  <w:style w:type="paragraph" w:styleId="Reviso">
    <w:name w:val="Revision"/>
    <w:hidden/>
    <w:uiPriority w:val="99"/>
    <w:semiHidden/>
    <w:rsid w:val="00744C94"/>
    <w:pPr>
      <w:spacing w:after="0" w:line="240" w:lineRule="auto"/>
    </w:pPr>
    <w:rPr>
      <w:rFonts w:ascii="Times New Roman" w:eastAsia="Times New Roman" w:hAnsi="Times New Roman" w:cs="Times New Roman"/>
      <w:szCs w:val="24"/>
    </w:rPr>
  </w:style>
  <w:style w:type="character" w:customStyle="1" w:styleId="il">
    <w:name w:val="il"/>
    <w:basedOn w:val="Tipodeletrapredefinidodopargrafo"/>
    <w:rsid w:val="00697436"/>
  </w:style>
  <w:style w:type="table" w:customStyle="1" w:styleId="Tabelacomgrelha2">
    <w:name w:val="Tabela com grelha2"/>
    <w:basedOn w:val="Tabelanormal"/>
    <w:next w:val="Tabelacomgrelha"/>
    <w:uiPriority w:val="59"/>
    <w:rsid w:val="00F81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5509">
      <w:bodyDiv w:val="1"/>
      <w:marLeft w:val="0"/>
      <w:marRight w:val="0"/>
      <w:marTop w:val="0"/>
      <w:marBottom w:val="0"/>
      <w:divBdr>
        <w:top w:val="none" w:sz="0" w:space="0" w:color="auto"/>
        <w:left w:val="none" w:sz="0" w:space="0" w:color="auto"/>
        <w:bottom w:val="none" w:sz="0" w:space="0" w:color="auto"/>
        <w:right w:val="none" w:sz="0" w:space="0" w:color="auto"/>
      </w:divBdr>
    </w:div>
    <w:div w:id="187648854">
      <w:bodyDiv w:val="1"/>
      <w:marLeft w:val="0"/>
      <w:marRight w:val="0"/>
      <w:marTop w:val="0"/>
      <w:marBottom w:val="0"/>
      <w:divBdr>
        <w:top w:val="none" w:sz="0" w:space="0" w:color="auto"/>
        <w:left w:val="none" w:sz="0" w:space="0" w:color="auto"/>
        <w:bottom w:val="none" w:sz="0" w:space="0" w:color="auto"/>
        <w:right w:val="none" w:sz="0" w:space="0" w:color="auto"/>
      </w:divBdr>
    </w:div>
    <w:div w:id="293874290">
      <w:bodyDiv w:val="1"/>
      <w:marLeft w:val="0"/>
      <w:marRight w:val="0"/>
      <w:marTop w:val="0"/>
      <w:marBottom w:val="0"/>
      <w:divBdr>
        <w:top w:val="none" w:sz="0" w:space="0" w:color="auto"/>
        <w:left w:val="none" w:sz="0" w:space="0" w:color="auto"/>
        <w:bottom w:val="none" w:sz="0" w:space="0" w:color="auto"/>
        <w:right w:val="none" w:sz="0" w:space="0" w:color="auto"/>
      </w:divBdr>
    </w:div>
    <w:div w:id="1354989219">
      <w:bodyDiv w:val="1"/>
      <w:marLeft w:val="0"/>
      <w:marRight w:val="0"/>
      <w:marTop w:val="0"/>
      <w:marBottom w:val="0"/>
      <w:divBdr>
        <w:top w:val="none" w:sz="0" w:space="0" w:color="auto"/>
        <w:left w:val="none" w:sz="0" w:space="0" w:color="auto"/>
        <w:bottom w:val="none" w:sz="0" w:space="0" w:color="auto"/>
        <w:right w:val="none" w:sz="0" w:space="0" w:color="auto"/>
      </w:divBdr>
    </w:div>
    <w:div w:id="1502088521">
      <w:bodyDiv w:val="1"/>
      <w:marLeft w:val="0"/>
      <w:marRight w:val="0"/>
      <w:marTop w:val="0"/>
      <w:marBottom w:val="0"/>
      <w:divBdr>
        <w:top w:val="none" w:sz="0" w:space="0" w:color="auto"/>
        <w:left w:val="none" w:sz="0" w:space="0" w:color="auto"/>
        <w:bottom w:val="none" w:sz="0" w:space="0" w:color="auto"/>
        <w:right w:val="none" w:sz="0" w:space="0" w:color="auto"/>
      </w:divBdr>
    </w:div>
    <w:div w:id="1632832264">
      <w:bodyDiv w:val="1"/>
      <w:marLeft w:val="0"/>
      <w:marRight w:val="0"/>
      <w:marTop w:val="0"/>
      <w:marBottom w:val="0"/>
      <w:divBdr>
        <w:top w:val="none" w:sz="0" w:space="0" w:color="auto"/>
        <w:left w:val="none" w:sz="0" w:space="0" w:color="auto"/>
        <w:bottom w:val="none" w:sz="0" w:space="0" w:color="auto"/>
        <w:right w:val="none" w:sz="0" w:space="0" w:color="auto"/>
      </w:divBdr>
    </w:div>
    <w:div w:id="1996494205">
      <w:bodyDiv w:val="1"/>
      <w:marLeft w:val="0"/>
      <w:marRight w:val="0"/>
      <w:marTop w:val="0"/>
      <w:marBottom w:val="0"/>
      <w:divBdr>
        <w:top w:val="none" w:sz="0" w:space="0" w:color="auto"/>
        <w:left w:val="none" w:sz="0" w:space="0" w:color="auto"/>
        <w:bottom w:val="none" w:sz="0" w:space="0" w:color="auto"/>
        <w:right w:val="none" w:sz="0" w:space="0" w:color="auto"/>
      </w:divBdr>
    </w:div>
    <w:div w:id="203627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04022933163523"/>
          <c:y val="4.4759200504089394E-2"/>
          <c:w val="0.85745818809685759"/>
          <c:h val="0.76894576999627362"/>
        </c:manualLayout>
      </c:layout>
      <c:lineChart>
        <c:grouping val="standard"/>
        <c:varyColors val="0"/>
        <c:ser>
          <c:idx val="0"/>
          <c:order val="0"/>
          <c:tx>
            <c:strRef>
              <c:f>Folha1!$B$1</c:f>
              <c:strCache>
                <c:ptCount val="1"/>
                <c:pt idx="0">
                  <c:v>In-treatment</c:v>
                </c:pt>
              </c:strCache>
            </c:strRef>
          </c:tx>
          <c:spPr>
            <a:ln w="3175">
              <a:solidFill>
                <a:schemeClr val="tx1"/>
              </a:solidFill>
            </a:ln>
          </c:spPr>
          <c:marker>
            <c:symbol val="none"/>
          </c:marker>
          <c:cat>
            <c:strRef>
              <c:f>Folha1!$A$2:$A$4</c:f>
              <c:strCache>
                <c:ptCount val="3"/>
                <c:pt idx="0">
                  <c:v>Low</c:v>
                </c:pt>
                <c:pt idx="1">
                  <c:v>Medium</c:v>
                </c:pt>
                <c:pt idx="2">
                  <c:v>High</c:v>
                </c:pt>
              </c:strCache>
            </c:strRef>
          </c:cat>
          <c:val>
            <c:numRef>
              <c:f>Folha1!$B$2:$B$4</c:f>
              <c:numCache>
                <c:formatCode>General</c:formatCode>
                <c:ptCount val="3"/>
                <c:pt idx="0">
                  <c:v>4.4523070000000002</c:v>
                </c:pt>
                <c:pt idx="1">
                  <c:v>4.0750000000000002</c:v>
                </c:pt>
                <c:pt idx="2">
                  <c:v>3.6976930000000001</c:v>
                </c:pt>
              </c:numCache>
            </c:numRef>
          </c:val>
          <c:smooth val="0"/>
        </c:ser>
        <c:ser>
          <c:idx val="1"/>
          <c:order val="1"/>
          <c:tx>
            <c:strRef>
              <c:f>Folha1!$C$1</c:f>
              <c:strCache>
                <c:ptCount val="1"/>
                <c:pt idx="0">
                  <c:v>Off-treatment</c:v>
                </c:pt>
              </c:strCache>
            </c:strRef>
          </c:tx>
          <c:spPr>
            <a:ln w="12700">
              <a:solidFill>
                <a:schemeClr val="tx1"/>
              </a:solidFill>
              <a:prstDash val="dash"/>
            </a:ln>
          </c:spPr>
          <c:marker>
            <c:symbol val="none"/>
          </c:marker>
          <c:cat>
            <c:strRef>
              <c:f>Folha1!$A$2:$A$4</c:f>
              <c:strCache>
                <c:ptCount val="3"/>
                <c:pt idx="0">
                  <c:v>Low</c:v>
                </c:pt>
                <c:pt idx="1">
                  <c:v>Medium</c:v>
                </c:pt>
                <c:pt idx="2">
                  <c:v>High</c:v>
                </c:pt>
              </c:strCache>
            </c:strRef>
          </c:cat>
          <c:val>
            <c:numRef>
              <c:f>Folha1!$C$2:$C$4</c:f>
              <c:numCache>
                <c:formatCode>General</c:formatCode>
                <c:ptCount val="3"/>
                <c:pt idx="0">
                  <c:v>4.5846210000000003</c:v>
                </c:pt>
                <c:pt idx="1">
                  <c:v>4.38</c:v>
                </c:pt>
                <c:pt idx="2">
                  <c:v>4.1753790000000004</c:v>
                </c:pt>
              </c:numCache>
            </c:numRef>
          </c:val>
          <c:smooth val="0"/>
        </c:ser>
        <c:dLbls>
          <c:showLegendKey val="0"/>
          <c:showVal val="0"/>
          <c:showCatName val="0"/>
          <c:showSerName val="0"/>
          <c:showPercent val="0"/>
          <c:showBubbleSize val="0"/>
        </c:dLbls>
        <c:marker val="1"/>
        <c:smooth val="0"/>
        <c:axId val="117688960"/>
        <c:axId val="120415744"/>
      </c:lineChart>
      <c:catAx>
        <c:axId val="117688960"/>
        <c:scaling>
          <c:orientation val="minMax"/>
        </c:scaling>
        <c:delete val="0"/>
        <c:axPos val="b"/>
        <c:title>
          <c:tx>
            <c:rich>
              <a:bodyPr/>
              <a:lstStyle/>
              <a:p>
                <a:pPr>
                  <a:defRPr/>
                </a:pPr>
                <a:r>
                  <a:rPr lang="pt-PT"/>
                  <a:t>Anxiety</a:t>
                </a:r>
              </a:p>
            </c:rich>
          </c:tx>
          <c:overlay val="0"/>
        </c:title>
        <c:majorTickMark val="out"/>
        <c:minorTickMark val="none"/>
        <c:tickLblPos val="nextTo"/>
        <c:crossAx val="120415744"/>
        <c:crosses val="autoZero"/>
        <c:auto val="1"/>
        <c:lblAlgn val="ctr"/>
        <c:lblOffset val="100"/>
        <c:noMultiLvlLbl val="0"/>
      </c:catAx>
      <c:valAx>
        <c:axId val="120415744"/>
        <c:scaling>
          <c:orientation val="minMax"/>
          <c:max val="4.7"/>
          <c:min val="3.6"/>
        </c:scaling>
        <c:delete val="0"/>
        <c:axPos val="l"/>
        <c:title>
          <c:tx>
            <c:rich>
              <a:bodyPr rot="-5400000" vert="horz"/>
              <a:lstStyle/>
              <a:p>
                <a:pPr>
                  <a:defRPr/>
                </a:pPr>
                <a:r>
                  <a:rPr lang="pt-PT"/>
                  <a:t>HRQoL</a:t>
                </a:r>
              </a:p>
            </c:rich>
          </c:tx>
          <c:overlay val="0"/>
        </c:title>
        <c:numFmt formatCode="#,##0.00" sourceLinked="0"/>
        <c:majorTickMark val="out"/>
        <c:minorTickMark val="none"/>
        <c:tickLblPos val="nextTo"/>
        <c:crossAx val="117688960"/>
        <c:crosses val="autoZero"/>
        <c:crossBetween val="between"/>
      </c:valAx>
      <c:spPr>
        <a:noFill/>
        <a:ln w="25400">
          <a:noFill/>
        </a:ln>
      </c:spPr>
    </c:plotArea>
    <c:plotVisOnly val="1"/>
    <c:dispBlanksAs val="gap"/>
    <c:showDLblsOverMax val="0"/>
  </c:chart>
  <c:txPr>
    <a:bodyPr/>
    <a:lstStyle/>
    <a:p>
      <a:pPr>
        <a:defRPr sz="800">
          <a:latin typeface="Times New Roman" pitchFamily="18" charset="0"/>
          <a:cs typeface="Times New Roman" pitchFamily="18" charset="0"/>
        </a:defRPr>
      </a:pPr>
      <a:endParaRPr lang="pt-PT"/>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0.77611</cdr:x>
      <cdr:y>0.56239</cdr:y>
    </cdr:from>
    <cdr:to>
      <cdr:x>1</cdr:x>
      <cdr:y>0.73775</cdr:y>
    </cdr:to>
    <cdr:sp macro="" textlink="">
      <cdr:nvSpPr>
        <cdr:cNvPr id="2" name="Caixa de texto 1"/>
        <cdr:cNvSpPr txBox="1"/>
      </cdr:nvSpPr>
      <cdr:spPr>
        <a:xfrm xmlns:a="http://schemas.openxmlformats.org/drawingml/2006/main">
          <a:off x="2609534" y="1269553"/>
          <a:ext cx="752791" cy="3958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PT" sz="800">
              <a:latin typeface="Times New Roman" pitchFamily="18" charset="0"/>
              <a:cs typeface="Times New Roman" pitchFamily="18" charset="0"/>
            </a:rPr>
            <a:t>On-treatment</a:t>
          </a:r>
        </a:p>
        <a:p xmlns:a="http://schemas.openxmlformats.org/drawingml/2006/main">
          <a:r>
            <a:rPr lang="pt-PT" sz="800" i="0" baseline="0">
              <a:latin typeface="Times New Roman" pitchFamily="18" charset="0"/>
              <a:cs typeface="Times New Roman" pitchFamily="18" charset="0"/>
            </a:rPr>
            <a:t>B</a:t>
          </a:r>
          <a:r>
            <a:rPr lang="pt-PT" sz="800" i="1" baseline="0">
              <a:latin typeface="Times New Roman" pitchFamily="18" charset="0"/>
              <a:cs typeface="Times New Roman" pitchFamily="18" charset="0"/>
            </a:rPr>
            <a:t> = </a:t>
          </a:r>
          <a:r>
            <a:rPr lang="pt-PT" sz="800" i="0" baseline="0">
              <a:latin typeface="Times New Roman" pitchFamily="18" charset="0"/>
              <a:cs typeface="Times New Roman" pitchFamily="18" charset="0"/>
            </a:rPr>
            <a:t>-1.91</a:t>
          </a:r>
          <a:r>
            <a:rPr lang="pt-PT" sz="800" i="0" baseline="30000">
              <a:latin typeface="Times New Roman" pitchFamily="18" charset="0"/>
              <a:cs typeface="Times New Roman" pitchFamily="18" charset="0"/>
            </a:rPr>
            <a:t>***</a:t>
          </a:r>
        </a:p>
      </cdr:txBody>
    </cdr:sp>
  </cdr:relSizeAnchor>
  <cdr:relSizeAnchor xmlns:cdr="http://schemas.openxmlformats.org/drawingml/2006/chartDrawing">
    <cdr:from>
      <cdr:x>0.80139</cdr:x>
      <cdr:y>0.32755</cdr:y>
    </cdr:from>
    <cdr:to>
      <cdr:x>0.97954</cdr:x>
      <cdr:y>0.50292</cdr:y>
    </cdr:to>
    <cdr:sp macro="" textlink="">
      <cdr:nvSpPr>
        <cdr:cNvPr id="3" name="Caixa de texto 1"/>
        <cdr:cNvSpPr txBox="1"/>
      </cdr:nvSpPr>
      <cdr:spPr>
        <a:xfrm xmlns:a="http://schemas.openxmlformats.org/drawingml/2006/main">
          <a:off x="4327525" y="1031875"/>
          <a:ext cx="962025" cy="552450"/>
        </a:xfrm>
        <a:prstGeom xmlns:a="http://schemas.openxmlformats.org/drawingml/2006/main" prst="rect">
          <a:avLst/>
        </a:prstGeom>
      </cdr:spPr>
    </cdr:sp>
  </cdr:relSizeAnchor>
  <cdr:relSizeAnchor xmlns:cdr="http://schemas.openxmlformats.org/drawingml/2006/chartDrawing">
    <cdr:from>
      <cdr:x>0.77246</cdr:x>
      <cdr:y>0.2056</cdr:y>
    </cdr:from>
    <cdr:to>
      <cdr:x>1</cdr:x>
      <cdr:y>0.41176</cdr:y>
    </cdr:to>
    <cdr:sp macro="" textlink="">
      <cdr:nvSpPr>
        <cdr:cNvPr id="4" name="Caixa de texto 3"/>
        <cdr:cNvSpPr txBox="1"/>
      </cdr:nvSpPr>
      <cdr:spPr>
        <a:xfrm xmlns:a="http://schemas.openxmlformats.org/drawingml/2006/main">
          <a:off x="2817992" y="432801"/>
          <a:ext cx="830083" cy="4339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PT" sz="800">
              <a:latin typeface="Times New Roman" pitchFamily="18" charset="0"/>
              <a:cs typeface="Times New Roman" pitchFamily="18" charset="0"/>
            </a:rPr>
            <a:t>Off-treatment</a:t>
          </a:r>
        </a:p>
        <a:p xmlns:a="http://schemas.openxmlformats.org/drawingml/2006/main">
          <a:r>
            <a:rPr lang="pt-PT" sz="800" i="0">
              <a:latin typeface="Times New Roman" pitchFamily="18" charset="0"/>
              <a:cs typeface="Times New Roman" pitchFamily="18" charset="0"/>
            </a:rPr>
            <a:t>B </a:t>
          </a:r>
          <a:r>
            <a:rPr lang="pt-PT" sz="800" i="1">
              <a:latin typeface="Times New Roman" pitchFamily="18" charset="0"/>
              <a:cs typeface="Times New Roman" pitchFamily="18" charset="0"/>
            </a:rPr>
            <a:t>= </a:t>
          </a:r>
          <a:r>
            <a:rPr lang="pt-PT" sz="800" i="0">
              <a:latin typeface="Times New Roman" pitchFamily="18" charset="0"/>
              <a:cs typeface="Times New Roman" pitchFamily="18" charset="0"/>
            </a:rPr>
            <a:t>-1.04</a:t>
          </a:r>
          <a:r>
            <a:rPr lang="pt-PT" sz="800" i="0" baseline="30000">
              <a:latin typeface="Times New Roman" pitchFamily="18" charset="0"/>
              <a:cs typeface="Times New Roman" pitchFamily="18" charset="0"/>
            </a:rPr>
            <a:t>***</a:t>
          </a:r>
        </a:p>
      </cdr:txBody>
    </cdr:sp>
  </cdr:relSizeAnchor>
  <cdr:relSizeAnchor xmlns:cdr="http://schemas.openxmlformats.org/drawingml/2006/chartDrawing">
    <cdr:from>
      <cdr:x>0.23283</cdr:x>
      <cdr:y>0.24491</cdr:y>
    </cdr:from>
    <cdr:to>
      <cdr:x>0.3369</cdr:x>
      <cdr:y>0.34771</cdr:y>
    </cdr:to>
    <cdr:sp macro="" textlink="">
      <cdr:nvSpPr>
        <cdr:cNvPr id="5" name="Caixa de texto 4"/>
        <cdr:cNvSpPr txBox="1"/>
      </cdr:nvSpPr>
      <cdr:spPr>
        <a:xfrm xmlns:a="http://schemas.openxmlformats.org/drawingml/2006/main">
          <a:off x="1257300" y="771525"/>
          <a:ext cx="561975"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PT" sz="800">
              <a:latin typeface="Times New Roman" pitchFamily="18" charset="0"/>
              <a:cs typeface="Times New Roman" pitchFamily="18" charset="0"/>
            </a:rPr>
            <a:t>4.45</a:t>
          </a:r>
        </a:p>
      </cdr:txBody>
    </cdr:sp>
  </cdr:relSizeAnchor>
  <cdr:relSizeAnchor xmlns:cdr="http://schemas.openxmlformats.org/drawingml/2006/chartDrawing">
    <cdr:from>
      <cdr:x>0.26693</cdr:x>
      <cdr:y>0.44245</cdr:y>
    </cdr:from>
    <cdr:to>
      <cdr:x>0.371</cdr:x>
      <cdr:y>0.54525</cdr:y>
    </cdr:to>
    <cdr:sp macro="" textlink="">
      <cdr:nvSpPr>
        <cdr:cNvPr id="6" name="Caixa de texto 1"/>
        <cdr:cNvSpPr txBox="1"/>
      </cdr:nvSpPr>
      <cdr:spPr>
        <a:xfrm xmlns:a="http://schemas.openxmlformats.org/drawingml/2006/main">
          <a:off x="1441450" y="1393825"/>
          <a:ext cx="561975" cy="323850"/>
        </a:xfrm>
        <a:prstGeom xmlns:a="http://schemas.openxmlformats.org/drawingml/2006/main" prst="rect">
          <a:avLst/>
        </a:prstGeom>
      </cdr:spPr>
    </cdr:sp>
  </cdr:relSizeAnchor>
  <cdr:relSizeAnchor xmlns:cdr="http://schemas.openxmlformats.org/drawingml/2006/chartDrawing">
    <cdr:from>
      <cdr:x>0.78434</cdr:x>
      <cdr:y>0.75186</cdr:y>
    </cdr:from>
    <cdr:to>
      <cdr:x>0.88841</cdr:x>
      <cdr:y>0.85467</cdr:y>
    </cdr:to>
    <cdr:sp macro="" textlink="">
      <cdr:nvSpPr>
        <cdr:cNvPr id="8" name="Caixa de texto 1"/>
        <cdr:cNvSpPr txBox="1"/>
      </cdr:nvSpPr>
      <cdr:spPr>
        <a:xfrm xmlns:a="http://schemas.openxmlformats.org/drawingml/2006/main">
          <a:off x="4235450" y="2368550"/>
          <a:ext cx="561975" cy="323850"/>
        </a:xfrm>
        <a:prstGeom xmlns:a="http://schemas.openxmlformats.org/drawingml/2006/main" prst="rect">
          <a:avLst/>
        </a:prstGeom>
      </cdr:spPr>
    </cdr:sp>
  </cdr:relSizeAnchor>
  <cdr:relSizeAnchor xmlns:cdr="http://schemas.openxmlformats.org/drawingml/2006/chartDrawing">
    <cdr:from>
      <cdr:x>0.78434</cdr:x>
      <cdr:y>0.75186</cdr:y>
    </cdr:from>
    <cdr:to>
      <cdr:x>0.88841</cdr:x>
      <cdr:y>0.85467</cdr:y>
    </cdr:to>
    <cdr:sp macro="" textlink="">
      <cdr:nvSpPr>
        <cdr:cNvPr id="9" name="Caixa de texto 1"/>
        <cdr:cNvSpPr txBox="1"/>
      </cdr:nvSpPr>
      <cdr:spPr>
        <a:xfrm xmlns:a="http://schemas.openxmlformats.org/drawingml/2006/main">
          <a:off x="4235450" y="2368550"/>
          <a:ext cx="561975" cy="323850"/>
        </a:xfrm>
        <a:prstGeom xmlns:a="http://schemas.openxmlformats.org/drawingml/2006/main" prst="rect">
          <a:avLst/>
        </a:prstGeom>
      </cdr:spPr>
    </cdr:sp>
  </cdr:relSizeAnchor>
  <cdr:relSizeAnchor xmlns:cdr="http://schemas.openxmlformats.org/drawingml/2006/chartDrawing">
    <cdr:from>
      <cdr:x>0.76729</cdr:x>
      <cdr:y>0.73775</cdr:y>
    </cdr:from>
    <cdr:to>
      <cdr:x>0.88899</cdr:x>
      <cdr:y>0.82846</cdr:y>
    </cdr:to>
    <cdr:sp macro="" textlink="">
      <cdr:nvSpPr>
        <cdr:cNvPr id="13" name="Caixa de texto 12"/>
        <cdr:cNvSpPr txBox="1"/>
      </cdr:nvSpPr>
      <cdr:spPr>
        <a:xfrm xmlns:a="http://schemas.openxmlformats.org/drawingml/2006/main">
          <a:off x="4143375" y="2324100"/>
          <a:ext cx="65722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PT" sz="800">
              <a:latin typeface="Times New Roman" pitchFamily="18" charset="0"/>
              <a:cs typeface="Times New Roman" pitchFamily="18" charset="0"/>
            </a:rPr>
            <a:t>3.70</a:t>
          </a:r>
        </a:p>
      </cdr:txBody>
    </cdr:sp>
  </cdr:relSizeAnchor>
  <cdr:relSizeAnchor xmlns:cdr="http://schemas.openxmlformats.org/drawingml/2006/chartDrawing">
    <cdr:from>
      <cdr:x>0.2293</cdr:x>
      <cdr:y>0.09071</cdr:y>
    </cdr:from>
    <cdr:to>
      <cdr:x>0.34748</cdr:x>
      <cdr:y>0.18444</cdr:y>
    </cdr:to>
    <cdr:sp macro="" textlink="">
      <cdr:nvSpPr>
        <cdr:cNvPr id="14" name="Caixa de texto 13"/>
        <cdr:cNvSpPr txBox="1"/>
      </cdr:nvSpPr>
      <cdr:spPr>
        <a:xfrm xmlns:a="http://schemas.openxmlformats.org/drawingml/2006/main">
          <a:off x="1238250" y="285750"/>
          <a:ext cx="63817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PT" sz="1100"/>
        </a:p>
      </cdr:txBody>
    </cdr:sp>
  </cdr:relSizeAnchor>
  <cdr:relSizeAnchor xmlns:cdr="http://schemas.openxmlformats.org/drawingml/2006/chartDrawing">
    <cdr:from>
      <cdr:x>0.23283</cdr:x>
      <cdr:y>0.13001</cdr:y>
    </cdr:from>
    <cdr:to>
      <cdr:x>0.39158</cdr:x>
      <cdr:y>0.25096</cdr:y>
    </cdr:to>
    <cdr:sp macro="" textlink="">
      <cdr:nvSpPr>
        <cdr:cNvPr id="15" name="Caixa de texto 14"/>
        <cdr:cNvSpPr txBox="1"/>
      </cdr:nvSpPr>
      <cdr:spPr>
        <a:xfrm xmlns:a="http://schemas.openxmlformats.org/drawingml/2006/main">
          <a:off x="1257300" y="409575"/>
          <a:ext cx="85725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PT" sz="800">
              <a:latin typeface="Times New Roman" pitchFamily="18" charset="0"/>
              <a:cs typeface="Times New Roman" pitchFamily="18" charset="0"/>
            </a:rPr>
            <a:t>4.58</a:t>
          </a:r>
        </a:p>
      </cdr:txBody>
    </cdr:sp>
  </cdr:relSizeAnchor>
  <cdr:relSizeAnchor xmlns:cdr="http://schemas.openxmlformats.org/drawingml/2006/chartDrawing">
    <cdr:from>
      <cdr:x>0.76729</cdr:x>
      <cdr:y>0.41725</cdr:y>
    </cdr:from>
    <cdr:to>
      <cdr:x>0.91898</cdr:x>
      <cdr:y>0.55332</cdr:y>
    </cdr:to>
    <cdr:sp macro="" textlink="">
      <cdr:nvSpPr>
        <cdr:cNvPr id="16" name="Caixa de texto 15"/>
        <cdr:cNvSpPr txBox="1"/>
      </cdr:nvSpPr>
      <cdr:spPr>
        <a:xfrm xmlns:a="http://schemas.openxmlformats.org/drawingml/2006/main">
          <a:off x="4143375" y="1314450"/>
          <a:ext cx="81915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PT" sz="800">
              <a:latin typeface="Times New Roman" pitchFamily="18" charset="0"/>
              <a:cs typeface="Times New Roman" pitchFamily="18" charset="0"/>
            </a:rPr>
            <a:t>4.18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1DE4-126A-45C8-B31E-0543F453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13820</Words>
  <Characters>74629</Characters>
  <Application>Microsoft Office Word</Application>
  <DocSecurity>0</DocSecurity>
  <Lines>621</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Universidade de Aveiro</Company>
  <LinksUpToDate>false</LinksUpToDate>
  <CharactersWithSpaces>88273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Rita</dc:creator>
  <cp:lastModifiedBy>Ana Rita</cp:lastModifiedBy>
  <cp:revision>6</cp:revision>
  <cp:lastPrinted>2015-07-27T17:07:00Z</cp:lastPrinted>
  <dcterms:created xsi:type="dcterms:W3CDTF">2018-01-31T17:57:00Z</dcterms:created>
  <dcterms:modified xsi:type="dcterms:W3CDTF">2018-01-31T18:25:00Z</dcterms:modified>
</cp:coreProperties>
</file>