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BEC" w:rsidRDefault="00F97BEC" w:rsidP="00B71D74">
      <w:pPr>
        <w:pStyle w:val="Corpodetexto"/>
        <w:jc w:val="left"/>
        <w:rPr>
          <w:sz w:val="22"/>
          <w:szCs w:val="22"/>
          <w:lang w:val="en-US"/>
        </w:rPr>
      </w:pPr>
    </w:p>
    <w:p w:rsidR="00F97BEC" w:rsidRDefault="00F97BEC" w:rsidP="00BD377B">
      <w:pPr>
        <w:pStyle w:val="Corpodetexto"/>
        <w:ind w:firstLine="360"/>
        <w:jc w:val="center"/>
        <w:rPr>
          <w:b/>
          <w:lang w:val="en-US"/>
        </w:rPr>
      </w:pPr>
      <w:r w:rsidRPr="00DC5B6A">
        <w:rPr>
          <w:b/>
          <w:lang w:val="en-US"/>
        </w:rPr>
        <w:t>Vocational</w:t>
      </w:r>
      <w:r w:rsidR="00AF3922" w:rsidRPr="00DC5B6A">
        <w:rPr>
          <w:b/>
          <w:lang w:val="en-US"/>
        </w:rPr>
        <w:t xml:space="preserve"> Profiles among Portuguese VET S</w:t>
      </w:r>
      <w:r w:rsidRPr="00DC5B6A">
        <w:rPr>
          <w:b/>
          <w:lang w:val="en-US"/>
        </w:rPr>
        <w:t>tudents: relationship with the Internship Quality</w:t>
      </w:r>
    </w:p>
    <w:p w:rsidR="00E2769F" w:rsidRPr="00BC7578" w:rsidRDefault="00E2769F" w:rsidP="00E2769F">
      <w:pPr>
        <w:pStyle w:val="Corpodetexto"/>
        <w:ind w:left="720"/>
        <w:rPr>
          <w:b/>
          <w:sz w:val="20"/>
          <w:lang w:val="en-US"/>
        </w:rPr>
      </w:pPr>
    </w:p>
    <w:p w:rsidR="00FF062E" w:rsidRDefault="00CD42B6" w:rsidP="00CD42B6">
      <w:pPr>
        <w:spacing w:line="480" w:lineRule="auto"/>
        <w:ind w:firstLine="360"/>
        <w:rPr>
          <w:rFonts w:eastAsia="Arial Unicode MS"/>
          <w:color w:val="000000"/>
          <w:lang w:val="en-US"/>
        </w:rPr>
      </w:pPr>
      <w:r w:rsidRPr="00DC5B6A">
        <w:rPr>
          <w:lang w:val="en-US"/>
        </w:rPr>
        <w:t xml:space="preserve">Currently, workplace learning has become an important feature of the training program of high school vocational courses </w:t>
      </w:r>
      <w:r w:rsidRPr="00DC5B6A">
        <w:rPr>
          <w:rFonts w:eastAsia="Arial Unicode MS"/>
          <w:color w:val="000000"/>
          <w:lang w:val="en-US"/>
        </w:rPr>
        <w:t>because</w:t>
      </w:r>
      <w:r w:rsidRPr="00DC5B6A">
        <w:rPr>
          <w:lang w:val="en-US"/>
        </w:rPr>
        <w:t xml:space="preserve"> learning in a purely academic context does not adequately prepare students unless it is complemented by the type of learning that only real-world contexts provide (</w:t>
      </w:r>
      <w:r w:rsidRPr="00DC5B6A">
        <w:rPr>
          <w:rFonts w:eastAsia="Arial Unicode MS"/>
          <w:lang w:val="en-US"/>
        </w:rPr>
        <w:t xml:space="preserve">Griffiths &amp; Guile, 2004). </w:t>
      </w:r>
      <w:r w:rsidR="007B72C8" w:rsidRPr="00DC5B6A">
        <w:rPr>
          <w:rFonts w:eastAsia="Arial Unicode MS"/>
          <w:color w:val="000000"/>
          <w:lang w:val="en-US"/>
        </w:rPr>
        <w:t>In both developed and developing countries, there is a growing effort to make the school curriculum more responsive to the contemporary job market</w:t>
      </w:r>
      <w:r w:rsidR="000366D5" w:rsidRPr="00DC5B6A">
        <w:rPr>
          <w:rFonts w:eastAsia="Arial Unicode MS"/>
          <w:color w:val="000000"/>
          <w:lang w:val="en-US"/>
        </w:rPr>
        <w:t xml:space="preserve"> demands</w:t>
      </w:r>
      <w:r w:rsidR="00054C0D" w:rsidRPr="00DC5B6A">
        <w:rPr>
          <w:rFonts w:eastAsia="Arial Unicode MS"/>
          <w:color w:val="000000"/>
          <w:lang w:val="en-US"/>
        </w:rPr>
        <w:t xml:space="preserve"> (</w:t>
      </w:r>
      <w:r w:rsidR="00054C0D" w:rsidRPr="00DC5B6A">
        <w:rPr>
          <w:rFonts w:eastAsia="Arial Unicode MS"/>
          <w:lang w:val="en-US"/>
        </w:rPr>
        <w:t>Larson, Wilson &amp; Mortimer</w:t>
      </w:r>
      <w:r w:rsidR="00054C0D" w:rsidRPr="00DC5B6A">
        <w:rPr>
          <w:rFonts w:eastAsia="Arial Unicode MS"/>
          <w:i/>
          <w:iCs/>
          <w:lang w:val="en-US"/>
        </w:rPr>
        <w:t xml:space="preserve">, </w:t>
      </w:r>
      <w:r w:rsidR="00772A43" w:rsidRPr="00DC5B6A">
        <w:rPr>
          <w:rFonts w:eastAsia="Arial Unicode MS"/>
          <w:lang w:val="en-US"/>
        </w:rPr>
        <w:t>2002</w:t>
      </w:r>
      <w:r w:rsidR="001A7645" w:rsidRPr="00DC5B6A">
        <w:rPr>
          <w:rFonts w:eastAsia="Arial Unicode MS"/>
          <w:lang w:val="en-US"/>
        </w:rPr>
        <w:t>; Leney &amp; Green, 2005</w:t>
      </w:r>
      <w:r w:rsidR="00054C0D" w:rsidRPr="00DC5B6A">
        <w:rPr>
          <w:rFonts w:eastAsia="Arial Unicode MS"/>
          <w:lang w:val="en-US"/>
        </w:rPr>
        <w:t>)</w:t>
      </w:r>
      <w:r w:rsidR="007B72C8" w:rsidRPr="00DC5B6A">
        <w:rPr>
          <w:rFonts w:eastAsia="Arial Unicode MS"/>
          <w:color w:val="000000"/>
          <w:lang w:val="en-US"/>
        </w:rPr>
        <w:t xml:space="preserve">, with </w:t>
      </w:r>
      <w:r w:rsidR="00FE0D86" w:rsidRPr="00DC5B6A">
        <w:rPr>
          <w:rFonts w:eastAsia="Arial Unicode MS"/>
          <w:color w:val="000000"/>
          <w:lang w:val="en-US"/>
        </w:rPr>
        <w:t xml:space="preserve">workplace learning </w:t>
      </w:r>
      <w:r w:rsidR="007B72C8" w:rsidRPr="00DC5B6A">
        <w:rPr>
          <w:rFonts w:eastAsia="Arial Unicode MS"/>
          <w:color w:val="000000"/>
          <w:lang w:val="en-US"/>
        </w:rPr>
        <w:t>experiences constituting the main strategy linking school with occupational reality</w:t>
      </w:r>
      <w:r w:rsidR="00054C0D" w:rsidRPr="00DC5B6A">
        <w:rPr>
          <w:rFonts w:eastAsia="Arial Unicode MS"/>
          <w:color w:val="000000"/>
          <w:lang w:val="en-US"/>
        </w:rPr>
        <w:t xml:space="preserve"> (</w:t>
      </w:r>
      <w:r w:rsidR="00054C0D" w:rsidRPr="00DC5B6A">
        <w:rPr>
          <w:rFonts w:eastAsia="Arial Unicode MS"/>
          <w:lang w:val="en-US"/>
        </w:rPr>
        <w:t>Griffiths,</w:t>
      </w:r>
      <w:r w:rsidR="00E227FE" w:rsidRPr="00DC5B6A">
        <w:rPr>
          <w:rFonts w:eastAsia="Arial Unicode MS"/>
          <w:lang w:val="en-US"/>
        </w:rPr>
        <w:t xml:space="preserve"> 2003; Griffiths &amp; Guile, 2004</w:t>
      </w:r>
      <w:r w:rsidR="00054C0D" w:rsidRPr="00DC5B6A">
        <w:rPr>
          <w:rFonts w:eastAsia="Arial Unicode MS"/>
          <w:lang w:val="en-US"/>
        </w:rPr>
        <w:t>)</w:t>
      </w:r>
      <w:r w:rsidR="007B72C8" w:rsidRPr="00DC5B6A">
        <w:rPr>
          <w:rFonts w:eastAsia="Arial Unicode MS"/>
          <w:color w:val="000000"/>
          <w:lang w:val="en-US"/>
        </w:rPr>
        <w:t>.</w:t>
      </w:r>
      <w:r w:rsidR="005451F7" w:rsidRPr="00DC5B6A">
        <w:rPr>
          <w:rFonts w:eastAsia="Arial Unicode MS"/>
          <w:color w:val="000000"/>
          <w:lang w:val="en-US"/>
        </w:rPr>
        <w:t xml:space="preserve"> </w:t>
      </w:r>
    </w:p>
    <w:p w:rsidR="00467C3D" w:rsidRDefault="007B72C8" w:rsidP="00CD42B6">
      <w:pPr>
        <w:spacing w:line="480" w:lineRule="auto"/>
        <w:ind w:firstLine="360"/>
        <w:rPr>
          <w:rFonts w:eastAsia="Arial Unicode MS"/>
          <w:lang w:val="en-US"/>
        </w:rPr>
      </w:pPr>
      <w:r w:rsidRPr="00DC5B6A">
        <w:rPr>
          <w:rFonts w:eastAsia="Arial Unicode MS"/>
          <w:lang w:val="en-US"/>
        </w:rPr>
        <w:t>Although the theoretical framework of vocational psychology posits that real-world learning experiences significantly influence adolescents’ career development (</w:t>
      </w:r>
      <w:r w:rsidR="004D4DDE" w:rsidRPr="00DC5B6A">
        <w:rPr>
          <w:rFonts w:eastAsia="Arial Unicode MS"/>
          <w:lang w:val="en-US"/>
        </w:rPr>
        <w:t xml:space="preserve">e.g., </w:t>
      </w:r>
      <w:r w:rsidR="0032376E" w:rsidRPr="00DC5B6A">
        <w:rPr>
          <w:rFonts w:eastAsia="Arial Unicode MS"/>
          <w:lang w:val="en-US"/>
        </w:rPr>
        <w:t>Lent, Brown &amp; Hackett, 2002</w:t>
      </w:r>
      <w:r w:rsidR="00E25DF5" w:rsidRPr="00DC5B6A">
        <w:rPr>
          <w:rFonts w:eastAsia="Arial Unicode MS"/>
          <w:lang w:val="en-US"/>
        </w:rPr>
        <w:t>; Savickas, 2005</w:t>
      </w:r>
      <w:r w:rsidR="00A46629" w:rsidRPr="00DC5B6A">
        <w:rPr>
          <w:rFonts w:eastAsia="Arial Unicode MS"/>
          <w:lang w:val="en-US"/>
        </w:rPr>
        <w:t>; Super, Savickas &amp; Super, 1996; Vondracek, Lerner &amp; Schulenberg, 1986</w:t>
      </w:r>
      <w:r w:rsidRPr="00DC5B6A">
        <w:rPr>
          <w:rFonts w:eastAsia="Arial Unicode MS"/>
          <w:lang w:val="en-US"/>
        </w:rPr>
        <w:t>), research findings regarding the imp</w:t>
      </w:r>
      <w:r w:rsidR="00C43226">
        <w:rPr>
          <w:rFonts w:eastAsia="Arial Unicode MS"/>
          <w:lang w:val="en-US"/>
        </w:rPr>
        <w:t xml:space="preserve">act of this type of experience </w:t>
      </w:r>
      <w:r w:rsidRPr="00DC5B6A">
        <w:rPr>
          <w:rFonts w:eastAsia="Arial Unicode MS"/>
          <w:lang w:val="en-US"/>
        </w:rPr>
        <w:t>have not been consistent</w:t>
      </w:r>
      <w:r w:rsidRPr="00546747">
        <w:rPr>
          <w:rFonts w:eastAsia="Arial Unicode MS"/>
          <w:lang w:val="en-US"/>
        </w:rPr>
        <w:t xml:space="preserve">. </w:t>
      </w:r>
    </w:p>
    <w:p w:rsidR="00FF062E" w:rsidRDefault="007B72C8" w:rsidP="00CD42B6">
      <w:pPr>
        <w:spacing w:line="480" w:lineRule="auto"/>
        <w:ind w:firstLine="360"/>
        <w:rPr>
          <w:rFonts w:eastAsia="Arial Unicode MS"/>
          <w:lang w:val="en-US"/>
        </w:rPr>
      </w:pPr>
      <w:r w:rsidRPr="00DC5B6A">
        <w:rPr>
          <w:rFonts w:eastAsia="Arial Unicode MS"/>
          <w:lang w:val="en-US"/>
        </w:rPr>
        <w:t>Empirical studies have found that work experience</w:t>
      </w:r>
      <w:r w:rsidR="00FE0D86" w:rsidRPr="00DC5B6A">
        <w:rPr>
          <w:rFonts w:eastAsia="Arial Unicode MS"/>
          <w:lang w:val="en-US"/>
        </w:rPr>
        <w:t xml:space="preserve"> quality</w:t>
      </w:r>
      <w:r w:rsidRPr="00DC5B6A">
        <w:rPr>
          <w:rFonts w:eastAsia="Arial Unicode MS"/>
          <w:lang w:val="en-US"/>
        </w:rPr>
        <w:t xml:space="preserve"> significantly influence students’ overall vocational and career development (</w:t>
      </w:r>
      <w:r w:rsidR="00A46629" w:rsidRPr="00DC5B6A">
        <w:rPr>
          <w:rFonts w:eastAsia="Arial Unicode MS"/>
          <w:lang w:val="en-US"/>
        </w:rPr>
        <w:t>e.g., Brooks et al., 1995; Blustein, 1997; Carless &amp; Prodan, 2003; Loughlin &amp; Barling, 1998; Johnson &amp; Mortim</w:t>
      </w:r>
      <w:r w:rsidR="00444BF8">
        <w:rPr>
          <w:rFonts w:eastAsia="Arial Unicode MS"/>
          <w:lang w:val="en-US"/>
        </w:rPr>
        <w:t>er, 2002</w:t>
      </w:r>
      <w:r w:rsidR="00A46629" w:rsidRPr="00DC5B6A">
        <w:rPr>
          <w:rFonts w:eastAsia="Arial Unicode MS"/>
          <w:lang w:val="en-US"/>
        </w:rPr>
        <w:t>; Stern, Stone, Hopkins &amp; McMillion, 1990;</w:t>
      </w:r>
      <w:r w:rsidR="00A46629" w:rsidRPr="00DC5B6A">
        <w:rPr>
          <w:b/>
          <w:bCs/>
          <w:lang w:val="en-US"/>
        </w:rPr>
        <w:t xml:space="preserve"> </w:t>
      </w:r>
      <w:r w:rsidR="00A46629" w:rsidRPr="00DC5B6A">
        <w:rPr>
          <w:rFonts w:eastAsia="Arial Unicode MS"/>
          <w:lang w:val="en-US"/>
        </w:rPr>
        <w:t>Stone &amp; Mortimer, 1998; Watts, 1996</w:t>
      </w:r>
      <w:r w:rsidRPr="00DC5B6A">
        <w:rPr>
          <w:rFonts w:eastAsia="Arial Unicode MS"/>
          <w:lang w:val="en-US"/>
        </w:rPr>
        <w:t xml:space="preserve">), although it is not clear whether </w:t>
      </w:r>
      <w:r w:rsidR="005030F9" w:rsidRPr="00DC5B6A">
        <w:rPr>
          <w:rFonts w:eastAsia="Arial Unicode MS"/>
          <w:lang w:val="en-US"/>
        </w:rPr>
        <w:t>certain work experience qualities</w:t>
      </w:r>
      <w:r w:rsidRPr="00DC5B6A">
        <w:rPr>
          <w:rFonts w:eastAsia="Arial Unicode MS"/>
          <w:lang w:val="en-US"/>
        </w:rPr>
        <w:t xml:space="preserve"> produce a greater effect. As a result, Creed and Patton (2003) and Skorikov and Vondracek (1997) have suggested that research should explore the relationship between career development indicators</w:t>
      </w:r>
      <w:r w:rsidR="000F4C5D">
        <w:rPr>
          <w:rFonts w:eastAsia="Arial Unicode MS"/>
          <w:lang w:val="en-US"/>
        </w:rPr>
        <w:t>, such as career exploration, career decision-making and career commitment,</w:t>
      </w:r>
      <w:r w:rsidRPr="00DC5B6A">
        <w:rPr>
          <w:rFonts w:eastAsia="Arial Unicode MS"/>
          <w:lang w:val="en-US"/>
        </w:rPr>
        <w:t xml:space="preserve"> and the </w:t>
      </w:r>
      <w:r w:rsidR="009952DC" w:rsidRPr="00DC5B6A">
        <w:rPr>
          <w:rFonts w:eastAsia="Arial Unicode MS"/>
          <w:lang w:val="en-US"/>
        </w:rPr>
        <w:t>diverse</w:t>
      </w:r>
      <w:r w:rsidRPr="00DC5B6A">
        <w:rPr>
          <w:rFonts w:eastAsia="Arial Unicode MS"/>
          <w:lang w:val="en-US"/>
        </w:rPr>
        <w:t xml:space="preserve"> </w:t>
      </w:r>
      <w:r w:rsidR="009952DC" w:rsidRPr="00DC5B6A">
        <w:rPr>
          <w:rFonts w:eastAsia="Arial Unicode MS"/>
          <w:lang w:val="en-US"/>
        </w:rPr>
        <w:t xml:space="preserve">qualities of the </w:t>
      </w:r>
      <w:r w:rsidRPr="00DC5B6A">
        <w:rPr>
          <w:rFonts w:eastAsia="Arial Unicode MS"/>
          <w:lang w:val="en-US"/>
        </w:rPr>
        <w:lastRenderedPageBreak/>
        <w:t>work experiences</w:t>
      </w:r>
      <w:r w:rsidR="00376F43" w:rsidRPr="00DC5B6A">
        <w:rPr>
          <w:rFonts w:eastAsia="Arial Unicode MS"/>
          <w:lang w:val="en-US"/>
        </w:rPr>
        <w:t>, such as learning opportunities, social support and autonomy, among others</w:t>
      </w:r>
      <w:r w:rsidR="000F4C5D">
        <w:rPr>
          <w:rFonts w:eastAsia="Arial Unicode MS"/>
          <w:lang w:val="en-US"/>
        </w:rPr>
        <w:t xml:space="preserve"> (for a revie</w:t>
      </w:r>
      <w:r w:rsidR="0047332B">
        <w:rPr>
          <w:rFonts w:eastAsia="Arial Unicode MS"/>
          <w:lang w:val="en-US"/>
        </w:rPr>
        <w:t>w: Vianen, Pater &amp; Preenen, 2008</w:t>
      </w:r>
      <w:r w:rsidR="000F4C5D">
        <w:rPr>
          <w:rFonts w:eastAsia="Arial Unicode MS"/>
          <w:lang w:val="en-US"/>
        </w:rPr>
        <w:t>)</w:t>
      </w:r>
      <w:r w:rsidR="00376F43" w:rsidRPr="00DC5B6A">
        <w:rPr>
          <w:rFonts w:eastAsia="Arial Unicode MS"/>
          <w:lang w:val="en-US"/>
        </w:rPr>
        <w:t>.</w:t>
      </w:r>
      <w:r w:rsidR="00AB76CD">
        <w:rPr>
          <w:rFonts w:eastAsia="Arial Unicode MS"/>
          <w:lang w:val="en-US"/>
        </w:rPr>
        <w:t xml:space="preserve"> </w:t>
      </w:r>
    </w:p>
    <w:p w:rsidR="00FF062E" w:rsidRDefault="00FF062E" w:rsidP="00CD42B6">
      <w:pPr>
        <w:spacing w:line="480" w:lineRule="auto"/>
        <w:ind w:firstLine="360"/>
        <w:rPr>
          <w:rFonts w:eastAsia="Arial Unicode MS"/>
          <w:lang w:val="en-US"/>
        </w:rPr>
      </w:pPr>
    </w:p>
    <w:p w:rsidR="007B72C8" w:rsidRPr="00AB76CD" w:rsidRDefault="00C5312D" w:rsidP="00CD42B6">
      <w:pPr>
        <w:spacing w:line="480" w:lineRule="auto"/>
        <w:ind w:firstLine="360"/>
        <w:rPr>
          <w:color w:val="FF0000"/>
          <w:lang w:val="en-US"/>
        </w:rPr>
      </w:pPr>
      <w:r>
        <w:rPr>
          <w:rFonts w:eastAsia="Arial Unicode MS"/>
          <w:lang w:val="en-US"/>
        </w:rPr>
        <w:t>Among</w:t>
      </w:r>
      <w:r w:rsidRPr="005563F4">
        <w:rPr>
          <w:rFonts w:eastAsia="Arial Unicode MS"/>
          <w:lang w:val="en-US"/>
        </w:rPr>
        <w:t xml:space="preserve"> the qualities that the literature considers as essential to promote the career exploration</w:t>
      </w:r>
      <w:r w:rsidRPr="00747939">
        <w:rPr>
          <w:rFonts w:eastAsia="Calibri"/>
          <w:lang w:val="en-US"/>
        </w:rPr>
        <w:t xml:space="preserve"> </w:t>
      </w:r>
      <w:r>
        <w:rPr>
          <w:rFonts w:eastAsia="Calibri"/>
          <w:lang w:val="en-US"/>
        </w:rPr>
        <w:t>and the progress in career decision-making and commitment processes</w:t>
      </w:r>
      <w:r w:rsidRPr="005563F4">
        <w:rPr>
          <w:rFonts w:eastAsia="Arial Unicode MS"/>
          <w:lang w:val="en-US"/>
        </w:rPr>
        <w:t xml:space="preserve">, we </w:t>
      </w:r>
      <w:r>
        <w:rPr>
          <w:rFonts w:eastAsia="Arial Unicode MS"/>
          <w:lang w:val="en-US"/>
        </w:rPr>
        <w:t>can highlight</w:t>
      </w:r>
      <w:r w:rsidRPr="005563F4">
        <w:rPr>
          <w:rFonts w:eastAsia="Arial Unicode MS"/>
          <w:lang w:val="en-US"/>
        </w:rPr>
        <w:t xml:space="preserve"> the importance of the relational dimensions found in real work contexts</w:t>
      </w:r>
      <w:r>
        <w:rPr>
          <w:rFonts w:eastAsia="Arial Unicode MS"/>
          <w:lang w:val="en-US"/>
        </w:rPr>
        <w:t>, such as the social support provided by colleagues, teachers and supervisors</w:t>
      </w:r>
      <w:r w:rsidRPr="005563F4">
        <w:rPr>
          <w:rFonts w:eastAsia="Arial Unicode MS"/>
          <w:lang w:val="en-US"/>
        </w:rPr>
        <w:t xml:space="preserve"> </w:t>
      </w:r>
      <w:r w:rsidRPr="001D464B">
        <w:rPr>
          <w:rFonts w:eastAsia="Calibri"/>
          <w:lang w:val="en-US"/>
        </w:rPr>
        <w:t>(e.g</w:t>
      </w:r>
      <w:r w:rsidRPr="007562B5">
        <w:rPr>
          <w:rFonts w:eastAsia="Calibri"/>
          <w:lang w:val="en-US"/>
        </w:rPr>
        <w:t>., Blau, 1985;</w:t>
      </w:r>
      <w:r>
        <w:rPr>
          <w:rFonts w:eastAsia="Calibri"/>
          <w:lang w:val="en-US"/>
        </w:rPr>
        <w:t xml:space="preserve"> </w:t>
      </w:r>
      <w:r w:rsidR="001B0AF2">
        <w:rPr>
          <w:rFonts w:eastAsia="Calibri"/>
          <w:lang w:val="en-US"/>
        </w:rPr>
        <w:t>Blustein &amp; Noumair, 1996</w:t>
      </w:r>
      <w:r w:rsidRPr="001D464B">
        <w:rPr>
          <w:rFonts w:eastAsia="Arial Unicode MS"/>
          <w:lang w:val="en-US"/>
        </w:rPr>
        <w:t xml:space="preserve">; </w:t>
      </w:r>
      <w:r w:rsidRPr="008A20D3">
        <w:rPr>
          <w:rFonts w:eastAsia="Arial Unicode MS"/>
          <w:lang w:val="en-US"/>
        </w:rPr>
        <w:t xml:space="preserve">Cheung &amp; Arnold, 2010; </w:t>
      </w:r>
      <w:r w:rsidRPr="008A20D3">
        <w:rPr>
          <w:rFonts w:eastAsia="Calibri"/>
          <w:lang w:val="en-US"/>
        </w:rPr>
        <w:t xml:space="preserve">Creed, Fallon &amp; Hood., 2009; </w:t>
      </w:r>
      <w:r w:rsidRPr="008A20D3">
        <w:rPr>
          <w:rFonts w:eastAsia="Arial Unicode MS"/>
          <w:lang w:val="en-US"/>
        </w:rPr>
        <w:t>Ke</w:t>
      </w:r>
      <w:r w:rsidR="00546747">
        <w:rPr>
          <w:rFonts w:eastAsia="Arial Unicode MS"/>
          <w:lang w:val="en-US"/>
        </w:rPr>
        <w:t>nny &amp; Bledsoe, 2005;</w:t>
      </w:r>
      <w:r w:rsidRPr="008A20D3">
        <w:rPr>
          <w:rFonts w:eastAsia="Arial Unicode MS"/>
          <w:lang w:val="en-US"/>
        </w:rPr>
        <w:t xml:space="preserve"> Flum &amp;</w:t>
      </w:r>
      <w:r w:rsidRPr="001D464B">
        <w:rPr>
          <w:rFonts w:eastAsia="Arial Unicode MS"/>
          <w:lang w:val="en-US"/>
        </w:rPr>
        <w:t xml:space="preserve"> Blustein, 2000</w:t>
      </w:r>
      <w:r w:rsidRPr="005563F4">
        <w:rPr>
          <w:rFonts w:eastAsia="Arial Unicode MS"/>
          <w:lang w:val="en-US"/>
        </w:rPr>
        <w:t>)</w:t>
      </w:r>
      <w:r>
        <w:rPr>
          <w:rFonts w:eastAsia="Arial Unicode MS"/>
          <w:lang w:val="en-US"/>
        </w:rPr>
        <w:t xml:space="preserve"> along with the task diversity, autonomy, and learning </w:t>
      </w:r>
      <w:r w:rsidRPr="0047332B">
        <w:rPr>
          <w:rFonts w:eastAsia="Arial Unicode MS"/>
          <w:lang w:val="en-US"/>
        </w:rPr>
        <w:t xml:space="preserve">opportunities (e.g., Aryee &amp; Tan, 1992; </w:t>
      </w:r>
      <w:r w:rsidRPr="0047332B">
        <w:rPr>
          <w:rFonts w:eastAsia="Calibri"/>
          <w:lang w:val="en-US"/>
        </w:rPr>
        <w:t>Vianen</w:t>
      </w:r>
      <w:r w:rsidR="00E66556">
        <w:rPr>
          <w:lang w:val="en-US"/>
        </w:rPr>
        <w:t xml:space="preserve"> et al.</w:t>
      </w:r>
      <w:r w:rsidRPr="0047332B">
        <w:rPr>
          <w:lang w:val="en-US"/>
        </w:rPr>
        <w:t>, 2008)</w:t>
      </w:r>
      <w:r w:rsidRPr="0047332B">
        <w:rPr>
          <w:rFonts w:eastAsia="Calibri"/>
          <w:lang w:val="en-US"/>
        </w:rPr>
        <w:t>.</w:t>
      </w:r>
    </w:p>
    <w:p w:rsidR="00E531C2" w:rsidRDefault="000934CF" w:rsidP="00BD377B">
      <w:pPr>
        <w:pStyle w:val="Corpodetexto"/>
        <w:ind w:firstLine="708"/>
        <w:jc w:val="left"/>
        <w:rPr>
          <w:lang w:val="en-US"/>
        </w:rPr>
      </w:pPr>
      <w:r w:rsidRPr="00C5312D">
        <w:rPr>
          <w:lang w:val="en-US"/>
        </w:rPr>
        <w:t>In this light, t</w:t>
      </w:r>
      <w:r w:rsidR="007B72C8" w:rsidRPr="00C5312D">
        <w:rPr>
          <w:lang w:val="en-US"/>
        </w:rPr>
        <w:t xml:space="preserve">he impact of internship experience on career development may depend on the quantity and quality of the exploratory activity preceding contact with the work environment, the level of commitment to prior career choices, and the </w:t>
      </w:r>
      <w:r w:rsidR="00025C1A" w:rsidRPr="00C5312D">
        <w:rPr>
          <w:lang w:val="en-US"/>
        </w:rPr>
        <w:t>degree</w:t>
      </w:r>
      <w:r w:rsidR="00CD42B6" w:rsidRPr="00C5312D">
        <w:rPr>
          <w:lang w:val="en-US"/>
        </w:rPr>
        <w:t xml:space="preserve"> of </w:t>
      </w:r>
      <w:r w:rsidR="007B72C8" w:rsidRPr="00C5312D">
        <w:rPr>
          <w:lang w:val="en-US"/>
        </w:rPr>
        <w:t>correspondence between the internship and students’</w:t>
      </w:r>
      <w:r w:rsidR="007B72C8" w:rsidRPr="00C5312D" w:rsidDel="00AF57A9">
        <w:rPr>
          <w:lang w:val="en-US"/>
        </w:rPr>
        <w:t xml:space="preserve"> </w:t>
      </w:r>
      <w:r w:rsidR="00BA056E" w:rsidRPr="00C5312D">
        <w:rPr>
          <w:lang w:val="en-US"/>
        </w:rPr>
        <w:t>personal and career goals</w:t>
      </w:r>
      <w:r w:rsidR="007B72C8" w:rsidRPr="00C5312D">
        <w:rPr>
          <w:lang w:val="en-US"/>
        </w:rPr>
        <w:t>.</w:t>
      </w:r>
      <w:r w:rsidR="007B72C8" w:rsidRPr="00DC5B6A">
        <w:rPr>
          <w:lang w:val="en-US"/>
        </w:rPr>
        <w:t xml:space="preserve"> </w:t>
      </w:r>
      <w:r w:rsidR="00467C3D">
        <w:rPr>
          <w:lang w:val="en-US"/>
        </w:rPr>
        <w:t>B</w:t>
      </w:r>
      <w:r w:rsidR="007B72C8" w:rsidRPr="00DC5B6A">
        <w:rPr>
          <w:lang w:val="en-US"/>
        </w:rPr>
        <w:t>ecause adolescents may deal with work experiences in very different ways (</w:t>
      </w:r>
      <w:r w:rsidR="00DD1644" w:rsidRPr="00DC5B6A">
        <w:rPr>
          <w:lang w:val="en-US"/>
        </w:rPr>
        <w:t>e.g., Blustein, Juntunen &amp; Wo</w:t>
      </w:r>
      <w:r w:rsidR="00444BF8">
        <w:rPr>
          <w:lang w:val="en-US"/>
        </w:rPr>
        <w:t>rthington, 2000;</w:t>
      </w:r>
      <w:r w:rsidR="00DD1644" w:rsidRPr="00DC5B6A">
        <w:rPr>
          <w:lang w:val="en-US"/>
        </w:rPr>
        <w:t xml:space="preserve"> Schaap, Baartman &amp; Bruijn, 2011</w:t>
      </w:r>
      <w:r w:rsidR="007B72C8" w:rsidRPr="00DC5B6A">
        <w:rPr>
          <w:lang w:val="en-US"/>
        </w:rPr>
        <w:t>), the impact of these experiences on their development is not uniform (</w:t>
      </w:r>
      <w:r w:rsidR="00DD1644" w:rsidRPr="00DC5B6A">
        <w:rPr>
          <w:lang w:val="en-US"/>
        </w:rPr>
        <w:t>Shanahan, Mortimer &amp; Kruger, 2002</w:t>
      </w:r>
      <w:r w:rsidR="007B72C8" w:rsidRPr="00DC5B6A">
        <w:rPr>
          <w:lang w:val="en-US"/>
        </w:rPr>
        <w:t>). As a result, Barling and Kelloway (1999) have argued that researchers should recognize that real-world experiences are different for each individual because young people are not a homogenous population. Moreover, vocational psychology theories (</w:t>
      </w:r>
      <w:r w:rsidR="00DD1644" w:rsidRPr="00DC5B6A">
        <w:rPr>
          <w:lang w:val="en-US"/>
        </w:rPr>
        <w:t>e.g., L</w:t>
      </w:r>
      <w:r w:rsidR="007A6DCF">
        <w:rPr>
          <w:lang w:val="en-US"/>
        </w:rPr>
        <w:t>ent et al.</w:t>
      </w:r>
      <w:r w:rsidR="0058158D">
        <w:rPr>
          <w:lang w:val="en-US"/>
        </w:rPr>
        <w:t>, 2002;</w:t>
      </w:r>
      <w:r w:rsidR="00DD1644" w:rsidRPr="00DC5B6A">
        <w:rPr>
          <w:lang w:val="en-US"/>
        </w:rPr>
        <w:t xml:space="preserve"> Vondracek et al., 1986</w:t>
      </w:r>
      <w:r w:rsidR="007B72C8" w:rsidRPr="00DC5B6A">
        <w:rPr>
          <w:lang w:val="en-US"/>
        </w:rPr>
        <w:t>) and human motivation models (</w:t>
      </w:r>
      <w:r w:rsidR="00DD1644" w:rsidRPr="00DC5B6A">
        <w:rPr>
          <w:lang w:val="en-US"/>
        </w:rPr>
        <w:t>e.g., Ryan &amp; Deci, 2000</w:t>
      </w:r>
      <w:r w:rsidR="007B72C8" w:rsidRPr="00DC5B6A">
        <w:rPr>
          <w:lang w:val="en-US"/>
        </w:rPr>
        <w:t>) acknowledge the importance of a differential approach to investigating and managing career issues due to the interaction between different work environments and individuals’ interests, goals, skills, and values (</w:t>
      </w:r>
      <w:r w:rsidR="00DD1644" w:rsidRPr="00DC5B6A">
        <w:rPr>
          <w:lang w:val="en-US"/>
        </w:rPr>
        <w:t>e.g., Mortimer &amp; Zimmer-Gembeck, 2007</w:t>
      </w:r>
      <w:r w:rsidR="007B72C8" w:rsidRPr="00DC5B6A">
        <w:rPr>
          <w:lang w:val="en-US"/>
        </w:rPr>
        <w:t>).</w:t>
      </w:r>
      <w:r w:rsidR="0014716E" w:rsidRPr="00DC5B6A">
        <w:rPr>
          <w:lang w:val="en-US"/>
        </w:rPr>
        <w:t xml:space="preserve"> </w:t>
      </w:r>
    </w:p>
    <w:p w:rsidR="00E531C2" w:rsidRDefault="00E531C2" w:rsidP="00BD377B">
      <w:pPr>
        <w:pStyle w:val="Corpodetexto"/>
        <w:ind w:firstLine="708"/>
        <w:jc w:val="left"/>
        <w:rPr>
          <w:lang w:val="en-US"/>
        </w:rPr>
      </w:pPr>
    </w:p>
    <w:p w:rsidR="007B72C8" w:rsidRPr="00DC5B6A" w:rsidRDefault="007B72C8" w:rsidP="00BD377B">
      <w:pPr>
        <w:pStyle w:val="Corpodetexto"/>
        <w:ind w:firstLine="708"/>
        <w:jc w:val="left"/>
        <w:rPr>
          <w:lang w:val="en-US"/>
        </w:rPr>
      </w:pPr>
      <w:r w:rsidRPr="00DC5B6A">
        <w:rPr>
          <w:lang w:val="en-US"/>
        </w:rPr>
        <w:lastRenderedPageBreak/>
        <w:t>Niles, Erford, Hunt and Watts (1997), Kelly and Pulver (2003), and Taveira (1997) have used cluster analysis to identify different styles of career exploration and decision-making. Taveira (1997) found that it was possible to discriminate among groups of students based on their career attitudes and behaviors and identified four career profiles based on identity, indecision, and exploration. Moreover, researchers investigating career decision-making and commitment (</w:t>
      </w:r>
      <w:r w:rsidR="0014716E" w:rsidRPr="00DC5B6A">
        <w:rPr>
          <w:lang w:val="en-US"/>
        </w:rPr>
        <w:t xml:space="preserve">e.g., Akos, Konold &amp; Niles, 2004; </w:t>
      </w:r>
      <w:r w:rsidR="0081139F">
        <w:rPr>
          <w:lang w:val="en-US"/>
        </w:rPr>
        <w:t xml:space="preserve">Baiocco, Laghi &amp; D’Alessio, 2009; </w:t>
      </w:r>
      <w:r w:rsidR="0014716E" w:rsidRPr="00DC5B6A">
        <w:rPr>
          <w:lang w:val="en-US"/>
        </w:rPr>
        <w:t>Gati &amp; Saka, 2001; Germeijs &amp; Verschue</w:t>
      </w:r>
      <w:r w:rsidR="00533FED">
        <w:rPr>
          <w:lang w:val="en-US"/>
        </w:rPr>
        <w:t>ren, 2006</w:t>
      </w:r>
      <w:r w:rsidR="00546747">
        <w:rPr>
          <w:lang w:val="en-US"/>
        </w:rPr>
        <w:t>;</w:t>
      </w:r>
      <w:r w:rsidR="0014716E" w:rsidRPr="00DC5B6A">
        <w:rPr>
          <w:lang w:val="en-US"/>
        </w:rPr>
        <w:t xml:space="preserve"> Newman, Gray &amp; Fuqua, 1999; Silva, 1997; Vondracek, Hostetler, Schulenberg &amp; Shimizu, 1990</w:t>
      </w:r>
      <w:r w:rsidRPr="00DC5B6A">
        <w:rPr>
          <w:lang w:val="en-US"/>
        </w:rPr>
        <w:t>) have found that individuals experience career indecision for different reasons and adopt different approaches toward decision making, such as an intuitive, dependent,</w:t>
      </w:r>
      <w:r w:rsidR="00CE0D0D">
        <w:rPr>
          <w:lang w:val="en-US"/>
        </w:rPr>
        <w:t xml:space="preserve"> or rational style.</w:t>
      </w:r>
      <w:r w:rsidRPr="00DC5B6A">
        <w:rPr>
          <w:lang w:val="en-US"/>
        </w:rPr>
        <w:t xml:space="preserve"> Akos et al. (2004) administered the CFI (Career Factors Inventory) to a sample of eighth-grade students and identified </w:t>
      </w:r>
      <w:r w:rsidR="008A20D3">
        <w:rPr>
          <w:lang w:val="en-US"/>
        </w:rPr>
        <w:t>seven different career profiles</w:t>
      </w:r>
      <w:r w:rsidRPr="00DC5B6A">
        <w:rPr>
          <w:lang w:val="en-US"/>
        </w:rPr>
        <w:t xml:space="preserve">. </w:t>
      </w:r>
      <w:r w:rsidR="008A20D3">
        <w:rPr>
          <w:lang w:val="en-US"/>
        </w:rPr>
        <w:t xml:space="preserve">On the other hand, </w:t>
      </w:r>
      <w:r w:rsidRPr="00DC5B6A">
        <w:rPr>
          <w:lang w:val="en-US"/>
        </w:rPr>
        <w:t>Germeijs</w:t>
      </w:r>
      <w:r w:rsidR="00533FED">
        <w:rPr>
          <w:lang w:val="en-US"/>
        </w:rPr>
        <w:t xml:space="preserve"> and Verschueren’s (2006</w:t>
      </w:r>
      <w:r w:rsidRPr="00DC5B6A">
        <w:rPr>
          <w:lang w:val="en-US"/>
        </w:rPr>
        <w:t xml:space="preserve">) longitudinal study </w:t>
      </w:r>
      <w:r w:rsidR="00467C3D">
        <w:rPr>
          <w:lang w:val="en-US"/>
        </w:rPr>
        <w:t>also illustrated this diversity</w:t>
      </w:r>
      <w:r w:rsidRPr="00DC5B6A">
        <w:rPr>
          <w:lang w:val="en-US"/>
        </w:rPr>
        <w:t xml:space="preserve">. </w:t>
      </w:r>
      <w:r w:rsidR="001B25C6" w:rsidRPr="00DC5B6A">
        <w:rPr>
          <w:lang w:val="en-US"/>
        </w:rPr>
        <w:t>In short, t</w:t>
      </w:r>
      <w:r w:rsidRPr="00DC5B6A">
        <w:rPr>
          <w:lang w:val="en-US"/>
        </w:rPr>
        <w:t xml:space="preserve">he </w:t>
      </w:r>
      <w:r w:rsidR="001B25C6" w:rsidRPr="00DC5B6A">
        <w:rPr>
          <w:lang w:val="en-US"/>
        </w:rPr>
        <w:t>literature</w:t>
      </w:r>
      <w:r w:rsidRPr="00DC5B6A">
        <w:rPr>
          <w:lang w:val="en-US"/>
        </w:rPr>
        <w:t xml:space="preserve"> supports a differential and interactive approach to the processes</w:t>
      </w:r>
      <w:r w:rsidRPr="00DC5B6A" w:rsidDel="0065014B">
        <w:rPr>
          <w:lang w:val="en-US"/>
        </w:rPr>
        <w:t xml:space="preserve"> </w:t>
      </w:r>
      <w:r w:rsidRPr="00DC5B6A">
        <w:rPr>
          <w:lang w:val="en-US"/>
        </w:rPr>
        <w:t>of vocational exploration, decision-making and commitment that acknowledges the importance of individual differences in vocational behavior</w:t>
      </w:r>
      <w:r w:rsidR="0014716E" w:rsidRPr="00DC5B6A">
        <w:rPr>
          <w:lang w:val="en-US"/>
        </w:rPr>
        <w:t xml:space="preserve">. </w:t>
      </w:r>
    </w:p>
    <w:p w:rsidR="005030F9" w:rsidRPr="00DC5B6A" w:rsidRDefault="005030F9" w:rsidP="00BD377B">
      <w:pPr>
        <w:pStyle w:val="Corpodetexto"/>
        <w:ind w:firstLine="708"/>
        <w:jc w:val="left"/>
        <w:rPr>
          <w:lang w:val="en-US"/>
        </w:rPr>
      </w:pPr>
    </w:p>
    <w:p w:rsidR="006B2271" w:rsidRPr="00DC5B6A" w:rsidRDefault="006B2271" w:rsidP="00BD377B">
      <w:pPr>
        <w:pStyle w:val="Corpodetexto"/>
        <w:jc w:val="left"/>
        <w:rPr>
          <w:b/>
          <w:lang w:val="en-US"/>
        </w:rPr>
      </w:pPr>
      <w:r w:rsidRPr="00DC5B6A">
        <w:rPr>
          <w:b/>
          <w:lang w:val="en-US"/>
        </w:rPr>
        <w:t xml:space="preserve">Present Study </w:t>
      </w:r>
    </w:p>
    <w:p w:rsidR="00E531C2" w:rsidRDefault="007E1118" w:rsidP="006F4B0D">
      <w:pPr>
        <w:pStyle w:val="Avanodecorpodetexto"/>
        <w:jc w:val="left"/>
        <w:rPr>
          <w:lang w:val="en-US"/>
        </w:rPr>
      </w:pPr>
      <w:r w:rsidRPr="00DC5B6A">
        <w:rPr>
          <w:lang w:val="en-US"/>
        </w:rPr>
        <w:t xml:space="preserve">In Portugal, </w:t>
      </w:r>
      <w:r w:rsidR="00F2717A">
        <w:rPr>
          <w:lang w:val="en-US"/>
        </w:rPr>
        <w:t>within the VET system</w:t>
      </w:r>
      <w:r w:rsidR="00431D81">
        <w:rPr>
          <w:lang w:val="en-US"/>
        </w:rPr>
        <w:t xml:space="preserve"> </w:t>
      </w:r>
      <w:r w:rsidR="00F2717A">
        <w:rPr>
          <w:lang w:val="en-US"/>
        </w:rPr>
        <w:t>internships are mandatory and</w:t>
      </w:r>
      <w:r w:rsidR="00CE0652">
        <w:rPr>
          <w:lang w:val="en-US"/>
        </w:rPr>
        <w:t>, in most cases,</w:t>
      </w:r>
      <w:r w:rsidR="00F2717A">
        <w:rPr>
          <w:lang w:val="en-US"/>
        </w:rPr>
        <w:t xml:space="preserve"> occur in the</w:t>
      </w:r>
      <w:r w:rsidR="00431D81">
        <w:rPr>
          <w:lang w:val="en-US"/>
        </w:rPr>
        <w:t xml:space="preserve"> final</w:t>
      </w:r>
      <w:r w:rsidR="00F2717A">
        <w:rPr>
          <w:lang w:val="en-US"/>
        </w:rPr>
        <w:t xml:space="preserve"> ye</w:t>
      </w:r>
      <w:r w:rsidR="00431D81">
        <w:rPr>
          <w:lang w:val="en-US"/>
        </w:rPr>
        <w:t xml:space="preserve">ar of the course. </w:t>
      </w:r>
      <w:r w:rsidR="002A128C" w:rsidRPr="004D6229">
        <w:rPr>
          <w:lang w:val="en-US"/>
        </w:rPr>
        <w:t>In the secondary education level (10º, 11º 12º grade),</w:t>
      </w:r>
      <w:r w:rsidR="002A128C" w:rsidRPr="004D6229">
        <w:rPr>
          <w:rFonts w:eastAsia="Arial Unicode MS"/>
          <w:lang w:val="en-US"/>
        </w:rPr>
        <w:t xml:space="preserve"> </w:t>
      </w:r>
      <w:r w:rsidR="002A128C" w:rsidRPr="004D6229">
        <w:rPr>
          <w:lang w:val="en-US"/>
        </w:rPr>
        <w:t>VET courses provide a broad range of training. Their main purpose is to give access to the labor market, but they also allow students to pursue their studies at a higher level.</w:t>
      </w:r>
      <w:r w:rsidR="002A128C" w:rsidRPr="00417ECD">
        <w:rPr>
          <w:color w:val="4F81BD"/>
          <w:lang w:val="en-US"/>
        </w:rPr>
        <w:t xml:space="preserve"> </w:t>
      </w:r>
      <w:r w:rsidR="00431D81">
        <w:rPr>
          <w:lang w:val="en-US"/>
        </w:rPr>
        <w:t xml:space="preserve">In this context,  by work experience we </w:t>
      </w:r>
      <w:r w:rsidR="00CE0652">
        <w:rPr>
          <w:lang w:val="en-US"/>
        </w:rPr>
        <w:t xml:space="preserve">usually </w:t>
      </w:r>
      <w:r w:rsidR="00431D81">
        <w:rPr>
          <w:lang w:val="en-US"/>
        </w:rPr>
        <w:t xml:space="preserve">mean the use of the workplace in a way which supports learners in connecting different types of knowledge, skills and experiences (e.g., </w:t>
      </w:r>
      <w:r w:rsidR="00CE0652">
        <w:rPr>
          <w:lang w:val="en-US"/>
        </w:rPr>
        <w:t xml:space="preserve">Griffiths &amp; Guile, 2004), or, in other words, work experience can be defined as a workplace </w:t>
      </w:r>
      <w:r w:rsidR="00CE0652">
        <w:rPr>
          <w:lang w:val="en-US"/>
        </w:rPr>
        <w:lastRenderedPageBreak/>
        <w:t xml:space="preserve">learning activity in which students experience work tasks in work environments, but </w:t>
      </w:r>
      <w:r w:rsidR="00431D81">
        <w:rPr>
          <w:lang w:val="en-US"/>
        </w:rPr>
        <w:t xml:space="preserve"> </w:t>
      </w:r>
      <w:r w:rsidR="00CE0652">
        <w:rPr>
          <w:lang w:val="en-US"/>
        </w:rPr>
        <w:t xml:space="preserve">without taking on the full identity of a worker (Watts, 1996), under the supervision of a experienced professional. </w:t>
      </w:r>
      <w:r w:rsidR="00431D81">
        <w:rPr>
          <w:lang w:val="en-US"/>
        </w:rPr>
        <w:t>R</w:t>
      </w:r>
      <w:r w:rsidRPr="00DC5B6A">
        <w:rPr>
          <w:lang w:val="en-US"/>
        </w:rPr>
        <w:t>esearch investigating vocational students in high school has revealed the increasing heterogeneity of this group regarding previous school experience, socioeconomic status, motivations underlying course choices, and students’ visions of their educational and vocational futures</w:t>
      </w:r>
      <w:r w:rsidR="003C28DC" w:rsidRPr="00DC5B6A">
        <w:rPr>
          <w:lang w:val="en-US"/>
        </w:rPr>
        <w:t xml:space="preserve"> (</w:t>
      </w:r>
      <w:r w:rsidRPr="00DC5B6A">
        <w:rPr>
          <w:lang w:val="en-US"/>
        </w:rPr>
        <w:t>e.g., Alves, Almeida, Fontoura &amp; Alves, 2</w:t>
      </w:r>
      <w:r w:rsidR="0032376E" w:rsidRPr="00DC5B6A">
        <w:rPr>
          <w:lang w:val="en-US"/>
        </w:rPr>
        <w:t>001</w:t>
      </w:r>
      <w:r w:rsidR="003C28DC" w:rsidRPr="00DC5B6A">
        <w:rPr>
          <w:lang w:val="en-US"/>
        </w:rPr>
        <w:t>).</w:t>
      </w:r>
      <w:r w:rsidRPr="00DC5B6A">
        <w:rPr>
          <w:lang w:val="en-US"/>
        </w:rPr>
        <w:t xml:space="preserve"> </w:t>
      </w:r>
    </w:p>
    <w:p w:rsidR="00F03B07" w:rsidRPr="00E531C2" w:rsidRDefault="007E1118" w:rsidP="00E531C2">
      <w:pPr>
        <w:pStyle w:val="Avanodecorpodetexto"/>
        <w:jc w:val="left"/>
        <w:rPr>
          <w:lang w:val="en-US"/>
        </w:rPr>
      </w:pPr>
      <w:r w:rsidRPr="00DC5B6A">
        <w:rPr>
          <w:lang w:val="en-US"/>
        </w:rPr>
        <w:t xml:space="preserve">To test the hypothesis that diverse characteristics of high school vocational students would exhibit different relationships with </w:t>
      </w:r>
      <w:r w:rsidR="00AC238C" w:rsidRPr="00DC5B6A">
        <w:rPr>
          <w:lang w:val="en-US"/>
        </w:rPr>
        <w:t xml:space="preserve">the </w:t>
      </w:r>
      <w:r w:rsidRPr="00DC5B6A">
        <w:rPr>
          <w:lang w:val="en-US"/>
        </w:rPr>
        <w:t>internship experience, a longitu</w:t>
      </w:r>
      <w:r w:rsidR="009264CD">
        <w:rPr>
          <w:lang w:val="en-US"/>
        </w:rPr>
        <w:t>dinal study identified four</w:t>
      </w:r>
      <w:r w:rsidRPr="00DC5B6A">
        <w:rPr>
          <w:lang w:val="en-US"/>
        </w:rPr>
        <w:t xml:space="preserve"> vocational profiles based on vocational variables at T1 (prior to the internship) and </w:t>
      </w:r>
      <w:r w:rsidRPr="00D46123">
        <w:rPr>
          <w:lang w:val="en-US"/>
        </w:rPr>
        <w:t>then correlated</w:t>
      </w:r>
      <w:r w:rsidRPr="00DC5B6A">
        <w:rPr>
          <w:lang w:val="en-US"/>
        </w:rPr>
        <w:t xml:space="preserve"> these vocational profiles or clusters with the perceived qualit</w:t>
      </w:r>
      <w:r w:rsidR="00172F00">
        <w:rPr>
          <w:lang w:val="en-US"/>
        </w:rPr>
        <w:t>ies of the internship</w:t>
      </w:r>
      <w:r w:rsidRPr="00DC5B6A">
        <w:rPr>
          <w:lang w:val="en-US"/>
        </w:rPr>
        <w:t>, which were expected to moderate the changes in the vocational domain from T1 to T2 (e.g., Aryee &amp; Tan, 1992; Blau, 1985; Borges, 2007; Cheung &amp; Arnold, 2009; Hirschi, 2009; Kenny &amp; Bledsoe, 2005; Rogers, Creed &amp; Glendon, 2008).</w:t>
      </w:r>
      <w:r w:rsidR="00B6056D">
        <w:rPr>
          <w:lang w:val="en-US"/>
        </w:rPr>
        <w:t xml:space="preserve"> In sum, we aim to investigate whether internship qualities exerted the same influence</w:t>
      </w:r>
      <w:r w:rsidR="00D50A7E">
        <w:rPr>
          <w:lang w:val="en-US"/>
        </w:rPr>
        <w:t>, or not,</w:t>
      </w:r>
      <w:r w:rsidR="00B6056D">
        <w:rPr>
          <w:lang w:val="en-US"/>
        </w:rPr>
        <w:t xml:space="preserve"> on students with different career profiles. </w:t>
      </w:r>
    </w:p>
    <w:p w:rsidR="00F03B07" w:rsidRPr="00DC5B6A" w:rsidRDefault="00F03B07" w:rsidP="00BD377B">
      <w:pPr>
        <w:pStyle w:val="Corpodetexto"/>
        <w:ind w:firstLine="708"/>
        <w:jc w:val="center"/>
        <w:rPr>
          <w:b/>
          <w:lang w:val="en-US"/>
        </w:rPr>
      </w:pPr>
    </w:p>
    <w:p w:rsidR="00B23D72" w:rsidRPr="00DC5B6A" w:rsidRDefault="00B23D72" w:rsidP="00BD377B">
      <w:pPr>
        <w:pStyle w:val="Corpodetexto"/>
        <w:ind w:firstLine="708"/>
        <w:jc w:val="center"/>
        <w:rPr>
          <w:b/>
          <w:lang w:val="en-US"/>
        </w:rPr>
      </w:pPr>
      <w:r w:rsidRPr="00DC5B6A">
        <w:rPr>
          <w:b/>
          <w:lang w:val="en-US"/>
        </w:rPr>
        <w:t>Method</w:t>
      </w:r>
    </w:p>
    <w:p w:rsidR="00B23D72" w:rsidRPr="00DC5B6A" w:rsidRDefault="00B23D72" w:rsidP="00BD377B">
      <w:pPr>
        <w:pStyle w:val="Corpodetexto"/>
        <w:jc w:val="left"/>
        <w:rPr>
          <w:b/>
          <w:lang w:val="en-US"/>
        </w:rPr>
      </w:pPr>
      <w:r w:rsidRPr="00DC5B6A">
        <w:rPr>
          <w:b/>
          <w:lang w:val="en-US"/>
        </w:rPr>
        <w:t>Participants</w:t>
      </w:r>
    </w:p>
    <w:p w:rsidR="00F97BEC" w:rsidRPr="00DC5B6A" w:rsidRDefault="009F07B3" w:rsidP="006F4B0D">
      <w:pPr>
        <w:spacing w:line="480" w:lineRule="auto"/>
        <w:ind w:firstLine="708"/>
        <w:rPr>
          <w:lang w:val="en-US"/>
        </w:rPr>
      </w:pPr>
      <w:r w:rsidRPr="00DC5B6A">
        <w:rPr>
          <w:lang w:val="en-US"/>
        </w:rPr>
        <w:t>Participants were 346 twelfth grade students (176 boys, 50.9%; 170 girls, 49.1%), from 16 high vocational education schools in southern Portugal. Ages ranged between 16 to 26 years old, with</w:t>
      </w:r>
      <w:r w:rsidR="00E550A4" w:rsidRPr="00DC5B6A">
        <w:rPr>
          <w:lang w:val="en-US"/>
        </w:rPr>
        <w:t xml:space="preserve"> a mean of 18.41 (</w:t>
      </w:r>
      <w:r w:rsidR="00E550A4" w:rsidRPr="00DC5B6A">
        <w:rPr>
          <w:i/>
          <w:lang w:val="en-US"/>
        </w:rPr>
        <w:t>SD</w:t>
      </w:r>
      <w:r w:rsidR="002A128C">
        <w:rPr>
          <w:lang w:val="en-US"/>
        </w:rPr>
        <w:t xml:space="preserve"> = 1.573),</w:t>
      </w:r>
      <w:r w:rsidR="00E550A4" w:rsidRPr="00DC5B6A">
        <w:rPr>
          <w:lang w:val="en-US"/>
        </w:rPr>
        <w:t xml:space="preserve"> </w:t>
      </w:r>
      <w:r w:rsidR="002A128C" w:rsidRPr="002A128C">
        <w:rPr>
          <w:lang w:val="en-US"/>
        </w:rPr>
        <w:t xml:space="preserve">at the first time of measurement (T1). Regarding the socioeconomic status (SES), approximately half of the sample was coded as low SES (48.5%), 45.4% as medium SES, and only 6.1% of the students were coded as high SES. </w:t>
      </w:r>
      <w:r w:rsidRPr="002A128C">
        <w:rPr>
          <w:lang w:val="en-US"/>
        </w:rPr>
        <w:t>All partic</w:t>
      </w:r>
      <w:r w:rsidRPr="00DC5B6A">
        <w:rPr>
          <w:lang w:val="en-US"/>
        </w:rPr>
        <w:t>ipants did their curricular internship during the academic year of 2007/2008</w:t>
      </w:r>
      <w:r w:rsidR="001066C1">
        <w:rPr>
          <w:lang w:val="en-US"/>
        </w:rPr>
        <w:t xml:space="preserve"> </w:t>
      </w:r>
      <w:r w:rsidR="001066C1">
        <w:rPr>
          <w:lang w:val="en-US"/>
        </w:rPr>
        <w:lastRenderedPageBreak/>
        <w:t>(second semester)</w:t>
      </w:r>
      <w:r w:rsidRPr="00DC5B6A">
        <w:rPr>
          <w:lang w:val="en-US"/>
        </w:rPr>
        <w:t>. The students averaged about</w:t>
      </w:r>
      <w:r w:rsidR="00261BC9" w:rsidRPr="00DC5B6A">
        <w:rPr>
          <w:lang w:val="en-US"/>
        </w:rPr>
        <w:t xml:space="preserve"> </w:t>
      </w:r>
      <w:r w:rsidRPr="00DC5B6A">
        <w:rPr>
          <w:lang w:val="en-US"/>
        </w:rPr>
        <w:t>221 hours</w:t>
      </w:r>
      <w:r w:rsidR="000F4C5D">
        <w:rPr>
          <w:lang w:val="en-US"/>
        </w:rPr>
        <w:t xml:space="preserve"> (fourteen weeks)</w:t>
      </w:r>
      <w:r w:rsidRPr="00DC5B6A">
        <w:rPr>
          <w:lang w:val="en-US"/>
        </w:rPr>
        <w:t xml:space="preserve"> of placement in their internships (ranging between 185 to 310 hours).</w:t>
      </w:r>
    </w:p>
    <w:p w:rsidR="006F4B0D" w:rsidRPr="00DC5B6A" w:rsidRDefault="006F4B0D" w:rsidP="006F4B0D">
      <w:pPr>
        <w:spacing w:line="480" w:lineRule="auto"/>
        <w:ind w:firstLine="708"/>
        <w:rPr>
          <w:lang w:val="en-US"/>
        </w:rPr>
      </w:pPr>
    </w:p>
    <w:p w:rsidR="00B23D72" w:rsidRPr="00DC5B6A" w:rsidRDefault="00F97BEC" w:rsidP="00BD377B">
      <w:pPr>
        <w:pStyle w:val="Corpodetexto"/>
        <w:jc w:val="left"/>
        <w:rPr>
          <w:b/>
          <w:lang w:val="en-US"/>
        </w:rPr>
      </w:pPr>
      <w:r w:rsidRPr="00DC5B6A">
        <w:rPr>
          <w:b/>
          <w:lang w:val="en-US"/>
        </w:rPr>
        <w:t>Materials and Procedure</w:t>
      </w:r>
    </w:p>
    <w:p w:rsidR="008B7084" w:rsidRPr="00DC5B6A" w:rsidRDefault="008B7084" w:rsidP="00BD377B">
      <w:pPr>
        <w:pStyle w:val="Avanodecorpodetexto"/>
        <w:jc w:val="left"/>
        <w:rPr>
          <w:bCs/>
          <w:lang w:val="en-US"/>
        </w:rPr>
      </w:pPr>
      <w:r w:rsidRPr="00DC5B6A">
        <w:rPr>
          <w:bCs/>
          <w:lang w:val="en-US"/>
        </w:rPr>
        <w:t xml:space="preserve">A </w:t>
      </w:r>
      <w:r w:rsidRPr="00DC5B6A">
        <w:rPr>
          <w:b/>
          <w:bCs/>
          <w:lang w:val="en-US"/>
        </w:rPr>
        <w:t xml:space="preserve">Demographic Questionnaire </w:t>
      </w:r>
      <w:r w:rsidRPr="00DC5B6A">
        <w:rPr>
          <w:bCs/>
          <w:lang w:val="en-US"/>
        </w:rPr>
        <w:t>was used to collect information regarding students’ g</w:t>
      </w:r>
      <w:r w:rsidR="00621C7B" w:rsidRPr="00DC5B6A">
        <w:rPr>
          <w:bCs/>
          <w:lang w:val="en-US"/>
        </w:rPr>
        <w:t>ender, ag</w:t>
      </w:r>
      <w:r w:rsidR="00621C7B" w:rsidRPr="00731E1E">
        <w:rPr>
          <w:bCs/>
          <w:lang w:val="en-US"/>
        </w:rPr>
        <w:t>e, socioeconomic status (SES</w:t>
      </w:r>
      <w:r w:rsidR="00F97053" w:rsidRPr="00731E1E">
        <w:rPr>
          <w:bCs/>
          <w:lang w:val="en-US"/>
        </w:rPr>
        <w:t>)</w:t>
      </w:r>
      <w:r w:rsidR="003C28DC" w:rsidRPr="00731E1E">
        <w:rPr>
          <w:bCs/>
          <w:lang w:val="en-US"/>
        </w:rPr>
        <w:t xml:space="preserve"> and internship duration. </w:t>
      </w:r>
      <w:r w:rsidR="00467C3D" w:rsidRPr="00731E1E">
        <w:rPr>
          <w:lang w:val="en-US"/>
        </w:rPr>
        <w:t>Socioeconomic status (SES) was determined by the professional qualifications (ranging from 1 - unskilled to 9 – high skilled workers, according to the Portuguese National Classification of Occupations) and the educational level (ranging from 1 - basic education to  7 - university degree) of the parents. The scores for father and mother were taken as indicators of the family socioeconomic status (3 levels).</w:t>
      </w:r>
    </w:p>
    <w:p w:rsidR="00F245B9" w:rsidRPr="00731E1E" w:rsidRDefault="008B7084" w:rsidP="00F245B9">
      <w:pPr>
        <w:spacing w:line="480" w:lineRule="auto"/>
        <w:ind w:firstLine="283"/>
        <w:jc w:val="both"/>
        <w:rPr>
          <w:lang w:val="en-US"/>
        </w:rPr>
      </w:pPr>
      <w:r w:rsidRPr="00DC5B6A">
        <w:rPr>
          <w:b/>
          <w:bCs/>
          <w:lang w:val="en-GB"/>
        </w:rPr>
        <w:t xml:space="preserve">Career exploration – </w:t>
      </w:r>
      <w:r w:rsidRPr="00DC5B6A">
        <w:rPr>
          <w:bCs/>
          <w:lang w:val="en-GB"/>
        </w:rPr>
        <w:t>Students career exploration was assessed using the Portuguese version (Taveira, 1997) of</w:t>
      </w:r>
      <w:r w:rsidRPr="00DC5B6A">
        <w:rPr>
          <w:lang w:val="en-GB"/>
        </w:rPr>
        <w:t xml:space="preserve"> </w:t>
      </w:r>
      <w:r w:rsidR="00DA5C06" w:rsidRPr="00DC5B6A">
        <w:rPr>
          <w:lang w:val="en-GB"/>
        </w:rPr>
        <w:t xml:space="preserve">the </w:t>
      </w:r>
      <w:r w:rsidRPr="00DC5B6A">
        <w:rPr>
          <w:bCs/>
          <w:lang w:val="en-GB"/>
        </w:rPr>
        <w:t>Career Exploration Survey</w:t>
      </w:r>
      <w:r w:rsidRPr="00DC5B6A">
        <w:rPr>
          <w:lang w:val="en-GB"/>
        </w:rPr>
        <w:t xml:space="preserve"> (CES; Stumpf, Colarelli &amp; Hartman, 1983). The CES is a multidimensional</w:t>
      </w:r>
      <w:r w:rsidR="00731E1E">
        <w:rPr>
          <w:lang w:val="en-GB"/>
        </w:rPr>
        <w:t xml:space="preserve"> self-administered scale with 54</w:t>
      </w:r>
      <w:r w:rsidRPr="00DC5B6A">
        <w:rPr>
          <w:lang w:val="en-GB"/>
        </w:rPr>
        <w:t xml:space="preserve"> items using a </w:t>
      </w:r>
      <w:r w:rsidRPr="00DC5B6A">
        <w:rPr>
          <w:iCs/>
          <w:lang w:val="en-GB"/>
        </w:rPr>
        <w:t>Likert-type</w:t>
      </w:r>
      <w:r w:rsidRPr="00DC5B6A">
        <w:rPr>
          <w:lang w:val="en-GB"/>
        </w:rPr>
        <w:t xml:space="preserve"> response format, designed to assess five beliefs about exploration - Employment Outlook (α = 0.84), Certainty of Exploration Outcomes (α = 0.89), External Instrumentality (α = 0.85), Internal Instrumentality (α = 0.73), and Importance of Preferred Position (α = 0.68); four dimensions of the career exploration process - Self Exploration (α = 0.70), Environment Exploration (α = 0.76), Intended-systematic Exploration (α = 0.62), and Amount of Information (α = 0.68); and three reactions to vocational exploration - Satisfaction with Information (α = 0.81), Exploration Stress (α = 0.78) and Decisional Stress (α = 0.91)</w:t>
      </w:r>
      <w:r w:rsidRPr="00DC5B6A">
        <w:rPr>
          <w:lang w:val="en-US"/>
        </w:rPr>
        <w:t xml:space="preserve">. </w:t>
      </w:r>
      <w:r w:rsidR="00430574">
        <w:rPr>
          <w:lang w:val="en-US"/>
        </w:rPr>
        <w:t>In all subscales, higher scores indicate a higher degree of exploratory behavior/beliefs/reactions.</w:t>
      </w:r>
      <w:r w:rsidR="00430574" w:rsidRPr="003E4B83">
        <w:rPr>
          <w:lang w:val="en-US"/>
        </w:rPr>
        <w:t xml:space="preserve"> </w:t>
      </w:r>
      <w:r w:rsidR="00F245B9" w:rsidRPr="003E4B83">
        <w:rPr>
          <w:lang w:val="en-US"/>
        </w:rPr>
        <w:t xml:space="preserve">The validity, reliability and multidimensionality of the CES have been widely demonstrated </w:t>
      </w:r>
      <w:r w:rsidR="00F245B9" w:rsidRPr="00061A81">
        <w:rPr>
          <w:lang w:val="en-US"/>
        </w:rPr>
        <w:t xml:space="preserve">(e.g., </w:t>
      </w:r>
      <w:r w:rsidR="00F245B9" w:rsidRPr="00CA66A5">
        <w:rPr>
          <w:lang w:val="en-US"/>
        </w:rPr>
        <w:t>Bartley &amp; Robitschek, 2000</w:t>
      </w:r>
      <w:r w:rsidR="00F245B9" w:rsidRPr="00564EA2">
        <w:rPr>
          <w:lang w:val="en-US"/>
        </w:rPr>
        <w:t>; Rowold &amp; Staufenbiel, 2010;</w:t>
      </w:r>
      <w:r w:rsidR="00F245B9">
        <w:rPr>
          <w:lang w:val="en-US"/>
        </w:rPr>
        <w:t xml:space="preserve"> </w:t>
      </w:r>
      <w:r w:rsidR="00F245B9" w:rsidRPr="00061A81">
        <w:rPr>
          <w:lang w:val="en-US"/>
        </w:rPr>
        <w:t>Stumpf</w:t>
      </w:r>
      <w:r w:rsidR="00F245B9" w:rsidRPr="003E4B83">
        <w:rPr>
          <w:lang w:val="en-US"/>
        </w:rPr>
        <w:t>, et al., 1983)</w:t>
      </w:r>
      <w:r w:rsidR="00F245B9">
        <w:rPr>
          <w:lang w:val="en-US"/>
        </w:rPr>
        <w:t xml:space="preserve">. </w:t>
      </w:r>
      <w:r w:rsidR="00F245B9" w:rsidRPr="00731E1E">
        <w:rPr>
          <w:lang w:val="en-US"/>
        </w:rPr>
        <w:t xml:space="preserve">Regarding the Portuguese version, confirmatory factor analysis (CFA), </w:t>
      </w:r>
      <w:r w:rsidR="00F245B9" w:rsidRPr="00731E1E">
        <w:rPr>
          <w:lang w:val="en-US"/>
        </w:rPr>
        <w:lastRenderedPageBreak/>
        <w:t>conducted by Taveira (1997), with a sample of 9º and 12º grade students, supported a 12 first-order factor structure of the CES.</w:t>
      </w:r>
    </w:p>
    <w:p w:rsidR="008B7084" w:rsidRPr="00DC5B6A" w:rsidRDefault="008B7084" w:rsidP="00BD377B">
      <w:pPr>
        <w:spacing w:line="480" w:lineRule="auto"/>
        <w:ind w:firstLine="708"/>
        <w:rPr>
          <w:lang w:val="en-US"/>
        </w:rPr>
      </w:pPr>
      <w:r w:rsidRPr="00DC5B6A">
        <w:rPr>
          <w:b/>
          <w:bCs/>
          <w:lang w:val="en-US"/>
        </w:rPr>
        <w:t xml:space="preserve">Career Decision Making – </w:t>
      </w:r>
      <w:r w:rsidRPr="00DC5B6A">
        <w:rPr>
          <w:bCs/>
          <w:lang w:val="en-US"/>
        </w:rPr>
        <w:t xml:space="preserve">it was used the Portuguese version (Silva, 1997) of </w:t>
      </w:r>
      <w:r w:rsidRPr="00DC5B6A">
        <w:rPr>
          <w:bCs/>
          <w:iCs/>
          <w:lang w:val="en-US"/>
        </w:rPr>
        <w:t>Career Decision Scale</w:t>
      </w:r>
      <w:r w:rsidRPr="00DC5B6A">
        <w:rPr>
          <w:bCs/>
          <w:lang w:val="en-US"/>
        </w:rPr>
        <w:t xml:space="preserve"> (CDS – Osipow,</w:t>
      </w:r>
      <w:r w:rsidRPr="00DC5B6A">
        <w:rPr>
          <w:lang w:val="en-US"/>
        </w:rPr>
        <w:t xml:space="preserve"> Carney, Winer, Yanico &amp; Koschier</w:t>
      </w:r>
      <w:r w:rsidRPr="00DC5B6A">
        <w:rPr>
          <w:bCs/>
          <w:lang w:val="en-US"/>
        </w:rPr>
        <w:t>, 1976) to measure career related decision-making.</w:t>
      </w:r>
      <w:r w:rsidRPr="00DC5B6A">
        <w:rPr>
          <w:b/>
          <w:bCs/>
          <w:lang w:val="en-US"/>
        </w:rPr>
        <w:t xml:space="preserve"> </w:t>
      </w:r>
      <w:r w:rsidRPr="00DC5B6A">
        <w:rPr>
          <w:bCs/>
          <w:lang w:val="en-US"/>
        </w:rPr>
        <w:t xml:space="preserve">The first two items (Career Certainty Subscale) indicate the degree of </w:t>
      </w:r>
      <w:r w:rsidRPr="00DC5B6A">
        <w:rPr>
          <w:lang w:val="en-US"/>
        </w:rPr>
        <w:t xml:space="preserve">certainty felt in having made a </w:t>
      </w:r>
      <w:r w:rsidRPr="00DC5B6A">
        <w:rPr>
          <w:noProof/>
          <w:bdr w:val="none" w:sz="0" w:space="0" w:color="auto" w:frame="1"/>
          <w:lang w:val="en-US"/>
        </w:rPr>
        <w:t xml:space="preserve">career decision. Items 3 to 18 (Career Indecision Subscale) assesses the extent and nature of career indecision. In both subscales, responses are recorded on a 4 -1 Likert-type scale, with 4 indicating high similarity of the student to the item and 1 indicating low similarity. </w:t>
      </w:r>
      <w:r w:rsidRPr="00DC5B6A">
        <w:rPr>
          <w:lang w:val="en-US"/>
        </w:rPr>
        <w:t>Higher scores indicate more certai</w:t>
      </w:r>
      <w:r w:rsidR="0022074E" w:rsidRPr="00DC5B6A">
        <w:rPr>
          <w:lang w:val="en-US"/>
        </w:rPr>
        <w:t>nty and indecision respectively</w:t>
      </w:r>
      <w:r w:rsidRPr="00DC5B6A">
        <w:rPr>
          <w:lang w:val="en-US"/>
        </w:rPr>
        <w:t>. Extensive research on the CDS has established strong evidence in support of its good psychometric properties (e</w:t>
      </w:r>
      <w:r w:rsidR="000807FD">
        <w:rPr>
          <w:lang w:val="en-US"/>
        </w:rPr>
        <w:t xml:space="preserve">.g., </w:t>
      </w:r>
      <w:r w:rsidRPr="00DC5B6A">
        <w:rPr>
          <w:lang w:val="en-US"/>
        </w:rPr>
        <w:t>O</w:t>
      </w:r>
      <w:r w:rsidR="0032376E" w:rsidRPr="00DC5B6A">
        <w:rPr>
          <w:lang w:val="en-US"/>
        </w:rPr>
        <w:t>sipow et al., 1976</w:t>
      </w:r>
      <w:r w:rsidRPr="00DC5B6A">
        <w:rPr>
          <w:lang w:val="en-US"/>
        </w:rPr>
        <w:t>; Osipow &amp; Winer, 1996, Silva, 1997</w:t>
      </w:r>
      <w:r w:rsidR="0022074E" w:rsidRPr="00DC5B6A">
        <w:rPr>
          <w:lang w:val="en-US"/>
        </w:rPr>
        <w:t>)</w:t>
      </w:r>
      <w:r w:rsidRPr="00DC5B6A">
        <w:rPr>
          <w:lang w:val="en-US"/>
        </w:rPr>
        <w:t xml:space="preserve">. Internal reliability coefficients in our study were  .77 for certainty and .88 for indecision. </w:t>
      </w:r>
    </w:p>
    <w:p w:rsidR="009F07B3" w:rsidRPr="00DC5B6A" w:rsidRDefault="008B7084" w:rsidP="00BD377B">
      <w:pPr>
        <w:shd w:val="clear" w:color="auto" w:fill="FFFFFF"/>
        <w:spacing w:after="100" w:afterAutospacing="1" w:line="480" w:lineRule="auto"/>
        <w:ind w:firstLine="708"/>
        <w:rPr>
          <w:lang w:val="en-US"/>
        </w:rPr>
      </w:pPr>
      <w:r w:rsidRPr="00DC5B6A">
        <w:rPr>
          <w:b/>
          <w:bCs/>
          <w:lang w:val="en-US"/>
        </w:rPr>
        <w:t xml:space="preserve">Career Commitment – </w:t>
      </w:r>
      <w:r w:rsidRPr="00DC5B6A">
        <w:rPr>
          <w:bCs/>
          <w:lang w:val="en-US"/>
        </w:rPr>
        <w:t xml:space="preserve">student’s career commitment was assessed using the Portuguese version (Silva, 1997) of the </w:t>
      </w:r>
      <w:r w:rsidRPr="00DC5B6A">
        <w:rPr>
          <w:bCs/>
          <w:iCs/>
          <w:lang w:val="en-US"/>
        </w:rPr>
        <w:t>Commitment to Career Choices Scale</w:t>
      </w:r>
      <w:r w:rsidRPr="00DC5B6A">
        <w:rPr>
          <w:bCs/>
          <w:lang w:val="en-US"/>
        </w:rPr>
        <w:t xml:space="preserve"> (CCCS – Blustein, Ellis &amp; Devenis, 1989).</w:t>
      </w:r>
      <w:r w:rsidRPr="00DC5B6A">
        <w:rPr>
          <w:lang w:val="en-US"/>
        </w:rPr>
        <w:t xml:space="preserve"> </w:t>
      </w:r>
      <w:r w:rsidR="000F461D" w:rsidRPr="00DC5B6A">
        <w:rPr>
          <w:lang w:val="en-US"/>
        </w:rPr>
        <w:t>The two subscales of the</w:t>
      </w:r>
      <w:r w:rsidRPr="00DC5B6A">
        <w:rPr>
          <w:lang w:val="en-US"/>
        </w:rPr>
        <w:t xml:space="preserve"> CCCS </w:t>
      </w:r>
      <w:hyperlink r:id="rId8" w:anchor="bbib6" w:history="1">
        <w:r w:rsidRPr="00DC5B6A">
          <w:rPr>
            <w:vanish/>
            <w:lang w:val="en-US"/>
          </w:rPr>
          <w:t>Blustein et al., 1989</w:t>
        </w:r>
      </w:hyperlink>
      <w:r w:rsidRPr="00DC5B6A">
        <w:rPr>
          <w:vanish/>
          <w:lang w:val="en-US"/>
        </w:rPr>
        <w:t xml:space="preserve"> D.L. Blustein, M. Ellis and L. Devenis, The development and validation of a two-dimensional model of the commitment to </w:t>
      </w:r>
      <w:r w:rsidR="00A63147">
        <w:rPr>
          <w:noProof/>
          <w:vanish/>
          <w:bdr w:val="none" w:sz="0" w:space="0" w:color="auto" w:frame="1"/>
          <w:shd w:val="clear" w:color="auto" w:fill="EEEEEE"/>
        </w:rPr>
        <w:drawing>
          <wp:inline distT="0" distB="0" distL="0" distR="0">
            <wp:extent cx="43815" cy="73025"/>
            <wp:effectExtent l="19050" t="0" r="0" b="0"/>
            <wp:docPr id="1" name="Imagem 1" descr="previous ter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revious term"/>
                    <pic:cNvPicPr>
                      <a:picLocks noChangeAspect="1" noChangeArrowheads="1"/>
                    </pic:cNvPicPr>
                  </pic:nvPicPr>
                  <pic:blipFill>
                    <a:blip r:embed="rId10" cstate="print"/>
                    <a:srcRect/>
                    <a:stretch>
                      <a:fillRect/>
                    </a:stretch>
                  </pic:blipFill>
                  <pic:spPr bwMode="auto">
                    <a:xfrm>
                      <a:off x="0" y="0"/>
                      <a:ext cx="43815" cy="73025"/>
                    </a:xfrm>
                    <a:prstGeom prst="rect">
                      <a:avLst/>
                    </a:prstGeom>
                    <a:noFill/>
                    <a:ln w="9525">
                      <a:noFill/>
                      <a:miter lim="800000"/>
                      <a:headEnd/>
                      <a:tailEnd/>
                    </a:ln>
                  </pic:spPr>
                </pic:pic>
              </a:graphicData>
            </a:graphic>
          </wp:inline>
        </w:drawing>
      </w:r>
      <w:r w:rsidRPr="00DC5B6A">
        <w:rPr>
          <w:vanish/>
          <w:lang w:val="en-US"/>
        </w:rPr>
        <w:t>career</w:t>
      </w:r>
      <w:r w:rsidR="00A63147">
        <w:rPr>
          <w:noProof/>
          <w:vanish/>
          <w:bdr w:val="none" w:sz="0" w:space="0" w:color="auto" w:frame="1"/>
          <w:shd w:val="clear" w:color="auto" w:fill="EEEEEE"/>
        </w:rPr>
        <w:drawing>
          <wp:inline distT="0" distB="0" distL="0" distR="0">
            <wp:extent cx="43815" cy="73025"/>
            <wp:effectExtent l="19050" t="0" r="0" b="0"/>
            <wp:docPr id="2" name="Imagem 2" descr="next ter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next term"/>
                    <pic:cNvPicPr>
                      <a:picLocks noChangeAspect="1" noChangeArrowheads="1"/>
                    </pic:cNvPicPr>
                  </pic:nvPicPr>
                  <pic:blipFill>
                    <a:blip r:embed="rId12" cstate="print"/>
                    <a:srcRect/>
                    <a:stretch>
                      <a:fillRect/>
                    </a:stretch>
                  </pic:blipFill>
                  <pic:spPr bwMode="auto">
                    <a:xfrm>
                      <a:off x="0" y="0"/>
                      <a:ext cx="43815" cy="73025"/>
                    </a:xfrm>
                    <a:prstGeom prst="rect">
                      <a:avLst/>
                    </a:prstGeom>
                    <a:noFill/>
                    <a:ln w="9525">
                      <a:noFill/>
                      <a:miter lim="800000"/>
                      <a:headEnd/>
                      <a:tailEnd/>
                    </a:ln>
                  </pic:spPr>
                </pic:pic>
              </a:graphicData>
            </a:graphic>
          </wp:inline>
        </w:drawing>
      </w:r>
      <w:r w:rsidRPr="00DC5B6A">
        <w:rPr>
          <w:vanish/>
          <w:lang w:val="en-US"/>
        </w:rPr>
        <w:t xml:space="preserve"> choice process [Monograph]. </w:t>
      </w:r>
      <w:r w:rsidRPr="00DC5B6A">
        <w:rPr>
          <w:i/>
          <w:iCs/>
          <w:vanish/>
          <w:lang w:val="en-US"/>
        </w:rPr>
        <w:t>Journal of Vocational Behavior</w:t>
      </w:r>
      <w:r w:rsidRPr="00DC5B6A">
        <w:rPr>
          <w:vanish/>
          <w:lang w:val="en-US"/>
        </w:rPr>
        <w:t xml:space="preserve">, </w:t>
      </w:r>
      <w:r w:rsidRPr="00DC5B6A">
        <w:rPr>
          <w:b/>
          <w:bCs/>
          <w:vanish/>
          <w:lang w:val="en-US"/>
        </w:rPr>
        <w:t> 35 </w:t>
      </w:r>
      <w:r w:rsidRPr="00DC5B6A">
        <w:rPr>
          <w:vanish/>
          <w:lang w:val="en-US"/>
        </w:rPr>
        <w:t xml:space="preserve"> (1989), pp. 342–378. </w:t>
      </w:r>
      <w:hyperlink r:id="rId13" w:history="1">
        <w:r w:rsidRPr="00DC5B6A">
          <w:rPr>
            <w:b/>
            <w:bCs/>
            <w:vanish/>
            <w:lang w:val="en-US"/>
          </w:rPr>
          <w:t>Article</w:t>
        </w:r>
      </w:hyperlink>
      <w:r w:rsidRPr="00DC5B6A">
        <w:rPr>
          <w:vanish/>
          <w:lang w:val="en-US"/>
        </w:rPr>
        <w:t xml:space="preserve"> | </w:t>
      </w:r>
      <w:hyperlink r:id="rId14" w:history="1">
        <w:r w:rsidR="00A63147">
          <w:rPr>
            <w:noProof/>
            <w:vanish/>
            <w:bdr w:val="none" w:sz="0" w:space="0" w:color="auto" w:frame="1"/>
            <w:shd w:val="clear" w:color="auto" w:fill="EEEEEE"/>
          </w:rPr>
          <w:drawing>
            <wp:inline distT="0" distB="0" distL="0" distR="0">
              <wp:extent cx="182880" cy="182880"/>
              <wp:effectExtent l="19050" t="0" r="7620" b="0"/>
              <wp:docPr id="3" name="Imagem 3" descr="http://www.sciencedirect.com/scidirimg/icon_pdf.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www.sciencedirect.com/scidirimg/icon_pdf.gif"/>
                      <pic:cNvPicPr>
                        <a:picLocks noChangeAspect="1" noChangeArrowheads="1"/>
                      </pic:cNvPicPr>
                    </pic:nvPicPr>
                    <pic:blipFill>
                      <a:blip r:embed="rId15"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DC5B6A">
          <w:rPr>
            <w:vanish/>
            <w:lang w:val="en-US"/>
          </w:rPr>
          <w:t>PDF (2620 K)</w:t>
        </w:r>
      </w:hyperlink>
      <w:r w:rsidRPr="00DC5B6A">
        <w:rPr>
          <w:vanish/>
          <w:lang w:val="en-US"/>
        </w:rPr>
        <w:t xml:space="preserve"> | | </w:t>
      </w:r>
      <w:hyperlink r:id="rId16" w:tgtFrame="outwardLink" w:history="1">
        <w:r w:rsidRPr="00DC5B6A">
          <w:rPr>
            <w:vanish/>
            <w:lang w:val="en-US"/>
          </w:rPr>
          <w:t>View Record in Scopus</w:t>
        </w:r>
      </w:hyperlink>
      <w:r w:rsidRPr="00DC5B6A">
        <w:rPr>
          <w:vanish/>
          <w:lang w:val="en-US"/>
        </w:rPr>
        <w:t xml:space="preserve"> |</w:t>
      </w:r>
      <w:r w:rsidR="001B25C6" w:rsidRPr="00DC5B6A">
        <w:rPr>
          <w:lang w:val="en-US"/>
        </w:rPr>
        <w:t>operationalize</w:t>
      </w:r>
      <w:r w:rsidRPr="00DC5B6A">
        <w:rPr>
          <w:lang w:val="en-US"/>
        </w:rPr>
        <w:t xml:space="preserve"> </w:t>
      </w:r>
      <w:r w:rsidRPr="00DC5B6A">
        <w:rPr>
          <w:bCs/>
          <w:lang w:val="en-US"/>
        </w:rPr>
        <w:t>the two-dimensional model of the commitment to</w:t>
      </w:r>
      <w:r w:rsidR="00AD595E" w:rsidRPr="00DC5B6A">
        <w:rPr>
          <w:bCs/>
          <w:lang w:val="en-US"/>
        </w:rPr>
        <w:t xml:space="preserve"> career choices process</w:t>
      </w:r>
      <w:r w:rsidRPr="00DC5B6A">
        <w:rPr>
          <w:bCs/>
          <w:lang w:val="en-US"/>
        </w:rPr>
        <w:t xml:space="preserve"> developed by Blustein and colleagues (1989)</w:t>
      </w:r>
      <w:r w:rsidRPr="00DC5B6A">
        <w:rPr>
          <w:lang w:val="en-US"/>
        </w:rPr>
        <w:t>. The 19-item Vocational Exploration and Commitment subscale (VECS) measures progress in attaining career commitment, while the 9-item Tendency to Foreclose subscale (TTFS) assesses openness to</w:t>
      </w:r>
      <w:r w:rsidRPr="00DC5B6A">
        <w:rPr>
          <w:noProof/>
          <w:bdr w:val="none" w:sz="0" w:space="0" w:color="auto" w:frame="1"/>
          <w:lang w:val="en-US"/>
        </w:rPr>
        <w:t xml:space="preserve"> career </w:t>
      </w:r>
      <w:r w:rsidRPr="00DC5B6A">
        <w:rPr>
          <w:lang w:val="en-US"/>
        </w:rPr>
        <w:t xml:space="preserve">commitment experiences. Participants indicated their agreement with each item on the VECS and TTFS using a 7-point Likert-type scale ranging from </w:t>
      </w:r>
      <w:r w:rsidRPr="00DC5B6A">
        <w:rPr>
          <w:i/>
          <w:iCs/>
          <w:lang w:val="en-US"/>
        </w:rPr>
        <w:t>Never True About Me</w:t>
      </w:r>
      <w:r w:rsidRPr="00DC5B6A">
        <w:rPr>
          <w:lang w:val="en-US"/>
        </w:rPr>
        <w:t xml:space="preserve"> (1) to </w:t>
      </w:r>
      <w:r w:rsidRPr="00DC5B6A">
        <w:rPr>
          <w:i/>
          <w:iCs/>
          <w:lang w:val="en-US"/>
        </w:rPr>
        <w:t xml:space="preserve">Always True </w:t>
      </w:r>
      <w:r w:rsidRPr="00DC5B6A">
        <w:rPr>
          <w:i/>
          <w:iCs/>
          <w:lang w:val="en-US"/>
        </w:rPr>
        <w:lastRenderedPageBreak/>
        <w:t>About Me</w:t>
      </w:r>
      <w:r w:rsidRPr="00DC5B6A">
        <w:rPr>
          <w:lang w:val="en-US"/>
        </w:rPr>
        <w:t xml:space="preserve"> (7). Low scores on the VECS represent high commitment to a career goal, whereas high scores on the TTFS indicate a strong tendency to foreclose. In this study, Cronbach’s alphas were .87 and .73 for the VECS and TTFS, respectively.</w:t>
      </w:r>
    </w:p>
    <w:p w:rsidR="008B7084" w:rsidRPr="00DC5B6A" w:rsidRDefault="008B7084" w:rsidP="00BD377B">
      <w:pPr>
        <w:shd w:val="clear" w:color="auto" w:fill="FFFFFF"/>
        <w:spacing w:after="100" w:afterAutospacing="1" w:line="480" w:lineRule="auto"/>
        <w:ind w:firstLine="708"/>
        <w:rPr>
          <w:lang w:val="en-US"/>
        </w:rPr>
      </w:pPr>
      <w:r w:rsidRPr="00DC5B6A">
        <w:rPr>
          <w:b/>
          <w:bCs/>
          <w:lang w:val="en-US"/>
        </w:rPr>
        <w:t>Career Decision-Making Self-efficacy</w:t>
      </w:r>
      <w:r w:rsidRPr="00DC5B6A">
        <w:rPr>
          <w:bCs/>
          <w:lang w:val="en-US"/>
        </w:rPr>
        <w:t xml:space="preserve"> - the Portuguese version (Silva &amp; Paixão, 2005) of the</w:t>
      </w:r>
      <w:r w:rsidRPr="00DC5B6A">
        <w:rPr>
          <w:b/>
          <w:bCs/>
          <w:lang w:val="en-US"/>
        </w:rPr>
        <w:t xml:space="preserve"> </w:t>
      </w:r>
      <w:r w:rsidRPr="00DC5B6A">
        <w:rPr>
          <w:bCs/>
          <w:lang w:val="en-GB"/>
        </w:rPr>
        <w:t xml:space="preserve">Career Decision-Making Self-Efficacy Scale-Short Form (CDMSE-SF – Betz, Klein &amp; Taylor, 1996) was used to measure self-efficacy regarding the decision-making tasks. </w:t>
      </w:r>
      <w:r w:rsidRPr="00DC5B6A">
        <w:rPr>
          <w:lang w:val="en-US"/>
        </w:rPr>
        <w:t xml:space="preserve">Participants were asked to rate their level of confidence in completing the given tasks, on a 5-point Likert-type </w:t>
      </w:r>
      <w:r w:rsidRPr="00DC5B6A">
        <w:rPr>
          <w:noProof/>
          <w:bdr w:val="none" w:sz="0" w:space="0" w:color="auto" w:frame="1"/>
          <w:lang w:val="en-US"/>
        </w:rPr>
        <w:t xml:space="preserve">scale </w:t>
      </w:r>
      <w:r w:rsidRPr="00DC5B6A">
        <w:rPr>
          <w:lang w:val="en-US"/>
        </w:rPr>
        <w:t>ranging from “</w:t>
      </w:r>
      <w:r w:rsidRPr="00DC5B6A">
        <w:rPr>
          <w:i/>
          <w:iCs/>
          <w:lang w:val="en-US"/>
        </w:rPr>
        <w:t>No confidence at all</w:t>
      </w:r>
      <w:r w:rsidRPr="00DC5B6A">
        <w:rPr>
          <w:lang w:val="en-US"/>
        </w:rPr>
        <w:t>” to “</w:t>
      </w:r>
      <w:r w:rsidRPr="00DC5B6A">
        <w:rPr>
          <w:i/>
          <w:iCs/>
          <w:lang w:val="en-US"/>
        </w:rPr>
        <w:t>Complete confidence”</w:t>
      </w:r>
      <w:r w:rsidRPr="00DC5B6A">
        <w:rPr>
          <w:lang w:val="en-US"/>
        </w:rPr>
        <w:t>.</w:t>
      </w:r>
      <w:r w:rsidRPr="00DC5B6A">
        <w:rPr>
          <w:b/>
          <w:bCs/>
          <w:lang w:val="en-US"/>
        </w:rPr>
        <w:t xml:space="preserve"> </w:t>
      </w:r>
      <w:r w:rsidRPr="00DC5B6A">
        <w:rPr>
          <w:lang w:val="en-US"/>
        </w:rPr>
        <w:t>The 25 items comprise five subscales (accurate self-appraisal, gathering occupational information, goal selection, making plans for the future, and problem solving) of five items each, along with a total score. Higher scores indicate higher levels of self-efficacy. There is considerable evidence of reliability and validity of this scale (</w:t>
      </w:r>
      <w:r w:rsidR="00731E1E">
        <w:rPr>
          <w:lang w:val="en-US"/>
        </w:rPr>
        <w:t xml:space="preserve">e.g., </w:t>
      </w:r>
      <w:r w:rsidRPr="00DC5B6A">
        <w:rPr>
          <w:lang w:val="en-US"/>
        </w:rPr>
        <w:t>Betz &amp; Luzzo, 1996). In this study, the internal reliability coefficients were: Self-appraisal (0.73), Occupational information (0.72), and Planning (0.78).</w:t>
      </w:r>
      <w:hyperlink r:id="rId17" w:anchor="bbib27" w:history="1">
        <w:r w:rsidRPr="00DC5B6A">
          <w:rPr>
            <w:rStyle w:val="Hiperligao"/>
            <w:vanish/>
            <w:color w:val="auto"/>
            <w:shd w:val="clear" w:color="auto" w:fill="EEEEEE"/>
            <w:lang w:val="en-US"/>
          </w:rPr>
          <w:t>Nilsson et al., 2002</w:t>
        </w:r>
      </w:hyperlink>
      <w:r w:rsidRPr="00DC5B6A">
        <w:rPr>
          <w:rStyle w:val="refpreview1"/>
          <w:lang w:val="en-US"/>
        </w:rPr>
        <w:t xml:space="preserve"> J.E. Nilsson, C.K. Schmidt and W.D. Meek, Reliability generalization: An examination of the </w:t>
      </w:r>
      <w:r w:rsidR="00A63147">
        <w:rPr>
          <w:noProof/>
          <w:vanish/>
          <w:bdr w:val="none" w:sz="0" w:space="0" w:color="auto" w:frame="1"/>
          <w:shd w:val="clear" w:color="auto" w:fill="EEEEEE"/>
        </w:rPr>
        <w:drawing>
          <wp:inline distT="0" distB="0" distL="0" distR="0">
            <wp:extent cx="43815" cy="73025"/>
            <wp:effectExtent l="19050" t="0" r="0" b="0"/>
            <wp:docPr id="4" name="Imagem 45" descr="previous ter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5" descr="previous term"/>
                    <pic:cNvPicPr>
                      <a:picLocks noChangeAspect="1" noChangeArrowheads="1"/>
                    </pic:cNvPicPr>
                  </pic:nvPicPr>
                  <pic:blipFill>
                    <a:blip r:embed="rId10" cstate="print"/>
                    <a:srcRect/>
                    <a:stretch>
                      <a:fillRect/>
                    </a:stretch>
                  </pic:blipFill>
                  <pic:spPr bwMode="auto">
                    <a:xfrm>
                      <a:off x="0" y="0"/>
                      <a:ext cx="43815" cy="73025"/>
                    </a:xfrm>
                    <a:prstGeom prst="rect">
                      <a:avLst/>
                    </a:prstGeom>
                    <a:noFill/>
                    <a:ln w="9525">
                      <a:noFill/>
                      <a:miter lim="800000"/>
                      <a:headEnd/>
                      <a:tailEnd/>
                    </a:ln>
                  </pic:spPr>
                </pic:pic>
              </a:graphicData>
            </a:graphic>
          </wp:inline>
        </w:drawing>
      </w:r>
      <w:r w:rsidRPr="00DC5B6A">
        <w:rPr>
          <w:rStyle w:val="hit"/>
          <w:vanish/>
          <w:lang w:val="en-US"/>
        </w:rPr>
        <w:t>career</w:t>
      </w:r>
      <w:r w:rsidR="00A63147">
        <w:rPr>
          <w:noProof/>
          <w:vanish/>
          <w:bdr w:val="none" w:sz="0" w:space="0" w:color="auto" w:frame="1"/>
          <w:shd w:val="clear" w:color="auto" w:fill="EEEEEE"/>
        </w:rPr>
        <w:drawing>
          <wp:inline distT="0" distB="0" distL="0" distR="0">
            <wp:extent cx="43815" cy="73025"/>
            <wp:effectExtent l="19050" t="0" r="0" b="0"/>
            <wp:docPr id="5" name="Imagem 46" descr="next term">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6" descr="next term"/>
                    <pic:cNvPicPr>
                      <a:picLocks noChangeAspect="1" noChangeArrowheads="1"/>
                    </pic:cNvPicPr>
                  </pic:nvPicPr>
                  <pic:blipFill>
                    <a:blip r:embed="rId12" cstate="print"/>
                    <a:srcRect/>
                    <a:stretch>
                      <a:fillRect/>
                    </a:stretch>
                  </pic:blipFill>
                  <pic:spPr bwMode="auto">
                    <a:xfrm>
                      <a:off x="0" y="0"/>
                      <a:ext cx="43815" cy="73025"/>
                    </a:xfrm>
                    <a:prstGeom prst="rect">
                      <a:avLst/>
                    </a:prstGeom>
                    <a:noFill/>
                    <a:ln w="9525">
                      <a:noFill/>
                      <a:miter lim="800000"/>
                      <a:headEnd/>
                      <a:tailEnd/>
                    </a:ln>
                  </pic:spPr>
                </pic:pic>
              </a:graphicData>
            </a:graphic>
          </wp:inline>
        </w:drawing>
      </w:r>
      <w:r w:rsidR="00A63147">
        <w:rPr>
          <w:noProof/>
          <w:vanish/>
          <w:bdr w:val="none" w:sz="0" w:space="0" w:color="auto" w:frame="1"/>
          <w:shd w:val="clear" w:color="auto" w:fill="EEEEEE"/>
        </w:rPr>
        <w:drawing>
          <wp:inline distT="0" distB="0" distL="0" distR="0">
            <wp:extent cx="43815" cy="73025"/>
            <wp:effectExtent l="19050" t="0" r="0" b="0"/>
            <wp:docPr id="6" name="Imagem 47" descr="previous ter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7" descr="previous term"/>
                    <pic:cNvPicPr>
                      <a:picLocks noChangeAspect="1" noChangeArrowheads="1"/>
                    </pic:cNvPicPr>
                  </pic:nvPicPr>
                  <pic:blipFill>
                    <a:blip r:embed="rId10" cstate="print"/>
                    <a:srcRect/>
                    <a:stretch>
                      <a:fillRect/>
                    </a:stretch>
                  </pic:blipFill>
                  <pic:spPr bwMode="auto">
                    <a:xfrm>
                      <a:off x="0" y="0"/>
                      <a:ext cx="43815" cy="73025"/>
                    </a:xfrm>
                    <a:prstGeom prst="rect">
                      <a:avLst/>
                    </a:prstGeom>
                    <a:noFill/>
                    <a:ln w="9525">
                      <a:noFill/>
                      <a:miter lim="800000"/>
                      <a:headEnd/>
                      <a:tailEnd/>
                    </a:ln>
                  </pic:spPr>
                </pic:pic>
              </a:graphicData>
            </a:graphic>
          </wp:inline>
        </w:drawing>
      </w:r>
      <w:r w:rsidRPr="00DC5B6A">
        <w:rPr>
          <w:rStyle w:val="hit"/>
          <w:vanish/>
          <w:lang w:val="en-US"/>
        </w:rPr>
        <w:t>decision</w:t>
      </w:r>
      <w:r w:rsidR="00A63147">
        <w:rPr>
          <w:noProof/>
          <w:vanish/>
          <w:bdr w:val="none" w:sz="0" w:space="0" w:color="auto" w:frame="1"/>
          <w:shd w:val="clear" w:color="auto" w:fill="EEEEEE"/>
        </w:rPr>
        <w:drawing>
          <wp:inline distT="0" distB="0" distL="0" distR="0">
            <wp:extent cx="43815" cy="73025"/>
            <wp:effectExtent l="19050" t="0" r="0" b="0"/>
            <wp:docPr id="7" name="Imagem 48" descr="next term">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8" descr="next term"/>
                    <pic:cNvPicPr>
                      <a:picLocks noChangeAspect="1" noChangeArrowheads="1"/>
                    </pic:cNvPicPr>
                  </pic:nvPicPr>
                  <pic:blipFill>
                    <a:blip r:embed="rId12" cstate="print"/>
                    <a:srcRect/>
                    <a:stretch>
                      <a:fillRect/>
                    </a:stretch>
                  </pic:blipFill>
                  <pic:spPr bwMode="auto">
                    <a:xfrm>
                      <a:off x="0" y="0"/>
                      <a:ext cx="43815" cy="73025"/>
                    </a:xfrm>
                    <a:prstGeom prst="rect">
                      <a:avLst/>
                    </a:prstGeom>
                    <a:noFill/>
                    <a:ln w="9525">
                      <a:noFill/>
                      <a:miter lim="800000"/>
                      <a:headEnd/>
                      <a:tailEnd/>
                    </a:ln>
                  </pic:spPr>
                </pic:pic>
              </a:graphicData>
            </a:graphic>
          </wp:inline>
        </w:drawing>
      </w:r>
      <w:r w:rsidR="00A63147">
        <w:rPr>
          <w:noProof/>
          <w:vanish/>
          <w:bdr w:val="none" w:sz="0" w:space="0" w:color="auto" w:frame="1"/>
          <w:shd w:val="clear" w:color="auto" w:fill="EEEEEE"/>
        </w:rPr>
        <w:drawing>
          <wp:inline distT="0" distB="0" distL="0" distR="0">
            <wp:extent cx="43815" cy="73025"/>
            <wp:effectExtent l="19050" t="0" r="0" b="0"/>
            <wp:docPr id="8" name="Imagem 49" descr="previous term">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9" descr="previous term"/>
                    <pic:cNvPicPr>
                      <a:picLocks noChangeAspect="1" noChangeArrowheads="1"/>
                    </pic:cNvPicPr>
                  </pic:nvPicPr>
                  <pic:blipFill>
                    <a:blip r:embed="rId10" cstate="print"/>
                    <a:srcRect/>
                    <a:stretch>
                      <a:fillRect/>
                    </a:stretch>
                  </pic:blipFill>
                  <pic:spPr bwMode="auto">
                    <a:xfrm>
                      <a:off x="0" y="0"/>
                      <a:ext cx="43815" cy="73025"/>
                    </a:xfrm>
                    <a:prstGeom prst="rect">
                      <a:avLst/>
                    </a:prstGeom>
                    <a:noFill/>
                    <a:ln w="9525">
                      <a:noFill/>
                      <a:miter lim="800000"/>
                      <a:headEnd/>
                      <a:tailEnd/>
                    </a:ln>
                  </pic:spPr>
                </pic:pic>
              </a:graphicData>
            </a:graphic>
          </wp:inline>
        </w:drawing>
      </w:r>
      <w:r w:rsidRPr="00DC5B6A">
        <w:rPr>
          <w:rStyle w:val="hit"/>
          <w:vanish/>
          <w:lang w:val="en-US"/>
        </w:rPr>
        <w:t>making</w:t>
      </w:r>
      <w:r w:rsidR="00A63147">
        <w:rPr>
          <w:noProof/>
          <w:vanish/>
          <w:bdr w:val="none" w:sz="0" w:space="0" w:color="auto" w:frame="1"/>
          <w:shd w:val="clear" w:color="auto" w:fill="EEEEEE"/>
        </w:rPr>
        <w:drawing>
          <wp:inline distT="0" distB="0" distL="0" distR="0">
            <wp:extent cx="43815" cy="73025"/>
            <wp:effectExtent l="19050" t="0" r="0" b="0"/>
            <wp:docPr id="9" name="Imagem 50" descr="next term">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0" descr="next term"/>
                    <pic:cNvPicPr>
                      <a:picLocks noChangeAspect="1" noChangeArrowheads="1"/>
                    </pic:cNvPicPr>
                  </pic:nvPicPr>
                  <pic:blipFill>
                    <a:blip r:embed="rId12" cstate="print"/>
                    <a:srcRect/>
                    <a:stretch>
                      <a:fillRect/>
                    </a:stretch>
                  </pic:blipFill>
                  <pic:spPr bwMode="auto">
                    <a:xfrm>
                      <a:off x="0" y="0"/>
                      <a:ext cx="43815" cy="73025"/>
                    </a:xfrm>
                    <a:prstGeom prst="rect">
                      <a:avLst/>
                    </a:prstGeom>
                    <a:noFill/>
                    <a:ln w="9525">
                      <a:noFill/>
                      <a:miter lim="800000"/>
                      <a:headEnd/>
                      <a:tailEnd/>
                    </a:ln>
                  </pic:spPr>
                </pic:pic>
              </a:graphicData>
            </a:graphic>
          </wp:inline>
        </w:drawing>
      </w:r>
      <w:r w:rsidR="00A63147">
        <w:rPr>
          <w:noProof/>
          <w:vanish/>
          <w:bdr w:val="none" w:sz="0" w:space="0" w:color="auto" w:frame="1"/>
          <w:shd w:val="clear" w:color="auto" w:fill="EEEEEE"/>
        </w:rPr>
        <w:drawing>
          <wp:inline distT="0" distB="0" distL="0" distR="0">
            <wp:extent cx="43815" cy="73025"/>
            <wp:effectExtent l="19050" t="0" r="0" b="0"/>
            <wp:docPr id="10" name="Imagem 51" descr="previous term">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1" descr="previous term"/>
                    <pic:cNvPicPr>
                      <a:picLocks noChangeAspect="1" noChangeArrowheads="1"/>
                    </pic:cNvPicPr>
                  </pic:nvPicPr>
                  <pic:blipFill>
                    <a:blip r:embed="rId10" cstate="print"/>
                    <a:srcRect/>
                    <a:stretch>
                      <a:fillRect/>
                    </a:stretch>
                  </pic:blipFill>
                  <pic:spPr bwMode="auto">
                    <a:xfrm>
                      <a:off x="0" y="0"/>
                      <a:ext cx="43815" cy="73025"/>
                    </a:xfrm>
                    <a:prstGeom prst="rect">
                      <a:avLst/>
                    </a:prstGeom>
                    <a:noFill/>
                    <a:ln w="9525">
                      <a:noFill/>
                      <a:miter lim="800000"/>
                      <a:headEnd/>
                      <a:tailEnd/>
                    </a:ln>
                  </pic:spPr>
                </pic:pic>
              </a:graphicData>
            </a:graphic>
          </wp:inline>
        </w:drawing>
      </w:r>
      <w:r w:rsidRPr="00DC5B6A">
        <w:rPr>
          <w:rStyle w:val="hit"/>
          <w:vanish/>
          <w:lang w:val="en-US"/>
        </w:rPr>
        <w:t>self</w:t>
      </w:r>
      <w:r w:rsidR="00A63147">
        <w:rPr>
          <w:noProof/>
          <w:vanish/>
          <w:bdr w:val="none" w:sz="0" w:space="0" w:color="auto" w:frame="1"/>
          <w:shd w:val="clear" w:color="auto" w:fill="EEEEEE"/>
        </w:rPr>
        <w:drawing>
          <wp:inline distT="0" distB="0" distL="0" distR="0">
            <wp:extent cx="43815" cy="73025"/>
            <wp:effectExtent l="19050" t="0" r="0" b="0"/>
            <wp:docPr id="11" name="Imagem 52" descr="next term">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2" descr="next term"/>
                    <pic:cNvPicPr>
                      <a:picLocks noChangeAspect="1" noChangeArrowheads="1"/>
                    </pic:cNvPicPr>
                  </pic:nvPicPr>
                  <pic:blipFill>
                    <a:blip r:embed="rId12" cstate="print"/>
                    <a:srcRect/>
                    <a:stretch>
                      <a:fillRect/>
                    </a:stretch>
                  </pic:blipFill>
                  <pic:spPr bwMode="auto">
                    <a:xfrm>
                      <a:off x="0" y="0"/>
                      <a:ext cx="43815" cy="73025"/>
                    </a:xfrm>
                    <a:prstGeom prst="rect">
                      <a:avLst/>
                    </a:prstGeom>
                    <a:noFill/>
                    <a:ln w="9525">
                      <a:noFill/>
                      <a:miter lim="800000"/>
                      <a:headEnd/>
                      <a:tailEnd/>
                    </a:ln>
                  </pic:spPr>
                </pic:pic>
              </a:graphicData>
            </a:graphic>
          </wp:inline>
        </w:drawing>
      </w:r>
      <w:r w:rsidRPr="00DC5B6A">
        <w:rPr>
          <w:rStyle w:val="refpreview1"/>
          <w:lang w:val="en-US"/>
        </w:rPr>
        <w:t>-</w:t>
      </w:r>
      <w:r w:rsidR="00A63147">
        <w:rPr>
          <w:noProof/>
          <w:vanish/>
          <w:bdr w:val="none" w:sz="0" w:space="0" w:color="auto" w:frame="1"/>
          <w:shd w:val="clear" w:color="auto" w:fill="EEEEEE"/>
        </w:rPr>
        <w:drawing>
          <wp:inline distT="0" distB="0" distL="0" distR="0">
            <wp:extent cx="43815" cy="73025"/>
            <wp:effectExtent l="19050" t="0" r="0" b="0"/>
            <wp:docPr id="12" name="Imagem 53" descr="previous term">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3" descr="previous term"/>
                    <pic:cNvPicPr>
                      <a:picLocks noChangeAspect="1" noChangeArrowheads="1"/>
                    </pic:cNvPicPr>
                  </pic:nvPicPr>
                  <pic:blipFill>
                    <a:blip r:embed="rId10" cstate="print"/>
                    <a:srcRect/>
                    <a:stretch>
                      <a:fillRect/>
                    </a:stretch>
                  </pic:blipFill>
                  <pic:spPr bwMode="auto">
                    <a:xfrm>
                      <a:off x="0" y="0"/>
                      <a:ext cx="43815" cy="73025"/>
                    </a:xfrm>
                    <a:prstGeom prst="rect">
                      <a:avLst/>
                    </a:prstGeom>
                    <a:noFill/>
                    <a:ln w="9525">
                      <a:noFill/>
                      <a:miter lim="800000"/>
                      <a:headEnd/>
                      <a:tailEnd/>
                    </a:ln>
                  </pic:spPr>
                </pic:pic>
              </a:graphicData>
            </a:graphic>
          </wp:inline>
        </w:drawing>
      </w:r>
      <w:r w:rsidRPr="00DC5B6A">
        <w:rPr>
          <w:rStyle w:val="hit"/>
          <w:vanish/>
          <w:lang w:val="en-US"/>
        </w:rPr>
        <w:t>efficacy</w:t>
      </w:r>
      <w:r w:rsidR="00A63147">
        <w:rPr>
          <w:noProof/>
          <w:vanish/>
          <w:bdr w:val="none" w:sz="0" w:space="0" w:color="auto" w:frame="1"/>
          <w:shd w:val="clear" w:color="auto" w:fill="EEEEEE"/>
        </w:rPr>
        <w:drawing>
          <wp:inline distT="0" distB="0" distL="0" distR="0">
            <wp:extent cx="43815" cy="73025"/>
            <wp:effectExtent l="19050" t="0" r="0" b="0"/>
            <wp:docPr id="13" name="Imagem 54" descr="next term">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4" descr="next term"/>
                    <pic:cNvPicPr>
                      <a:picLocks noChangeAspect="1" noChangeArrowheads="1"/>
                    </pic:cNvPicPr>
                  </pic:nvPicPr>
                  <pic:blipFill>
                    <a:blip r:embed="rId12" cstate="print"/>
                    <a:srcRect/>
                    <a:stretch>
                      <a:fillRect/>
                    </a:stretch>
                  </pic:blipFill>
                  <pic:spPr bwMode="auto">
                    <a:xfrm>
                      <a:off x="0" y="0"/>
                      <a:ext cx="43815" cy="73025"/>
                    </a:xfrm>
                    <a:prstGeom prst="rect">
                      <a:avLst/>
                    </a:prstGeom>
                    <a:noFill/>
                    <a:ln w="9525">
                      <a:noFill/>
                      <a:miter lim="800000"/>
                      <a:headEnd/>
                      <a:tailEnd/>
                    </a:ln>
                  </pic:spPr>
                </pic:pic>
              </a:graphicData>
            </a:graphic>
          </wp:inline>
        </w:drawing>
      </w:r>
      <w:r w:rsidR="00A63147">
        <w:rPr>
          <w:noProof/>
          <w:vanish/>
          <w:bdr w:val="none" w:sz="0" w:space="0" w:color="auto" w:frame="1"/>
          <w:shd w:val="clear" w:color="auto" w:fill="EEEEEE"/>
        </w:rPr>
        <w:drawing>
          <wp:inline distT="0" distB="0" distL="0" distR="0">
            <wp:extent cx="43815" cy="73025"/>
            <wp:effectExtent l="19050" t="0" r="0" b="0"/>
            <wp:docPr id="14" name="Imagem 55" descr="previous term">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5" descr="previous term"/>
                    <pic:cNvPicPr>
                      <a:picLocks noChangeAspect="1" noChangeArrowheads="1"/>
                    </pic:cNvPicPr>
                  </pic:nvPicPr>
                  <pic:blipFill>
                    <a:blip r:embed="rId10" cstate="print"/>
                    <a:srcRect/>
                    <a:stretch>
                      <a:fillRect/>
                    </a:stretch>
                  </pic:blipFill>
                  <pic:spPr bwMode="auto">
                    <a:xfrm>
                      <a:off x="0" y="0"/>
                      <a:ext cx="43815" cy="73025"/>
                    </a:xfrm>
                    <a:prstGeom prst="rect">
                      <a:avLst/>
                    </a:prstGeom>
                    <a:noFill/>
                    <a:ln w="9525">
                      <a:noFill/>
                      <a:miter lim="800000"/>
                      <a:headEnd/>
                      <a:tailEnd/>
                    </a:ln>
                  </pic:spPr>
                </pic:pic>
              </a:graphicData>
            </a:graphic>
          </wp:inline>
        </w:drawing>
      </w:r>
      <w:r w:rsidRPr="00DC5B6A">
        <w:rPr>
          <w:rStyle w:val="hit"/>
          <w:vanish/>
          <w:lang w:val="en-US"/>
        </w:rPr>
        <w:t>scale</w:t>
      </w:r>
      <w:r w:rsidR="00A63147">
        <w:rPr>
          <w:noProof/>
          <w:vanish/>
          <w:bdr w:val="none" w:sz="0" w:space="0" w:color="auto" w:frame="1"/>
          <w:shd w:val="clear" w:color="auto" w:fill="EEEEEE"/>
        </w:rPr>
        <w:drawing>
          <wp:inline distT="0" distB="0" distL="0" distR="0">
            <wp:extent cx="43815" cy="73025"/>
            <wp:effectExtent l="19050" t="0" r="0" b="0"/>
            <wp:docPr id="15" name="Imagem 56" descr="next term">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6" descr="next term"/>
                    <pic:cNvPicPr>
                      <a:picLocks noChangeAspect="1" noChangeArrowheads="1"/>
                    </pic:cNvPicPr>
                  </pic:nvPicPr>
                  <pic:blipFill>
                    <a:blip r:embed="rId12" cstate="print"/>
                    <a:srcRect/>
                    <a:stretch>
                      <a:fillRect/>
                    </a:stretch>
                  </pic:blipFill>
                  <pic:spPr bwMode="auto">
                    <a:xfrm>
                      <a:off x="0" y="0"/>
                      <a:ext cx="43815" cy="73025"/>
                    </a:xfrm>
                    <a:prstGeom prst="rect">
                      <a:avLst/>
                    </a:prstGeom>
                    <a:noFill/>
                    <a:ln w="9525">
                      <a:noFill/>
                      <a:miter lim="800000"/>
                      <a:headEnd/>
                      <a:tailEnd/>
                    </a:ln>
                  </pic:spPr>
                </pic:pic>
              </a:graphicData>
            </a:graphic>
          </wp:inline>
        </w:drawing>
      </w:r>
      <w:r w:rsidRPr="00DC5B6A">
        <w:rPr>
          <w:rStyle w:val="refpreview1"/>
          <w:lang w:val="en-US"/>
        </w:rPr>
        <w:t xml:space="preserve">. </w:t>
      </w:r>
      <w:r w:rsidRPr="00DC5B6A">
        <w:rPr>
          <w:rStyle w:val="refpreview1"/>
          <w:i/>
          <w:iCs/>
          <w:lang w:val="en-US"/>
        </w:rPr>
        <w:t>Educational and Psychological Measurement</w:t>
      </w:r>
      <w:r w:rsidRPr="00DC5B6A">
        <w:rPr>
          <w:rStyle w:val="refpreview1"/>
          <w:lang w:val="en-US"/>
        </w:rPr>
        <w:t xml:space="preserve">, </w:t>
      </w:r>
      <w:r w:rsidRPr="00DC5B6A">
        <w:rPr>
          <w:rStyle w:val="Forte"/>
          <w:vanish/>
          <w:shd w:val="clear" w:color="auto" w:fill="EEEEEE"/>
          <w:lang w:val="en-US"/>
        </w:rPr>
        <w:t> 62 </w:t>
      </w:r>
      <w:r w:rsidRPr="00DC5B6A">
        <w:rPr>
          <w:rStyle w:val="refpreview1"/>
          <w:lang w:val="en-US"/>
        </w:rPr>
        <w:t xml:space="preserve"> (2002), pp. 647–658. </w:t>
      </w:r>
      <w:r w:rsidRPr="00DC5B6A">
        <w:rPr>
          <w:rStyle w:val="refplaceholder"/>
          <w:vanish/>
          <w:shd w:val="clear" w:color="auto" w:fill="EEEEEE"/>
          <w:lang w:val="en-US"/>
        </w:rPr>
        <w:t xml:space="preserve">| </w:t>
      </w:r>
      <w:hyperlink r:id="rId26" w:tgtFrame="outwardLink" w:history="1">
        <w:r w:rsidRPr="00DC5B6A">
          <w:rPr>
            <w:rStyle w:val="Hiperligao"/>
            <w:vanish/>
            <w:color w:val="auto"/>
            <w:shd w:val="clear" w:color="auto" w:fill="EEEEEE"/>
            <w:lang w:val="en-US"/>
          </w:rPr>
          <w:t>View Record in Scopus</w:t>
        </w:r>
      </w:hyperlink>
      <w:r w:rsidRPr="00DC5B6A">
        <w:rPr>
          <w:rStyle w:val="refplaceholder"/>
          <w:vanish/>
          <w:shd w:val="clear" w:color="auto" w:fill="EEEEEE"/>
          <w:lang w:val="en-US"/>
        </w:rPr>
        <w:t xml:space="preserve"> | | </w:t>
      </w:r>
      <w:r w:rsidRPr="00DC5B6A">
        <w:rPr>
          <w:b/>
          <w:bCs/>
          <w:vanish/>
          <w:shd w:val="clear" w:color="auto" w:fill="EEEEEE"/>
          <w:lang w:val="en-US"/>
        </w:rPr>
        <w:t>Full Text</w:t>
      </w:r>
      <w:r w:rsidRPr="00DC5B6A">
        <w:rPr>
          <w:vanish/>
          <w:shd w:val="clear" w:color="auto" w:fill="EEEEEE"/>
          <w:lang w:val="en-US"/>
        </w:rPr>
        <w:t xml:space="preserve"> via CrossRef</w:t>
      </w:r>
    </w:p>
    <w:p w:rsidR="007C444C" w:rsidRPr="00731E1E" w:rsidRDefault="008B7084" w:rsidP="006F4B0D">
      <w:pPr>
        <w:spacing w:line="480" w:lineRule="auto"/>
        <w:ind w:firstLine="708"/>
        <w:rPr>
          <w:lang w:val="en-GB"/>
        </w:rPr>
      </w:pPr>
      <w:r w:rsidRPr="00DC5B6A">
        <w:rPr>
          <w:b/>
          <w:bCs/>
          <w:lang w:val="en-GB"/>
        </w:rPr>
        <w:t xml:space="preserve">Internship Qualities </w:t>
      </w:r>
      <w:r w:rsidRPr="00DC5B6A">
        <w:rPr>
          <w:lang w:val="en-GB"/>
        </w:rPr>
        <w:t xml:space="preserve">– The Internship Quality Inventory (IQI) </w:t>
      </w:r>
      <w:r w:rsidR="00E531C2">
        <w:rPr>
          <w:lang w:val="en-GB"/>
        </w:rPr>
        <w:t xml:space="preserve">(Gamboa, 2011) </w:t>
      </w:r>
      <w:r w:rsidRPr="00DC5B6A">
        <w:rPr>
          <w:lang w:val="en-GB"/>
        </w:rPr>
        <w:t>was developed to measure the students perceptions of t</w:t>
      </w:r>
      <w:r w:rsidR="007C444C" w:rsidRPr="00DC5B6A">
        <w:rPr>
          <w:lang w:val="en-GB"/>
        </w:rPr>
        <w:t>heir practicum training quality</w:t>
      </w:r>
      <w:r w:rsidRPr="00DC5B6A">
        <w:rPr>
          <w:lang w:val="en-GB"/>
        </w:rPr>
        <w:t xml:space="preserve"> in 9 dimensions: Autonomy (4 items, α = 0.81</w:t>
      </w:r>
      <w:r w:rsidR="00F245B9">
        <w:rPr>
          <w:lang w:val="en-GB"/>
        </w:rPr>
        <w:t>, e.g., “</w:t>
      </w:r>
      <w:r w:rsidR="00F245B9" w:rsidRPr="00030CDC">
        <w:rPr>
          <w:i/>
          <w:lang w:val="en-GB"/>
        </w:rPr>
        <w:t>in my internship,</w:t>
      </w:r>
      <w:r w:rsidR="00F245B9">
        <w:rPr>
          <w:lang w:val="en-GB"/>
        </w:rPr>
        <w:t xml:space="preserve"> </w:t>
      </w:r>
      <w:r w:rsidR="00F245B9" w:rsidRPr="00643ADB">
        <w:rPr>
          <w:i/>
          <w:lang w:val="en-GB"/>
        </w:rPr>
        <w:t>I was able to use my initiative</w:t>
      </w:r>
      <w:r w:rsidR="00F245B9">
        <w:rPr>
          <w:lang w:val="en-GB"/>
        </w:rPr>
        <w:t>”</w:t>
      </w:r>
      <w:r w:rsidRPr="00DC5B6A">
        <w:rPr>
          <w:lang w:val="en-GB"/>
        </w:rPr>
        <w:t>), Peer Feedback (4 items, α = 0.83</w:t>
      </w:r>
      <w:r w:rsidR="00F245B9">
        <w:rPr>
          <w:lang w:val="en-GB"/>
        </w:rPr>
        <w:t>, e.g., “</w:t>
      </w:r>
      <w:r w:rsidR="00F245B9" w:rsidRPr="003B3A24">
        <w:rPr>
          <w:i/>
          <w:lang w:val="en-GB"/>
        </w:rPr>
        <w:t>in my internship</w:t>
      </w:r>
      <w:r w:rsidR="00F245B9">
        <w:rPr>
          <w:lang w:val="en-GB"/>
        </w:rPr>
        <w:t>,</w:t>
      </w:r>
      <w:r w:rsidR="00F245B9" w:rsidRPr="003B3A24">
        <w:rPr>
          <w:i/>
          <w:lang w:val="en-GB"/>
        </w:rPr>
        <w:t xml:space="preserve"> </w:t>
      </w:r>
      <w:r w:rsidR="00F245B9">
        <w:rPr>
          <w:i/>
          <w:lang w:val="en-GB"/>
        </w:rPr>
        <w:t>m</w:t>
      </w:r>
      <w:r w:rsidR="00F245B9" w:rsidRPr="003B3A24">
        <w:rPr>
          <w:i/>
          <w:lang w:val="en-GB"/>
        </w:rPr>
        <w:t>y colleagues gave me clues to improve my work</w:t>
      </w:r>
      <w:r w:rsidR="00F245B9">
        <w:rPr>
          <w:lang w:val="en-GB"/>
        </w:rPr>
        <w:t>”</w:t>
      </w:r>
      <w:r w:rsidRPr="00DC5B6A">
        <w:rPr>
          <w:lang w:val="en-GB"/>
        </w:rPr>
        <w:t>), Social Support (4 items, α = 0.82</w:t>
      </w:r>
      <w:r w:rsidR="00F245B9">
        <w:rPr>
          <w:lang w:val="en-GB"/>
        </w:rPr>
        <w:t>, e.g., “</w:t>
      </w:r>
      <w:r w:rsidR="00F245B9" w:rsidRPr="003B3A24">
        <w:rPr>
          <w:i/>
          <w:lang w:val="en-GB"/>
        </w:rPr>
        <w:t xml:space="preserve">in my internship, </w:t>
      </w:r>
      <w:r w:rsidR="00F245B9">
        <w:rPr>
          <w:i/>
          <w:lang w:val="en-GB"/>
        </w:rPr>
        <w:t>t</w:t>
      </w:r>
      <w:r w:rsidR="00F245B9" w:rsidRPr="003B3A24">
        <w:rPr>
          <w:i/>
          <w:lang w:val="en-GB"/>
        </w:rPr>
        <w:t>he people I worked with were friendly</w:t>
      </w:r>
      <w:r w:rsidRPr="00DC5B6A">
        <w:rPr>
          <w:lang w:val="en-GB"/>
        </w:rPr>
        <w:t>), Task Diversity (4 items, α = 0.83</w:t>
      </w:r>
      <w:r w:rsidR="00F245B9">
        <w:rPr>
          <w:lang w:val="en-GB"/>
        </w:rPr>
        <w:t xml:space="preserve">, e.g., </w:t>
      </w:r>
      <w:r w:rsidR="00F245B9">
        <w:rPr>
          <w:i/>
          <w:lang w:val="en-GB"/>
        </w:rPr>
        <w:t>m</w:t>
      </w:r>
      <w:r w:rsidR="00F245B9" w:rsidRPr="003B3A24">
        <w:rPr>
          <w:i/>
          <w:lang w:val="en-GB"/>
        </w:rPr>
        <w:t>y internship involved the performance of a wide variety of tasks</w:t>
      </w:r>
      <w:r w:rsidRPr="00DC5B6A">
        <w:rPr>
          <w:lang w:val="en-GB"/>
        </w:rPr>
        <w:t xml:space="preserve">), Learning Opportunities (5 items, α = </w:t>
      </w:r>
      <w:r w:rsidRPr="00DC5B6A">
        <w:rPr>
          <w:lang w:val="en-GB"/>
        </w:rPr>
        <w:lastRenderedPageBreak/>
        <w:t>0.90</w:t>
      </w:r>
      <w:r w:rsidR="00F245B9">
        <w:rPr>
          <w:lang w:val="en-GB"/>
        </w:rPr>
        <w:t xml:space="preserve">, e.g., </w:t>
      </w:r>
      <w:r w:rsidR="00C87699">
        <w:rPr>
          <w:lang w:val="en-GB"/>
        </w:rPr>
        <w:t>“</w:t>
      </w:r>
      <w:r w:rsidR="00C87699" w:rsidRPr="00C87699">
        <w:rPr>
          <w:i/>
          <w:lang w:val="en-GB"/>
        </w:rPr>
        <w:t>in my internship, the activities were challenging</w:t>
      </w:r>
      <w:r w:rsidR="00C87699">
        <w:rPr>
          <w:lang w:val="en-GB"/>
        </w:rPr>
        <w:t>”</w:t>
      </w:r>
      <w:r w:rsidRPr="00DC5B6A">
        <w:rPr>
          <w:lang w:val="en-GB"/>
        </w:rPr>
        <w:t>), Supervisor Instructions Clarity (4 items, α = 0.79</w:t>
      </w:r>
      <w:r w:rsidR="00C87699">
        <w:rPr>
          <w:lang w:val="en-GB"/>
        </w:rPr>
        <w:t xml:space="preserve">, e.g., </w:t>
      </w:r>
      <w:r w:rsidRPr="00DC5B6A">
        <w:rPr>
          <w:lang w:val="en-GB"/>
        </w:rPr>
        <w:t>), Supervisor Feedback (4 items, a</w:t>
      </w:r>
      <w:r w:rsidR="00E659FF" w:rsidRPr="00DC5B6A">
        <w:rPr>
          <w:lang w:val="en-GB"/>
        </w:rPr>
        <w:t>lpha= 0.80</w:t>
      </w:r>
      <w:r w:rsidR="00C87699">
        <w:rPr>
          <w:lang w:val="en-GB"/>
        </w:rPr>
        <w:t>, e.g., “</w:t>
      </w:r>
      <w:r w:rsidR="00C87699" w:rsidRPr="00C87699">
        <w:rPr>
          <w:i/>
          <w:lang w:val="en-GB"/>
        </w:rPr>
        <w:t>in my internship, my supervisor gave me often clues about the quality of my work</w:t>
      </w:r>
      <w:r w:rsidR="00C87699">
        <w:rPr>
          <w:lang w:val="en-GB"/>
        </w:rPr>
        <w:t>”</w:t>
      </w:r>
      <w:r w:rsidR="00E659FF" w:rsidRPr="00DC5B6A">
        <w:rPr>
          <w:lang w:val="en-GB"/>
        </w:rPr>
        <w:t>), Supervisor Training</w:t>
      </w:r>
      <w:r w:rsidRPr="00DC5B6A">
        <w:rPr>
          <w:lang w:val="en-GB"/>
        </w:rPr>
        <w:t xml:space="preserve"> (4 items, α = 0.84</w:t>
      </w:r>
      <w:r w:rsidR="00C87699">
        <w:rPr>
          <w:lang w:val="en-GB"/>
        </w:rPr>
        <w:t xml:space="preserve">, e.g., </w:t>
      </w:r>
      <w:r w:rsidR="00C87699" w:rsidRPr="00C87699">
        <w:rPr>
          <w:i/>
          <w:lang w:val="en-GB"/>
        </w:rPr>
        <w:t>before starting a new task, my supervisor showed how to do it</w:t>
      </w:r>
      <w:r w:rsidR="00C87699">
        <w:rPr>
          <w:lang w:val="en-GB"/>
        </w:rPr>
        <w:t>”</w:t>
      </w:r>
      <w:r w:rsidRPr="00DC5B6A">
        <w:rPr>
          <w:lang w:val="en-GB"/>
        </w:rPr>
        <w:t>)  and Supervisor Support (7 items, α = 0.87</w:t>
      </w:r>
      <w:r w:rsidR="00C87699">
        <w:rPr>
          <w:lang w:val="en-GB"/>
        </w:rPr>
        <w:t xml:space="preserve">, e.g., </w:t>
      </w:r>
      <w:r w:rsidR="005631D2">
        <w:rPr>
          <w:lang w:val="en-GB"/>
        </w:rPr>
        <w:t>“</w:t>
      </w:r>
      <w:r w:rsidR="005631D2" w:rsidRPr="00A14B3C">
        <w:rPr>
          <w:i/>
          <w:lang w:val="en-GB"/>
        </w:rPr>
        <w:t>my supervisor showed much interest in my opinions and ideas</w:t>
      </w:r>
      <w:r w:rsidR="005631D2">
        <w:rPr>
          <w:i/>
          <w:lang w:val="en-GB"/>
        </w:rPr>
        <w:t>”</w:t>
      </w:r>
      <w:r w:rsidRPr="00DC5B6A">
        <w:rPr>
          <w:lang w:val="en-GB"/>
        </w:rPr>
        <w:t xml:space="preserve">). </w:t>
      </w:r>
      <w:r w:rsidR="006D7F32">
        <w:rPr>
          <w:lang w:val="en-GB"/>
        </w:rPr>
        <w:t>Participants responded to the</w:t>
      </w:r>
      <w:r w:rsidRPr="00DC5B6A">
        <w:rPr>
          <w:lang w:val="en-GB"/>
        </w:rPr>
        <w:t xml:space="preserve"> items of the IQI on a 5-point </w:t>
      </w:r>
      <w:r w:rsidRPr="00DC5B6A">
        <w:rPr>
          <w:iCs/>
          <w:lang w:val="en-GB"/>
        </w:rPr>
        <w:t>Likert-type</w:t>
      </w:r>
      <w:r w:rsidRPr="00DC5B6A">
        <w:rPr>
          <w:lang w:val="en-GB"/>
        </w:rPr>
        <w:t xml:space="preserve"> scale ranging from </w:t>
      </w:r>
      <w:r w:rsidRPr="00DC5B6A">
        <w:rPr>
          <w:i/>
          <w:lang w:val="en-GB"/>
        </w:rPr>
        <w:t>strongly disagree</w:t>
      </w:r>
      <w:r w:rsidRPr="00DC5B6A">
        <w:rPr>
          <w:lang w:val="en-GB"/>
        </w:rPr>
        <w:t xml:space="preserve"> (1) to </w:t>
      </w:r>
      <w:r w:rsidRPr="00DC5B6A">
        <w:rPr>
          <w:i/>
          <w:lang w:val="en-GB"/>
        </w:rPr>
        <w:t>strongly agree</w:t>
      </w:r>
      <w:r w:rsidR="00731E1E">
        <w:rPr>
          <w:lang w:val="en-GB"/>
        </w:rPr>
        <w:t xml:space="preserve"> (5), </w:t>
      </w:r>
      <w:r w:rsidR="00731E1E" w:rsidRPr="00731E1E">
        <w:rPr>
          <w:lang w:val="en-US"/>
        </w:rPr>
        <w:t xml:space="preserve">with higher scores indicating a higher degree of perceived quality. </w:t>
      </w:r>
    </w:p>
    <w:p w:rsidR="003D7103" w:rsidRPr="00DC5B6A" w:rsidRDefault="003D7103" w:rsidP="00BD377B">
      <w:pPr>
        <w:pStyle w:val="Corpodetexto"/>
        <w:jc w:val="left"/>
        <w:rPr>
          <w:b/>
          <w:lang w:val="en-US"/>
        </w:rPr>
      </w:pPr>
    </w:p>
    <w:p w:rsidR="00B23D72" w:rsidRPr="00DC5B6A" w:rsidRDefault="00B23D72" w:rsidP="00BD377B">
      <w:pPr>
        <w:pStyle w:val="Corpodetexto"/>
        <w:jc w:val="left"/>
        <w:rPr>
          <w:b/>
          <w:lang w:val="en-US"/>
        </w:rPr>
      </w:pPr>
      <w:r w:rsidRPr="00DC5B6A">
        <w:rPr>
          <w:b/>
          <w:lang w:val="en-US"/>
        </w:rPr>
        <w:t xml:space="preserve">Procedure </w:t>
      </w:r>
    </w:p>
    <w:p w:rsidR="00B36A83" w:rsidRPr="00DC5B6A" w:rsidRDefault="00DA5C06" w:rsidP="00BD377B">
      <w:pPr>
        <w:spacing w:line="480" w:lineRule="auto"/>
        <w:ind w:firstLine="360"/>
        <w:rPr>
          <w:b/>
          <w:lang w:val="en-US"/>
        </w:rPr>
      </w:pPr>
      <w:r w:rsidRPr="00DC5B6A">
        <w:rPr>
          <w:lang w:val="en-US"/>
        </w:rPr>
        <w:t>The study consisted of a short-term longitudinal design with two points of data collection</w:t>
      </w:r>
      <w:r w:rsidR="00D01D58" w:rsidRPr="00DC5B6A">
        <w:rPr>
          <w:lang w:val="en-US"/>
        </w:rPr>
        <w:t xml:space="preserve">, T1 – before the internship, and T2 – immediately after finishing the internship. </w:t>
      </w:r>
      <w:r w:rsidRPr="00DC5B6A">
        <w:rPr>
          <w:lang w:val="en-US"/>
        </w:rPr>
        <w:t xml:space="preserve">After the initial phase, </w:t>
      </w:r>
      <w:r w:rsidR="00CF0D23" w:rsidRPr="00DC5B6A">
        <w:rPr>
          <w:lang w:val="en-US"/>
        </w:rPr>
        <w:t xml:space="preserve">on which </w:t>
      </w:r>
      <w:r w:rsidRPr="00DC5B6A">
        <w:rPr>
          <w:lang w:val="en-US"/>
        </w:rPr>
        <w:t xml:space="preserve">the study </w:t>
      </w:r>
      <w:r w:rsidR="00CF0D23" w:rsidRPr="00DC5B6A">
        <w:rPr>
          <w:lang w:val="en-US"/>
        </w:rPr>
        <w:t xml:space="preserve">was presented </w:t>
      </w:r>
      <w:r w:rsidRPr="00DC5B6A">
        <w:rPr>
          <w:lang w:val="en-US"/>
        </w:rPr>
        <w:t>to the participating schools, we began establishing the groups and organizing the timing of the data collection. Subsequently, appropriate informed consent procedures (i.e., parent´s, students’, and school board’s permission) were followed in collecting data. The application of</w:t>
      </w:r>
      <w:r w:rsidR="00E531C2">
        <w:rPr>
          <w:lang w:val="en-US"/>
        </w:rPr>
        <w:t xml:space="preserve"> the instruments was done by trained co-researchers</w:t>
      </w:r>
      <w:r w:rsidRPr="00DC5B6A">
        <w:rPr>
          <w:lang w:val="en-US"/>
        </w:rPr>
        <w:t xml:space="preserve">, in a classroom context, with the assistance of the professor of </w:t>
      </w:r>
      <w:r w:rsidR="003E0B34" w:rsidRPr="00DC5B6A">
        <w:rPr>
          <w:lang w:val="en-US"/>
        </w:rPr>
        <w:t>the class. On average, each assessment</w:t>
      </w:r>
      <w:r w:rsidR="003C28DC" w:rsidRPr="00DC5B6A">
        <w:rPr>
          <w:lang w:val="en-US"/>
        </w:rPr>
        <w:t xml:space="preserve"> session lasted around 45</w:t>
      </w:r>
      <w:r w:rsidRPr="00DC5B6A">
        <w:rPr>
          <w:lang w:val="en-US"/>
        </w:rPr>
        <w:t xml:space="preserve"> minutes.  It should also be noted that each of the participants included in the study provided responses to the instrume</w:t>
      </w:r>
      <w:r w:rsidR="003E0B34" w:rsidRPr="00DC5B6A">
        <w:rPr>
          <w:lang w:val="en-US"/>
        </w:rPr>
        <w:t>nts at</w:t>
      </w:r>
      <w:r w:rsidRPr="00DC5B6A">
        <w:rPr>
          <w:lang w:val="en-US"/>
        </w:rPr>
        <w:t xml:space="preserve"> both times (before and after the internship). To ensure data confidentiality, pairing of the questionnaires was made using an alphanumeric code.</w:t>
      </w:r>
    </w:p>
    <w:p w:rsidR="00AC6B1C" w:rsidRPr="00DC5B6A" w:rsidRDefault="00DA5C06" w:rsidP="00BD377B">
      <w:pPr>
        <w:spacing w:line="480" w:lineRule="auto"/>
        <w:ind w:firstLine="360"/>
        <w:rPr>
          <w:b/>
          <w:lang w:val="en-US"/>
        </w:rPr>
      </w:pPr>
      <w:r w:rsidRPr="00DC5B6A">
        <w:rPr>
          <w:b/>
          <w:lang w:val="en-US"/>
        </w:rPr>
        <w:t xml:space="preserve"> </w:t>
      </w:r>
    </w:p>
    <w:p w:rsidR="00AC6B1C" w:rsidRPr="00DC5B6A" w:rsidRDefault="00AC6B1C" w:rsidP="00BD377B">
      <w:pPr>
        <w:pStyle w:val="Corpodetexto"/>
        <w:jc w:val="center"/>
        <w:rPr>
          <w:b/>
          <w:lang w:val="en-US"/>
        </w:rPr>
      </w:pPr>
      <w:r w:rsidRPr="00DC5B6A">
        <w:rPr>
          <w:b/>
          <w:lang w:val="en-US"/>
        </w:rPr>
        <w:t>Results</w:t>
      </w:r>
    </w:p>
    <w:p w:rsidR="00D50A7E" w:rsidRDefault="00AB76CD" w:rsidP="00BD377B">
      <w:pPr>
        <w:pStyle w:val="Corpodetexto"/>
        <w:ind w:firstLine="360"/>
        <w:jc w:val="left"/>
        <w:rPr>
          <w:lang w:val="en-US"/>
        </w:rPr>
      </w:pPr>
      <w:r>
        <w:rPr>
          <w:lang w:val="en-US"/>
        </w:rPr>
        <w:t>Firstly, s</w:t>
      </w:r>
      <w:r w:rsidR="00D65F70" w:rsidRPr="00DC5B6A">
        <w:rPr>
          <w:lang w:val="en-US"/>
        </w:rPr>
        <w:t xml:space="preserve">tudents were classified into different vocational groups using cluster analysis, which is an exploratory multivariate analysis technique that categorizes individuals into </w:t>
      </w:r>
      <w:r w:rsidR="00D65F70" w:rsidRPr="00DC5B6A">
        <w:rPr>
          <w:lang w:val="en-US"/>
        </w:rPr>
        <w:lastRenderedPageBreak/>
        <w:t>homogenous groups based on their shared</w:t>
      </w:r>
      <w:r w:rsidR="005A4334">
        <w:rPr>
          <w:lang w:val="en-US"/>
        </w:rPr>
        <w:t xml:space="preserve"> characteristics (Maroco, 2003</w:t>
      </w:r>
      <w:r w:rsidR="00D65F70" w:rsidRPr="00DC5B6A">
        <w:rPr>
          <w:lang w:val="en-US"/>
        </w:rPr>
        <w:t xml:space="preserve">). We employed a </w:t>
      </w:r>
      <w:r w:rsidR="00D65F70" w:rsidRPr="00DC5B6A">
        <w:rPr>
          <w:i/>
          <w:lang w:val="en-US"/>
        </w:rPr>
        <w:t>K-means</w:t>
      </w:r>
      <w:r w:rsidR="00D65F70" w:rsidRPr="00DC5B6A">
        <w:rPr>
          <w:lang w:val="en-US"/>
        </w:rPr>
        <w:t xml:space="preserve"> nonhierarchical aggregation algorithm, which initially distributes subjects based on the number of clusters defined by the researcher and the centroid calculated for each </w:t>
      </w:r>
      <w:r w:rsidR="00D65F70" w:rsidRPr="00DC5B6A">
        <w:rPr>
          <w:i/>
          <w:lang w:val="en-US"/>
        </w:rPr>
        <w:t>K</w:t>
      </w:r>
      <w:r w:rsidR="00D65F70" w:rsidRPr="00DC5B6A">
        <w:rPr>
          <w:lang w:val="en-US"/>
        </w:rPr>
        <w:t xml:space="preserve"> cluster. The Euclidean distance of the centroids to each subject in the database was then calculated to group subjects in the clusters with the nearest centroid (Maroco, 2003).</w:t>
      </w:r>
      <w:r w:rsidR="00F97053" w:rsidRPr="00DC5B6A">
        <w:rPr>
          <w:lang w:val="en-US"/>
        </w:rPr>
        <w:t xml:space="preserve"> </w:t>
      </w:r>
      <w:r w:rsidR="00D65F70" w:rsidRPr="00DC5B6A">
        <w:rPr>
          <w:lang w:val="en-US"/>
        </w:rPr>
        <w:t xml:space="preserve">However, because the </w:t>
      </w:r>
      <w:r w:rsidR="00D65F70" w:rsidRPr="00DC5B6A">
        <w:rPr>
          <w:i/>
          <w:lang w:val="en-US"/>
        </w:rPr>
        <w:t>K-means</w:t>
      </w:r>
      <w:r w:rsidR="00D65F70" w:rsidRPr="00DC5B6A">
        <w:rPr>
          <w:lang w:val="en-US"/>
        </w:rPr>
        <w:t xml:space="preserve"> procedures use Euclidian distances, the original variables were standardized to generate a set of z-scores to ensure that all measures contributed equally to the analysis. Due to the absence of a standardized procedure for determining the optimal number of clusters in the analysis, the criteria most frequently mentioned in the </w:t>
      </w:r>
      <w:r w:rsidR="005A4334">
        <w:rPr>
          <w:lang w:val="en-US"/>
        </w:rPr>
        <w:t>literature (e.g., Maroco, 2003</w:t>
      </w:r>
      <w:r w:rsidR="00D65F70" w:rsidRPr="00DC5B6A">
        <w:rPr>
          <w:lang w:val="en-US"/>
        </w:rPr>
        <w:t>) were adopted to ensure that a sufficient number of groups were identified, that the distribution of subjects into clusters was balanced, that statistically significant differences between clusters for each variable were determined, and that the theoretical relevance of each solution was assessed. These criteria produced a four-cluster solution that organized cases into groups that exhibited relatively homogenous characteristics within themselves and heterogeneous characteristics between each other as well as providing the most reasonable interpretation of the data. Table 1</w:t>
      </w:r>
      <w:r w:rsidR="00F97053" w:rsidRPr="00DC5B6A">
        <w:rPr>
          <w:lang w:val="en-US"/>
        </w:rPr>
        <w:t>.</w:t>
      </w:r>
      <w:r w:rsidR="00D65F70" w:rsidRPr="00DC5B6A">
        <w:rPr>
          <w:lang w:val="en-US"/>
        </w:rPr>
        <w:t xml:space="preserve"> presents the mean values for the </w:t>
      </w:r>
      <w:r w:rsidRPr="00D50A7E">
        <w:rPr>
          <w:lang w:val="en-US"/>
        </w:rPr>
        <w:t>vocational</w:t>
      </w:r>
      <w:r w:rsidR="00D65F70" w:rsidRPr="00DC5B6A">
        <w:rPr>
          <w:lang w:val="en-US"/>
        </w:rPr>
        <w:t xml:space="preserve"> variables in the four student clusters and the distribution of the demographi</w:t>
      </w:r>
      <w:r w:rsidR="00F97053" w:rsidRPr="00DC5B6A">
        <w:rPr>
          <w:lang w:val="en-US"/>
        </w:rPr>
        <w:t>c variables of age,</w:t>
      </w:r>
      <w:r w:rsidR="00621C7B" w:rsidRPr="00DC5B6A">
        <w:rPr>
          <w:lang w:val="en-US"/>
        </w:rPr>
        <w:t xml:space="preserve"> sex, and socioeconomic status</w:t>
      </w:r>
      <w:r w:rsidR="00D65F70" w:rsidRPr="00DC5B6A">
        <w:rPr>
          <w:lang w:val="en-US"/>
        </w:rPr>
        <w:t xml:space="preserve"> that characterize each cluster. Table 1 also presents the results of the </w:t>
      </w:r>
      <w:r w:rsidR="002B17E6" w:rsidRPr="00DC5B6A">
        <w:rPr>
          <w:lang w:val="en-US"/>
        </w:rPr>
        <w:t>analysis</w:t>
      </w:r>
      <w:r w:rsidR="00D65F70" w:rsidRPr="00DC5B6A">
        <w:rPr>
          <w:lang w:val="en-US"/>
        </w:rPr>
        <w:t xml:space="preserve"> of variance that were performed to determine the relative contribution of the d</w:t>
      </w:r>
      <w:bookmarkStart w:id="0" w:name="_GoBack"/>
      <w:bookmarkEnd w:id="0"/>
      <w:r w:rsidR="00D65F70" w:rsidRPr="00DC5B6A">
        <w:rPr>
          <w:lang w:val="en-US"/>
        </w:rPr>
        <w:t xml:space="preserve">ifferent </w:t>
      </w:r>
      <w:r w:rsidRPr="00D50A7E">
        <w:rPr>
          <w:lang w:val="en-US"/>
        </w:rPr>
        <w:t>vocational</w:t>
      </w:r>
      <w:r w:rsidR="00D65F70" w:rsidRPr="00DC5B6A">
        <w:rPr>
          <w:lang w:val="en-US"/>
        </w:rPr>
        <w:t xml:space="preserve"> variables to the differentiation of the clusters as well as the corresponding effect size (</w:t>
      </w:r>
      <w:r w:rsidR="00D65F70" w:rsidRPr="00DC5B6A">
        <w:rPr>
          <w:i/>
          <w:iCs/>
          <w:lang w:val="en-US"/>
        </w:rPr>
        <w:t>partial eta-squared</w:t>
      </w:r>
      <w:r w:rsidR="00D65F70" w:rsidRPr="00DC5B6A">
        <w:rPr>
          <w:lang w:val="en-US"/>
        </w:rPr>
        <w:t xml:space="preserve">, </w:t>
      </w:r>
      <w:r w:rsidR="00D65F70" w:rsidRPr="00DC5B6A">
        <w:t>η</w:t>
      </w:r>
      <w:r w:rsidR="00D65F70" w:rsidRPr="00DC5B6A">
        <w:rPr>
          <w:vertAlign w:val="superscript"/>
          <w:lang w:val="en-US"/>
        </w:rPr>
        <w:t>2</w:t>
      </w:r>
      <w:r w:rsidR="00D65F70" w:rsidRPr="00DC5B6A">
        <w:rPr>
          <w:lang w:val="en-US"/>
        </w:rPr>
        <w:t>).</w:t>
      </w:r>
      <w:r w:rsidR="00D47E82" w:rsidRPr="00DC5B6A">
        <w:rPr>
          <w:lang w:val="en-US"/>
        </w:rPr>
        <w:t xml:space="preserve">             </w:t>
      </w:r>
    </w:p>
    <w:p w:rsidR="00D65F70" w:rsidRPr="00DC5B6A" w:rsidRDefault="00D47E82" w:rsidP="00BD377B">
      <w:pPr>
        <w:pStyle w:val="Corpodetexto"/>
        <w:ind w:firstLine="360"/>
        <w:jc w:val="left"/>
        <w:rPr>
          <w:lang w:val="en-US"/>
        </w:rPr>
      </w:pPr>
      <w:r w:rsidRPr="00DC5B6A">
        <w:rPr>
          <w:lang w:val="en-US"/>
        </w:rPr>
        <w:t xml:space="preserve">                </w:t>
      </w:r>
      <w:r w:rsidR="00BD377B" w:rsidRPr="00DC5B6A">
        <w:rPr>
          <w:lang w:val="en-US"/>
        </w:rPr>
        <w:t xml:space="preserve">          </w:t>
      </w:r>
      <w:r w:rsidRPr="00DC5B6A">
        <w:rPr>
          <w:color w:val="4F81BD"/>
          <w:lang w:val="en-US"/>
        </w:rPr>
        <w:t>[insert Table 1]</w:t>
      </w:r>
    </w:p>
    <w:p w:rsidR="00D65F70" w:rsidRPr="00DC5B6A" w:rsidRDefault="00D65F70" w:rsidP="00BD377B">
      <w:pPr>
        <w:pStyle w:val="Corpodetexto"/>
        <w:ind w:firstLine="360"/>
        <w:jc w:val="left"/>
        <w:rPr>
          <w:lang w:val="en-US"/>
        </w:rPr>
      </w:pPr>
      <w:r w:rsidRPr="00DC5B6A">
        <w:rPr>
          <w:lang w:val="en-US"/>
        </w:rPr>
        <w:t xml:space="preserve">The variables that </w:t>
      </w:r>
      <w:r w:rsidR="007C444C" w:rsidRPr="00DC5B6A">
        <w:rPr>
          <w:lang w:val="en-US"/>
        </w:rPr>
        <w:t xml:space="preserve">contributed most to the discrimination </w:t>
      </w:r>
      <w:r w:rsidRPr="00DC5B6A">
        <w:rPr>
          <w:lang w:val="en-US"/>
        </w:rPr>
        <w:t xml:space="preserve">among the clusters were: exploration and commitment (Commitment to Career Choices Scale, CCCS; </w:t>
      </w:r>
      <w:r w:rsidRPr="00DC5B6A">
        <w:t>η</w:t>
      </w:r>
      <w:r w:rsidRPr="00DC5B6A">
        <w:rPr>
          <w:vertAlign w:val="superscript"/>
          <w:lang w:val="en-US"/>
        </w:rPr>
        <w:t>2</w:t>
      </w:r>
      <w:r w:rsidR="00C07C59">
        <w:rPr>
          <w:lang w:val="en-US"/>
        </w:rPr>
        <w:t xml:space="preserve"> = .47</w:t>
      </w:r>
      <w:r w:rsidRPr="00DC5B6A">
        <w:rPr>
          <w:lang w:val="en-US"/>
        </w:rPr>
        <w:t xml:space="preserve">); </w:t>
      </w:r>
      <w:r w:rsidR="007C444C" w:rsidRPr="00DC5B6A">
        <w:rPr>
          <w:lang w:val="en-US"/>
        </w:rPr>
        <w:t>occupational</w:t>
      </w:r>
      <w:r w:rsidRPr="00DC5B6A">
        <w:rPr>
          <w:lang w:val="en-US"/>
        </w:rPr>
        <w:t xml:space="preserve"> information (Career Decision-Making Self-Efficacy Scale, CDMSE; </w:t>
      </w:r>
      <w:r w:rsidRPr="00DC5B6A">
        <w:t>η</w:t>
      </w:r>
      <w:r w:rsidRPr="00DC5B6A">
        <w:rPr>
          <w:vertAlign w:val="superscript"/>
          <w:lang w:val="en-US"/>
        </w:rPr>
        <w:t>2</w:t>
      </w:r>
      <w:r w:rsidR="00C07C59">
        <w:rPr>
          <w:lang w:val="en-US"/>
        </w:rPr>
        <w:t xml:space="preserve"> = .33</w:t>
      </w:r>
      <w:r w:rsidRPr="00DC5B6A">
        <w:rPr>
          <w:lang w:val="en-US"/>
        </w:rPr>
        <w:t xml:space="preserve">); </w:t>
      </w:r>
      <w:r w:rsidRPr="00DC5B6A">
        <w:rPr>
          <w:lang w:val="en-US"/>
        </w:rPr>
        <w:lastRenderedPageBreak/>
        <w:t xml:space="preserve">future plans (CDMSE; </w:t>
      </w:r>
      <w:r w:rsidRPr="00DC5B6A">
        <w:t>η</w:t>
      </w:r>
      <w:r w:rsidRPr="00DC5B6A">
        <w:rPr>
          <w:vertAlign w:val="superscript"/>
          <w:lang w:val="en-US"/>
        </w:rPr>
        <w:t>2</w:t>
      </w:r>
      <w:r w:rsidR="00C07C59">
        <w:rPr>
          <w:lang w:val="en-US"/>
        </w:rPr>
        <w:t xml:space="preserve"> = .32</w:t>
      </w:r>
      <w:r w:rsidRPr="00DC5B6A">
        <w:rPr>
          <w:lang w:val="en-US"/>
        </w:rPr>
        <w:t xml:space="preserve">); indecision (Career Decision Scale, CDS; </w:t>
      </w:r>
      <w:r w:rsidRPr="00DC5B6A">
        <w:t>η</w:t>
      </w:r>
      <w:r w:rsidRPr="00DC5B6A">
        <w:rPr>
          <w:vertAlign w:val="superscript"/>
          <w:lang w:val="en-US"/>
        </w:rPr>
        <w:t>2</w:t>
      </w:r>
      <w:r w:rsidR="00C07C59">
        <w:rPr>
          <w:lang w:val="en-US"/>
        </w:rPr>
        <w:t xml:space="preserve"> = .32</w:t>
      </w:r>
      <w:r w:rsidRPr="00DC5B6A">
        <w:rPr>
          <w:lang w:val="en-US"/>
        </w:rPr>
        <w:t xml:space="preserve">); internal instrumentality (Career Exploration Survey, CES; </w:t>
      </w:r>
      <w:r w:rsidRPr="00DC5B6A">
        <w:t>η</w:t>
      </w:r>
      <w:r w:rsidRPr="00DC5B6A">
        <w:rPr>
          <w:vertAlign w:val="superscript"/>
          <w:lang w:val="en-US"/>
        </w:rPr>
        <w:t>2</w:t>
      </w:r>
      <w:r w:rsidR="00C07C59">
        <w:rPr>
          <w:lang w:val="en-US"/>
        </w:rPr>
        <w:t xml:space="preserve"> = .31</w:t>
      </w:r>
      <w:r w:rsidRPr="00DC5B6A">
        <w:rPr>
          <w:lang w:val="en-US"/>
        </w:rPr>
        <w:t xml:space="preserve">), amount of information (CES; </w:t>
      </w:r>
      <w:r w:rsidRPr="00DC5B6A">
        <w:t>η</w:t>
      </w:r>
      <w:r w:rsidRPr="00DC5B6A">
        <w:rPr>
          <w:vertAlign w:val="superscript"/>
          <w:lang w:val="en-US"/>
        </w:rPr>
        <w:t>2</w:t>
      </w:r>
      <w:r w:rsidR="00C07C59">
        <w:rPr>
          <w:lang w:val="en-US"/>
        </w:rPr>
        <w:t xml:space="preserve"> = .31</w:t>
      </w:r>
      <w:r w:rsidRPr="00DC5B6A">
        <w:rPr>
          <w:lang w:val="en-US"/>
        </w:rPr>
        <w:t xml:space="preserve">) and external instrumentality (CES; </w:t>
      </w:r>
      <w:r w:rsidRPr="00DC5B6A">
        <w:t>η</w:t>
      </w:r>
      <w:r w:rsidRPr="00DC5B6A">
        <w:rPr>
          <w:vertAlign w:val="superscript"/>
          <w:lang w:val="en-US"/>
        </w:rPr>
        <w:t>2</w:t>
      </w:r>
      <w:r w:rsidR="00C07C59">
        <w:rPr>
          <w:lang w:val="en-US"/>
        </w:rPr>
        <w:t xml:space="preserve"> = .30</w:t>
      </w:r>
      <w:r w:rsidRPr="00DC5B6A">
        <w:rPr>
          <w:lang w:val="en-US"/>
        </w:rPr>
        <w:t>). Associations between the demographic variables and the student clusters identified by the four-cluster solution were not statistically significant.</w:t>
      </w:r>
      <w:r w:rsidR="0051613F" w:rsidRPr="00DC5B6A">
        <w:rPr>
          <w:lang w:val="en-US"/>
        </w:rPr>
        <w:t xml:space="preserve"> Regarding the number of students</w:t>
      </w:r>
      <w:r w:rsidR="00BA056E" w:rsidRPr="00DC5B6A">
        <w:rPr>
          <w:lang w:val="en-US"/>
        </w:rPr>
        <w:t>, the</w:t>
      </w:r>
      <w:r w:rsidR="0051613F" w:rsidRPr="00DC5B6A">
        <w:rPr>
          <w:lang w:val="en-US"/>
        </w:rPr>
        <w:t xml:space="preserve"> cluster solution adopted</w:t>
      </w:r>
      <w:r w:rsidRPr="00DC5B6A">
        <w:rPr>
          <w:lang w:val="en-US"/>
        </w:rPr>
        <w:t xml:space="preserve"> did not distribute </w:t>
      </w:r>
      <w:r w:rsidR="0051613F" w:rsidRPr="00DC5B6A">
        <w:rPr>
          <w:lang w:val="en-US"/>
        </w:rPr>
        <w:t xml:space="preserve">them </w:t>
      </w:r>
      <w:r w:rsidRPr="00DC5B6A">
        <w:rPr>
          <w:lang w:val="en-US"/>
        </w:rPr>
        <w:t>equally among the four clusters. The first and third clusters each included more than 100 cases, while cluster 2, with only 48 cases, represented 13.87% of the sample. The values for the career development variables characterizing each stu</w:t>
      </w:r>
      <w:r w:rsidR="007D6F24" w:rsidRPr="00DC5B6A">
        <w:rPr>
          <w:lang w:val="en-US"/>
        </w:rPr>
        <w:t xml:space="preserve">dent cluster are also presented in Table </w:t>
      </w:r>
      <w:r w:rsidR="00BA056E" w:rsidRPr="00DC5B6A">
        <w:rPr>
          <w:lang w:val="en-US"/>
        </w:rPr>
        <w:t>1.</w:t>
      </w:r>
    </w:p>
    <w:p w:rsidR="00D65F70" w:rsidRPr="00DC5B6A" w:rsidRDefault="00D65F70" w:rsidP="00BD377B">
      <w:pPr>
        <w:pStyle w:val="Corpodetexto"/>
        <w:ind w:firstLine="708"/>
        <w:jc w:val="left"/>
        <w:rPr>
          <w:lang w:val="en-US"/>
        </w:rPr>
      </w:pPr>
      <w:r w:rsidRPr="00DC5B6A">
        <w:rPr>
          <w:bCs/>
          <w:lang w:val="en-US"/>
        </w:rPr>
        <w:t>Cluster 1.</w:t>
      </w:r>
      <w:r w:rsidRPr="00DC5B6A">
        <w:rPr>
          <w:lang w:val="en-US"/>
        </w:rPr>
        <w:t xml:space="preserve"> This cluster, which included 31.5% of the students in the sample (n = 109), exhibited moderate to low levels of self-efficacy in decision making and low levels of indecision. These students were </w:t>
      </w:r>
      <w:r w:rsidR="00D47E82" w:rsidRPr="00DC5B6A">
        <w:rPr>
          <w:lang w:val="en-US"/>
        </w:rPr>
        <w:t xml:space="preserve">also </w:t>
      </w:r>
      <w:r w:rsidRPr="00DC5B6A">
        <w:rPr>
          <w:lang w:val="en-US"/>
        </w:rPr>
        <w:t>reasonably committed to previous career options. With respect to career exploration, this cluster grouped students with unfavorable beliefs regarding the professional work environment and the exploration process, as well as low levels of exploration of t</w:t>
      </w:r>
      <w:r w:rsidR="00D47E82" w:rsidRPr="00DC5B6A">
        <w:rPr>
          <w:lang w:val="en-US"/>
        </w:rPr>
        <w:t>he environment and of the self</w:t>
      </w:r>
      <w:r w:rsidRPr="00DC5B6A">
        <w:rPr>
          <w:lang w:val="en-US"/>
        </w:rPr>
        <w:t xml:space="preserve">. With </w:t>
      </w:r>
      <w:r w:rsidR="006C3857" w:rsidRPr="00DC5B6A">
        <w:rPr>
          <w:lang w:val="en-US"/>
        </w:rPr>
        <w:t>respect to exploration reactions</w:t>
      </w:r>
      <w:r w:rsidRPr="00DC5B6A">
        <w:rPr>
          <w:lang w:val="en-US"/>
        </w:rPr>
        <w:t xml:space="preserve">, although students in this cluster exhibited low levels of satisfaction with the information gathered, this was associated with low levels of stress in regard to career exploration and decision-making processes. Briefly, students in this cluster began their internships without having first actively engaged in vocational exploration and planning activities due to their relative “comfort” with their previous career decisions. This cluster was termed the </w:t>
      </w:r>
      <w:r w:rsidR="00ED7BD0" w:rsidRPr="00DC5B6A">
        <w:rPr>
          <w:i/>
          <w:lang w:val="en-US"/>
        </w:rPr>
        <w:t>deferred</w:t>
      </w:r>
      <w:r w:rsidRPr="00DC5B6A">
        <w:rPr>
          <w:lang w:val="en-US"/>
        </w:rPr>
        <w:t xml:space="preserve"> </w:t>
      </w:r>
      <w:r w:rsidRPr="00DC5B6A">
        <w:rPr>
          <w:i/>
          <w:lang w:val="en-US"/>
        </w:rPr>
        <w:t>exploration/committed decision</w:t>
      </w:r>
      <w:r w:rsidRPr="00DC5B6A">
        <w:rPr>
          <w:lang w:val="en-US"/>
        </w:rPr>
        <w:t xml:space="preserve"> group.</w:t>
      </w:r>
    </w:p>
    <w:p w:rsidR="00D65F70" w:rsidRPr="00DC5B6A" w:rsidRDefault="00D65F70" w:rsidP="00BD377B">
      <w:pPr>
        <w:pStyle w:val="Corpodetexto"/>
        <w:ind w:firstLine="708"/>
        <w:jc w:val="left"/>
        <w:rPr>
          <w:lang w:val="en-US"/>
        </w:rPr>
      </w:pPr>
      <w:r w:rsidRPr="00DC5B6A">
        <w:rPr>
          <w:bCs/>
          <w:lang w:val="en-US"/>
        </w:rPr>
        <w:t>Cluster 2.</w:t>
      </w:r>
      <w:r w:rsidRPr="00DC5B6A">
        <w:rPr>
          <w:b/>
          <w:bCs/>
          <w:lang w:val="en-US"/>
        </w:rPr>
        <w:t xml:space="preserve"> </w:t>
      </w:r>
      <w:r w:rsidRPr="00DC5B6A">
        <w:rPr>
          <w:lang w:val="en-US"/>
        </w:rPr>
        <w:t xml:space="preserve">This cluster, which included 13.87% of the students in the sample (n = 48), simultaneously exhibited the lowest levels of self-efficacy in career decision making and the highest levels of indecision, as well as low levels of career choice commitment. They displayed unfavorable beliefs regarding the work environment and their ability to obtain a </w:t>
      </w:r>
      <w:r w:rsidRPr="00DC5B6A">
        <w:rPr>
          <w:lang w:val="en-US"/>
        </w:rPr>
        <w:lastRenderedPageBreak/>
        <w:t xml:space="preserve">favorable position in the labor market. In contrast, these students valued the exploration of the environment and of themselves as an “instrumental” activity for achieving career goals. These students also exhibited </w:t>
      </w:r>
      <w:r w:rsidR="00A37CD2" w:rsidRPr="00DC5B6A">
        <w:rPr>
          <w:lang w:val="en-US"/>
        </w:rPr>
        <w:t xml:space="preserve">the lowest levels of intended-systematic exploration, </w:t>
      </w:r>
      <w:r w:rsidRPr="00DC5B6A">
        <w:rPr>
          <w:lang w:val="en-US"/>
        </w:rPr>
        <w:t xml:space="preserve">environment </w:t>
      </w:r>
      <w:r w:rsidR="00A37CD2" w:rsidRPr="00DC5B6A">
        <w:rPr>
          <w:lang w:val="en-US"/>
        </w:rPr>
        <w:t xml:space="preserve">exploration </w:t>
      </w:r>
      <w:r w:rsidRPr="00DC5B6A">
        <w:rPr>
          <w:lang w:val="en-US"/>
        </w:rPr>
        <w:t xml:space="preserve">and </w:t>
      </w:r>
      <w:r w:rsidR="00A37CD2" w:rsidRPr="00DC5B6A">
        <w:rPr>
          <w:lang w:val="en-US"/>
        </w:rPr>
        <w:t xml:space="preserve">of </w:t>
      </w:r>
      <w:r w:rsidRPr="00DC5B6A">
        <w:rPr>
          <w:lang w:val="en-US"/>
        </w:rPr>
        <w:t>amount of information gathered. In addition to gathering less information, these students responded</w:t>
      </w:r>
      <w:r w:rsidRPr="00DC5B6A" w:rsidDel="002465F2">
        <w:rPr>
          <w:lang w:val="en-US"/>
        </w:rPr>
        <w:t xml:space="preserve"> </w:t>
      </w:r>
      <w:r w:rsidRPr="00DC5B6A">
        <w:rPr>
          <w:lang w:val="en-US"/>
        </w:rPr>
        <w:t xml:space="preserve">unfavorably to exploration, which was reflected in low levels of satisfaction with the information gathered, as well as the stress associated with exploration and decision-making processes. In summary, these students entered their internships without having first engaged in high quality exploratory activities, despite the stress created by their lack of confidence and high levels of anxiety regarding career decisions. This cluster was termed the </w:t>
      </w:r>
      <w:r w:rsidRPr="00DC5B6A">
        <w:rPr>
          <w:i/>
          <w:lang w:val="en-US"/>
        </w:rPr>
        <w:t>self-oriented/avoidant exploration</w:t>
      </w:r>
      <w:r w:rsidRPr="00DC5B6A">
        <w:rPr>
          <w:lang w:val="en-US"/>
        </w:rPr>
        <w:t xml:space="preserve"> group.</w:t>
      </w:r>
    </w:p>
    <w:p w:rsidR="00D65F70" w:rsidRPr="00DC5B6A" w:rsidRDefault="00D65F70" w:rsidP="00BD377B">
      <w:pPr>
        <w:pStyle w:val="Corpodetexto"/>
        <w:ind w:firstLine="708"/>
        <w:jc w:val="left"/>
        <w:rPr>
          <w:lang w:val="en-US"/>
        </w:rPr>
      </w:pPr>
      <w:r w:rsidRPr="00DC5B6A">
        <w:rPr>
          <w:bCs/>
          <w:lang w:val="en-US"/>
        </w:rPr>
        <w:t>Cluster 3.</w:t>
      </w:r>
      <w:r w:rsidRPr="00DC5B6A">
        <w:rPr>
          <w:lang w:val="en-US"/>
        </w:rPr>
        <w:t xml:space="preserve"> This cluster, which included 34.97% of the students in the sample (n = 121), simultaneously</w:t>
      </w:r>
      <w:r w:rsidRPr="00DC5B6A" w:rsidDel="00570B5B">
        <w:rPr>
          <w:lang w:val="en-US"/>
        </w:rPr>
        <w:t xml:space="preserve"> </w:t>
      </w:r>
      <w:r w:rsidRPr="00DC5B6A">
        <w:rPr>
          <w:lang w:val="en-US"/>
        </w:rPr>
        <w:t>exhibited high levels of self-efficacy in decision making and above average levels of indecision, which were associated with low commitment to previous career choices. They displayed favorable beliefs with respect to career explo</w:t>
      </w:r>
      <w:r w:rsidR="00891C5B" w:rsidRPr="00DC5B6A">
        <w:rPr>
          <w:lang w:val="en-US"/>
        </w:rPr>
        <w:t>ration regarding both self</w:t>
      </w:r>
      <w:r w:rsidRPr="00DC5B6A">
        <w:rPr>
          <w:lang w:val="en-US"/>
        </w:rPr>
        <w:t xml:space="preserve"> exploration and the work environment. This cluster also included students with the highest levels of </w:t>
      </w:r>
      <w:r w:rsidR="00891C5B" w:rsidRPr="00DC5B6A">
        <w:rPr>
          <w:lang w:val="en-US"/>
        </w:rPr>
        <w:t>self-exploration and intended-systematic</w:t>
      </w:r>
      <w:r w:rsidRPr="00DC5B6A">
        <w:rPr>
          <w:lang w:val="en-US"/>
        </w:rPr>
        <w:t xml:space="preserve"> exploration, which were associated with high levels of stress regarding career exploration and decision-making. These students seemed to approach the internship situation with a clear sense of their interests, skills, and </w:t>
      </w:r>
      <w:r w:rsidR="00D970F2" w:rsidRPr="00DC5B6A">
        <w:rPr>
          <w:lang w:val="en-US"/>
        </w:rPr>
        <w:t xml:space="preserve">of </w:t>
      </w:r>
      <w:r w:rsidRPr="00DC5B6A">
        <w:rPr>
          <w:lang w:val="en-US"/>
        </w:rPr>
        <w:t>the alternatives available at schoo</w:t>
      </w:r>
      <w:r w:rsidR="008F2A63" w:rsidRPr="00DC5B6A">
        <w:rPr>
          <w:lang w:val="en-US"/>
        </w:rPr>
        <w:t xml:space="preserve">l and in the </w:t>
      </w:r>
      <w:r w:rsidR="00D970F2" w:rsidRPr="00DC5B6A">
        <w:rPr>
          <w:lang w:val="en-US"/>
        </w:rPr>
        <w:t>world</w:t>
      </w:r>
      <w:r w:rsidR="008F2A63" w:rsidRPr="00DC5B6A">
        <w:rPr>
          <w:lang w:val="en-US"/>
        </w:rPr>
        <w:t xml:space="preserve"> of work</w:t>
      </w:r>
      <w:r w:rsidR="00D970F2" w:rsidRPr="00DC5B6A">
        <w:rPr>
          <w:lang w:val="en-US"/>
        </w:rPr>
        <w:t xml:space="preserve">. For this reason, </w:t>
      </w:r>
      <w:r w:rsidRPr="00DC5B6A">
        <w:rPr>
          <w:lang w:val="en-US"/>
        </w:rPr>
        <w:t xml:space="preserve">their high levels of indecision appeared to be due to the anxiety produced by career planning and decision-making. This cluster was termed the </w:t>
      </w:r>
      <w:r w:rsidRPr="00DC5B6A">
        <w:rPr>
          <w:i/>
          <w:lang w:val="en-US"/>
        </w:rPr>
        <w:t>systematic exploration/</w:t>
      </w:r>
      <w:r w:rsidR="00891C5B" w:rsidRPr="00DC5B6A">
        <w:rPr>
          <w:i/>
          <w:lang w:val="en-US"/>
        </w:rPr>
        <w:t>deferred</w:t>
      </w:r>
      <w:r w:rsidRPr="00DC5B6A">
        <w:rPr>
          <w:i/>
          <w:lang w:val="en-US"/>
        </w:rPr>
        <w:t xml:space="preserve"> decision and commitment</w:t>
      </w:r>
      <w:r w:rsidRPr="00DC5B6A">
        <w:rPr>
          <w:lang w:val="en-US"/>
        </w:rPr>
        <w:t xml:space="preserve"> group.</w:t>
      </w:r>
    </w:p>
    <w:p w:rsidR="00D65F70" w:rsidRPr="00DC5B6A" w:rsidRDefault="00D65F70" w:rsidP="00BD377B">
      <w:pPr>
        <w:pStyle w:val="Corpodetexto"/>
        <w:ind w:firstLine="708"/>
        <w:jc w:val="left"/>
        <w:rPr>
          <w:lang w:val="en-US"/>
        </w:rPr>
      </w:pPr>
      <w:r w:rsidRPr="00DC5B6A">
        <w:rPr>
          <w:bCs/>
          <w:lang w:val="en-US"/>
        </w:rPr>
        <w:t>Cluster 4.</w:t>
      </w:r>
      <w:r w:rsidRPr="00DC5B6A">
        <w:rPr>
          <w:lang w:val="en-US"/>
        </w:rPr>
        <w:t xml:space="preserve"> Students in this cluster, which included 19.65% of the students in the sample (n = 68), regarded themselves as capable of making vocational decisions. They displayed low levels of indecision and had the highest levels of commitment to previous </w:t>
      </w:r>
      <w:r w:rsidRPr="00DC5B6A">
        <w:rPr>
          <w:lang w:val="en-US"/>
        </w:rPr>
        <w:lastRenderedPageBreak/>
        <w:t>career decisions. Their favorable beliefs regarding career exploration were accompanied by intentional and self-oriented</w:t>
      </w:r>
      <w:r w:rsidRPr="00DC5B6A" w:rsidDel="00F31EBA">
        <w:rPr>
          <w:lang w:val="en-US"/>
        </w:rPr>
        <w:t xml:space="preserve"> </w:t>
      </w:r>
      <w:r w:rsidRPr="00DC5B6A">
        <w:rPr>
          <w:lang w:val="en-US"/>
        </w:rPr>
        <w:t>exploratory activity. These students were satisfied with the level of information gathered and experienced low levels of stress regarding career exploration and decision making. Because the confident exploration pattern that characterized these students enabled them to approach the internship situation with a clear—although not always flexible—sense of their career goals, we expected a</w:t>
      </w:r>
      <w:r w:rsidR="00596FF4" w:rsidRPr="00DC5B6A">
        <w:rPr>
          <w:lang w:val="en-US"/>
        </w:rPr>
        <w:t xml:space="preserve"> positive outcome of the training period</w:t>
      </w:r>
      <w:r w:rsidRPr="00DC5B6A">
        <w:rPr>
          <w:lang w:val="en-US"/>
        </w:rPr>
        <w:t xml:space="preserve">. This cluster was termed the </w:t>
      </w:r>
      <w:r w:rsidRPr="00DC5B6A">
        <w:rPr>
          <w:i/>
          <w:lang w:val="en-US"/>
        </w:rPr>
        <w:t>confident exploration/high career commitment</w:t>
      </w:r>
      <w:r w:rsidRPr="00DC5B6A">
        <w:rPr>
          <w:lang w:val="en-US"/>
        </w:rPr>
        <w:t xml:space="preserve"> group.</w:t>
      </w:r>
    </w:p>
    <w:p w:rsidR="00D65F70" w:rsidRPr="00DC5B6A" w:rsidRDefault="00D65F70" w:rsidP="00BD377B">
      <w:pPr>
        <w:spacing w:line="480" w:lineRule="auto"/>
        <w:ind w:firstLine="708"/>
        <w:rPr>
          <w:lang w:val="en-US"/>
        </w:rPr>
      </w:pPr>
      <w:r w:rsidRPr="00DC5B6A">
        <w:rPr>
          <w:lang w:val="en-US"/>
        </w:rPr>
        <w:t>The second phase of the analysis employed repeated measures ANCOVA to assess the significant interactions between per</w:t>
      </w:r>
      <w:r w:rsidR="006948B4" w:rsidRPr="00DC5B6A">
        <w:rPr>
          <w:lang w:val="en-US"/>
        </w:rPr>
        <w:t>ceived internship qualities (IQI</w:t>
      </w:r>
      <w:r w:rsidRPr="00DC5B6A">
        <w:rPr>
          <w:lang w:val="en-US"/>
        </w:rPr>
        <w:t>) and the changes in vocational variables from T1 to T2</w:t>
      </w:r>
      <w:r w:rsidR="00D50A7E">
        <w:rPr>
          <w:lang w:val="en-US"/>
        </w:rPr>
        <w:t>,</w:t>
      </w:r>
      <w:r w:rsidRPr="00DC5B6A">
        <w:rPr>
          <w:lang w:val="en-US"/>
        </w:rPr>
        <w:t xml:space="preserve"> for each cluster. The vocational domain variables were successively included as within-subjects, repeated measures factors with two levels (prior to and after the internship), with internship qualities serving as covariates. Table 2 presents a summary of the results for the interactions with </w:t>
      </w:r>
      <w:r w:rsidRPr="00DC5B6A">
        <w:t>η</w:t>
      </w:r>
      <w:r w:rsidRPr="00DC5B6A">
        <w:rPr>
          <w:vertAlign w:val="superscript"/>
          <w:lang w:val="en-US"/>
        </w:rPr>
        <w:t>2</w:t>
      </w:r>
      <w:r w:rsidRPr="00DC5B6A">
        <w:rPr>
          <w:lang w:val="en-US"/>
        </w:rPr>
        <w:t xml:space="preserve"> &gt; 0.05.</w:t>
      </w:r>
    </w:p>
    <w:p w:rsidR="005E53AE" w:rsidRPr="00DC5B6A" w:rsidRDefault="005E53AE" w:rsidP="00BD377B">
      <w:pPr>
        <w:spacing w:line="480" w:lineRule="auto"/>
        <w:ind w:firstLine="708"/>
        <w:rPr>
          <w:color w:val="4F81BD"/>
          <w:lang w:val="en-US"/>
        </w:rPr>
      </w:pPr>
      <w:r w:rsidRPr="00DC5B6A">
        <w:rPr>
          <w:color w:val="4F81BD"/>
          <w:lang w:val="en-US"/>
        </w:rPr>
        <w:t>[insert table 2]</w:t>
      </w:r>
    </w:p>
    <w:p w:rsidR="00D65F70" w:rsidRPr="00DC5B6A" w:rsidRDefault="00F03B07" w:rsidP="00BD377B">
      <w:pPr>
        <w:pStyle w:val="Corpodetexto"/>
        <w:ind w:firstLine="708"/>
        <w:jc w:val="left"/>
        <w:rPr>
          <w:lang w:val="en-US"/>
        </w:rPr>
      </w:pPr>
      <w:r w:rsidRPr="00F03B07">
        <w:rPr>
          <w:i/>
          <w:lang w:val="en-US"/>
        </w:rPr>
        <w:t>Deferred exploration/committed decision group</w:t>
      </w:r>
      <w:r>
        <w:rPr>
          <w:lang w:val="en-US"/>
        </w:rPr>
        <w:t xml:space="preserve"> - </w:t>
      </w:r>
      <w:r>
        <w:rPr>
          <w:bCs/>
          <w:lang w:val="en-US"/>
        </w:rPr>
        <w:t>w</w:t>
      </w:r>
      <w:r w:rsidR="00D65F70" w:rsidRPr="00DC5B6A">
        <w:rPr>
          <w:bCs/>
          <w:lang w:val="en-US"/>
        </w:rPr>
        <w:t xml:space="preserve">ith respect </w:t>
      </w:r>
      <w:r w:rsidR="00D65F70" w:rsidRPr="00DC5B6A">
        <w:rPr>
          <w:lang w:val="en-US"/>
        </w:rPr>
        <w:t xml:space="preserve">to career indecision (CDS), students in this cluster had a value below the overall sample average at T1, and the extent of the change observed from T1 to T2 exhibited a significant interaction with supervisor training, </w:t>
      </w:r>
      <w:r w:rsidR="00D65F70" w:rsidRPr="00DC5B6A">
        <w:rPr>
          <w:i/>
          <w:lang w:val="en-US"/>
        </w:rPr>
        <w:t>F</w:t>
      </w:r>
      <w:r w:rsidR="00D65F70" w:rsidRPr="00DC5B6A">
        <w:rPr>
          <w:lang w:val="en-US"/>
        </w:rPr>
        <w:t xml:space="preserve">(1, 107) = 8.30, </w:t>
      </w:r>
      <w:r w:rsidR="00D65F70" w:rsidRPr="00DC5B6A">
        <w:t>η</w:t>
      </w:r>
      <w:r w:rsidR="00D65F70" w:rsidRPr="00DC5B6A">
        <w:rPr>
          <w:vertAlign w:val="superscript"/>
          <w:lang w:val="en-US"/>
        </w:rPr>
        <w:t>2</w:t>
      </w:r>
      <w:r w:rsidR="00C07C59">
        <w:rPr>
          <w:lang w:val="en-US"/>
        </w:rPr>
        <w:t xml:space="preserve"> = .07</w:t>
      </w:r>
      <w:r w:rsidR="00D65F70" w:rsidRPr="00DC5B6A">
        <w:rPr>
          <w:lang w:val="en-US"/>
        </w:rPr>
        <w:t xml:space="preserve">. The tendency to prematurely exclude options (Tendency to </w:t>
      </w:r>
      <w:r w:rsidR="006948B4" w:rsidRPr="00DC5B6A">
        <w:rPr>
          <w:lang w:val="en-US"/>
        </w:rPr>
        <w:t>Foreclose</w:t>
      </w:r>
      <w:r w:rsidR="00D65F70" w:rsidRPr="00DC5B6A">
        <w:rPr>
          <w:lang w:val="en-US"/>
        </w:rPr>
        <w:t xml:space="preserve"> Subscale, TTFS) exhibited similar results because both learning opportunities and social support exhibited positive interactions with this factor, </w:t>
      </w:r>
      <w:r w:rsidR="00D65F70" w:rsidRPr="00DC5B6A">
        <w:rPr>
          <w:i/>
          <w:lang w:val="en-US"/>
        </w:rPr>
        <w:t>F</w:t>
      </w:r>
      <w:r w:rsidR="00C07C59">
        <w:rPr>
          <w:lang w:val="en-US"/>
        </w:rPr>
        <w:t>(1, 107) = 7.4</w:t>
      </w:r>
      <w:r w:rsidR="00D65F70" w:rsidRPr="00DC5B6A">
        <w:rPr>
          <w:lang w:val="en-US"/>
        </w:rPr>
        <w:t xml:space="preserve">0, </w:t>
      </w:r>
      <w:r w:rsidR="00D65F70" w:rsidRPr="00DC5B6A">
        <w:t>η</w:t>
      </w:r>
      <w:r w:rsidR="00D65F70" w:rsidRPr="00DC5B6A">
        <w:rPr>
          <w:vertAlign w:val="superscript"/>
          <w:lang w:val="en-US"/>
        </w:rPr>
        <w:t>2</w:t>
      </w:r>
      <w:r w:rsidR="00C07C59">
        <w:rPr>
          <w:lang w:val="en-US"/>
        </w:rPr>
        <w:t xml:space="preserve"> = .07</w:t>
      </w:r>
      <w:r w:rsidR="00D65F70" w:rsidRPr="00DC5B6A">
        <w:rPr>
          <w:lang w:val="en-US"/>
        </w:rPr>
        <w:t xml:space="preserve">, and </w:t>
      </w:r>
      <w:r w:rsidR="00D65F70" w:rsidRPr="00DC5B6A">
        <w:rPr>
          <w:i/>
          <w:lang w:val="en-US"/>
        </w:rPr>
        <w:t>F</w:t>
      </w:r>
      <w:r w:rsidR="00C07C59">
        <w:rPr>
          <w:lang w:val="en-US"/>
        </w:rPr>
        <w:t>(1, 107) = 6.51</w:t>
      </w:r>
      <w:r w:rsidR="00D65F70" w:rsidRPr="00DC5B6A">
        <w:rPr>
          <w:lang w:val="en-US"/>
        </w:rPr>
        <w:t xml:space="preserve">, </w:t>
      </w:r>
      <w:r w:rsidR="00D65F70" w:rsidRPr="00DC5B6A">
        <w:t>η</w:t>
      </w:r>
      <w:r w:rsidR="00D65F70" w:rsidRPr="00DC5B6A">
        <w:rPr>
          <w:vertAlign w:val="superscript"/>
          <w:lang w:val="en-US"/>
        </w:rPr>
        <w:t>2</w:t>
      </w:r>
      <w:r w:rsidR="00C07C59">
        <w:rPr>
          <w:lang w:val="en-US"/>
        </w:rPr>
        <w:t xml:space="preserve"> = .06</w:t>
      </w:r>
      <w:r w:rsidR="00D65F70" w:rsidRPr="00DC5B6A">
        <w:rPr>
          <w:lang w:val="en-US"/>
        </w:rPr>
        <w:t>, respectively. There were gains in the desired direction from T1 to T2 for all measures of belief</w:t>
      </w:r>
      <w:r w:rsidR="00F4477F" w:rsidRPr="00DC5B6A">
        <w:rPr>
          <w:lang w:val="en-US"/>
        </w:rPr>
        <w:t>s</w:t>
      </w:r>
      <w:r w:rsidR="00D65F70" w:rsidRPr="00DC5B6A">
        <w:rPr>
          <w:lang w:val="en-US"/>
        </w:rPr>
        <w:t xml:space="preserve"> </w:t>
      </w:r>
      <w:r w:rsidR="00F4477F" w:rsidRPr="00DC5B6A">
        <w:rPr>
          <w:lang w:val="en-US"/>
        </w:rPr>
        <w:t xml:space="preserve">about </w:t>
      </w:r>
      <w:r w:rsidR="00D65F70" w:rsidRPr="00DC5B6A">
        <w:rPr>
          <w:lang w:val="en-US"/>
        </w:rPr>
        <w:t xml:space="preserve">exploration (CES), except for the importance of a preferred position subscale. In this domain, there was a significant interaction between internal instrumentality and colleague feedback, </w:t>
      </w:r>
      <w:r w:rsidR="00D65F70" w:rsidRPr="00DC5B6A">
        <w:rPr>
          <w:i/>
          <w:lang w:val="en-US"/>
        </w:rPr>
        <w:t>F</w:t>
      </w:r>
      <w:r w:rsidR="00D65F70" w:rsidRPr="00DC5B6A">
        <w:rPr>
          <w:lang w:val="en-US"/>
        </w:rPr>
        <w:t xml:space="preserve">(1, 107) = 7.33, </w:t>
      </w:r>
      <w:r w:rsidR="00D65F70" w:rsidRPr="00DC5B6A">
        <w:t>η</w:t>
      </w:r>
      <w:r w:rsidR="00D65F70" w:rsidRPr="00DC5B6A">
        <w:rPr>
          <w:vertAlign w:val="superscript"/>
          <w:lang w:val="en-US"/>
        </w:rPr>
        <w:t>2</w:t>
      </w:r>
      <w:r w:rsidR="00C07C59">
        <w:rPr>
          <w:lang w:val="en-US"/>
        </w:rPr>
        <w:t xml:space="preserve"> = .06</w:t>
      </w:r>
      <w:r w:rsidR="00D65F70" w:rsidRPr="00DC5B6A">
        <w:rPr>
          <w:lang w:val="en-US"/>
        </w:rPr>
        <w:t xml:space="preserve">. All changes in exploration behaviors from T1 to T2 were positive and statistically significant, </w:t>
      </w:r>
      <w:r w:rsidR="00D65F70" w:rsidRPr="00DC5B6A">
        <w:rPr>
          <w:lang w:val="en-US"/>
        </w:rPr>
        <w:lastRenderedPageBreak/>
        <w:t xml:space="preserve">indicating that gains occurred between the onset and end of the internship. The more significant interactions were between environment exploration and supervisor support, </w:t>
      </w:r>
      <w:r w:rsidR="00D65F70" w:rsidRPr="00DC5B6A">
        <w:rPr>
          <w:i/>
          <w:lang w:val="en-US"/>
        </w:rPr>
        <w:t>F</w:t>
      </w:r>
      <w:r w:rsidR="00D65F70" w:rsidRPr="00DC5B6A">
        <w:rPr>
          <w:lang w:val="en-US"/>
        </w:rPr>
        <w:t xml:space="preserve">(1, 107) = 5.91, </w:t>
      </w:r>
      <w:r w:rsidR="00D65F70" w:rsidRPr="00DC5B6A">
        <w:t>η</w:t>
      </w:r>
      <w:r w:rsidR="00D65F70" w:rsidRPr="00DC5B6A">
        <w:rPr>
          <w:vertAlign w:val="superscript"/>
          <w:lang w:val="en-US"/>
        </w:rPr>
        <w:t>2</w:t>
      </w:r>
      <w:r w:rsidR="00C07C59">
        <w:rPr>
          <w:lang w:val="en-US"/>
        </w:rPr>
        <w:t xml:space="preserve"> = .05</w:t>
      </w:r>
      <w:r w:rsidR="00D65F70" w:rsidRPr="00DC5B6A">
        <w:rPr>
          <w:lang w:val="en-US"/>
        </w:rPr>
        <w:t>; self-exploration and learning opportunities,</w:t>
      </w:r>
      <w:r w:rsidR="00D65F70" w:rsidRPr="00DC5B6A">
        <w:rPr>
          <w:i/>
          <w:lang w:val="en-US"/>
        </w:rPr>
        <w:t xml:space="preserve"> F</w:t>
      </w:r>
      <w:r w:rsidR="00D65F70" w:rsidRPr="00DC5B6A">
        <w:rPr>
          <w:lang w:val="en-US"/>
        </w:rPr>
        <w:t xml:space="preserve">(1, 107) = 9.64, </w:t>
      </w:r>
      <w:r w:rsidR="00D65F70" w:rsidRPr="00DC5B6A">
        <w:t>η</w:t>
      </w:r>
      <w:r w:rsidR="00D65F70" w:rsidRPr="00DC5B6A">
        <w:rPr>
          <w:vertAlign w:val="superscript"/>
          <w:lang w:val="en-US"/>
        </w:rPr>
        <w:t>2</w:t>
      </w:r>
      <w:r w:rsidR="00C07C59">
        <w:rPr>
          <w:lang w:val="en-US"/>
        </w:rPr>
        <w:t xml:space="preserve"> = .08</w:t>
      </w:r>
      <w:r w:rsidR="00F4477F" w:rsidRPr="00DC5B6A">
        <w:rPr>
          <w:lang w:val="en-US"/>
        </w:rPr>
        <w:t>; intended-systematic</w:t>
      </w:r>
      <w:r w:rsidR="00D65F70" w:rsidRPr="00DC5B6A">
        <w:rPr>
          <w:lang w:val="en-US"/>
        </w:rPr>
        <w:t xml:space="preserve"> exploration and supervisor support, </w:t>
      </w:r>
      <w:r w:rsidR="00D65F70" w:rsidRPr="00DC5B6A">
        <w:rPr>
          <w:i/>
          <w:lang w:val="en-US"/>
        </w:rPr>
        <w:t>F</w:t>
      </w:r>
      <w:r w:rsidR="00D65F70" w:rsidRPr="00DC5B6A">
        <w:rPr>
          <w:lang w:val="en-US"/>
        </w:rPr>
        <w:t xml:space="preserve">(1, 107) = 7.56, </w:t>
      </w:r>
      <w:r w:rsidR="00D65F70" w:rsidRPr="00DC5B6A">
        <w:t>η</w:t>
      </w:r>
      <w:r w:rsidR="00D65F70" w:rsidRPr="00DC5B6A">
        <w:rPr>
          <w:vertAlign w:val="superscript"/>
          <w:lang w:val="en-US"/>
        </w:rPr>
        <w:t>2</w:t>
      </w:r>
      <w:r w:rsidR="00C07C59">
        <w:rPr>
          <w:lang w:val="en-US"/>
        </w:rPr>
        <w:t xml:space="preserve"> = .07</w:t>
      </w:r>
      <w:r w:rsidR="00F4477F" w:rsidRPr="00DC5B6A">
        <w:rPr>
          <w:lang w:val="en-US"/>
        </w:rPr>
        <w:t>; and the amount</w:t>
      </w:r>
      <w:r w:rsidR="00D65F70" w:rsidRPr="00DC5B6A">
        <w:rPr>
          <w:lang w:val="en-US"/>
        </w:rPr>
        <w:t xml:space="preserve"> of information and colleague feedback, </w:t>
      </w:r>
      <w:r w:rsidR="00D65F70" w:rsidRPr="00DC5B6A">
        <w:rPr>
          <w:i/>
          <w:lang w:val="en-US"/>
        </w:rPr>
        <w:t>F</w:t>
      </w:r>
      <w:r w:rsidR="00D65F70" w:rsidRPr="00DC5B6A">
        <w:rPr>
          <w:lang w:val="en-US"/>
        </w:rPr>
        <w:t xml:space="preserve">(1, 107) = 9.45, </w:t>
      </w:r>
      <w:r w:rsidR="00D65F70" w:rsidRPr="00DC5B6A">
        <w:t>η</w:t>
      </w:r>
      <w:r w:rsidR="00D65F70" w:rsidRPr="00DC5B6A">
        <w:rPr>
          <w:vertAlign w:val="superscript"/>
          <w:lang w:val="en-US"/>
        </w:rPr>
        <w:t>2</w:t>
      </w:r>
      <w:r w:rsidR="00C07C59">
        <w:rPr>
          <w:lang w:val="en-US"/>
        </w:rPr>
        <w:t xml:space="preserve"> = .08</w:t>
      </w:r>
      <w:r w:rsidR="00D65F70" w:rsidRPr="00DC5B6A">
        <w:rPr>
          <w:lang w:val="en-US"/>
        </w:rPr>
        <w:t>. Briefly, the technical and professional activities that occurred during the internship had a greater impact on students’ self-analysis, while the support of colleagues and supervisors exhibited a gre</w:t>
      </w:r>
      <w:r w:rsidR="00F4477F" w:rsidRPr="00DC5B6A">
        <w:rPr>
          <w:lang w:val="en-US"/>
        </w:rPr>
        <w:t>ater association with intended-systematic exploration</w:t>
      </w:r>
      <w:r w:rsidR="00D65F70" w:rsidRPr="00DC5B6A">
        <w:rPr>
          <w:lang w:val="en-US"/>
        </w:rPr>
        <w:t>. Satisfaction levels increased during the internship period, which was accompanied by increased stress regarding career exploration and decision making. Internship qualities were associated with changes in stress</w:t>
      </w:r>
      <w:r w:rsidR="00D65F70" w:rsidRPr="00DC5B6A" w:rsidDel="0029359D">
        <w:rPr>
          <w:lang w:val="en-US"/>
        </w:rPr>
        <w:t xml:space="preserve"> </w:t>
      </w:r>
      <w:r w:rsidR="00D65F70" w:rsidRPr="00DC5B6A">
        <w:rPr>
          <w:lang w:val="en-US"/>
        </w:rPr>
        <w:t xml:space="preserve">due to decision making and, in particular, due to interactions with task variety, </w:t>
      </w:r>
      <w:r w:rsidR="00D65F70" w:rsidRPr="00DC5B6A">
        <w:rPr>
          <w:i/>
          <w:lang w:val="en-US"/>
        </w:rPr>
        <w:t>F</w:t>
      </w:r>
      <w:r w:rsidR="00D65F70" w:rsidRPr="00DC5B6A">
        <w:rPr>
          <w:lang w:val="en-US"/>
        </w:rPr>
        <w:t xml:space="preserve">(1, 107) = 6.77, </w:t>
      </w:r>
      <w:r w:rsidR="00D65F70" w:rsidRPr="00DC5B6A">
        <w:t>η</w:t>
      </w:r>
      <w:r w:rsidR="00D65F70" w:rsidRPr="00DC5B6A">
        <w:rPr>
          <w:vertAlign w:val="superscript"/>
          <w:lang w:val="en-US"/>
        </w:rPr>
        <w:t>2</w:t>
      </w:r>
      <w:r w:rsidR="00C07C59">
        <w:rPr>
          <w:lang w:val="en-US"/>
        </w:rPr>
        <w:t xml:space="preserve"> = .06</w:t>
      </w:r>
      <w:r w:rsidR="00D65F70" w:rsidRPr="00DC5B6A">
        <w:rPr>
          <w:lang w:val="en-US"/>
        </w:rPr>
        <w:t xml:space="preserve">, and learning opportunities, </w:t>
      </w:r>
      <w:r w:rsidR="00D65F70" w:rsidRPr="00DC5B6A">
        <w:rPr>
          <w:i/>
          <w:lang w:val="en-US"/>
        </w:rPr>
        <w:t>F</w:t>
      </w:r>
      <w:r w:rsidR="00D65F70" w:rsidRPr="00DC5B6A">
        <w:rPr>
          <w:lang w:val="en-US"/>
        </w:rPr>
        <w:t xml:space="preserve">(1, 107) = 5.89, </w:t>
      </w:r>
      <w:r w:rsidR="00D65F70" w:rsidRPr="00DC5B6A">
        <w:t>η</w:t>
      </w:r>
      <w:r w:rsidR="00D65F70" w:rsidRPr="00DC5B6A">
        <w:rPr>
          <w:vertAlign w:val="superscript"/>
          <w:lang w:val="en-US"/>
        </w:rPr>
        <w:t>2</w:t>
      </w:r>
      <w:r w:rsidR="00C07C59">
        <w:rPr>
          <w:lang w:val="en-US"/>
        </w:rPr>
        <w:t xml:space="preserve"> = .05</w:t>
      </w:r>
      <w:r w:rsidR="00D65F70" w:rsidRPr="00DC5B6A">
        <w:rPr>
          <w:lang w:val="en-US"/>
        </w:rPr>
        <w:t>, with improved learning opportunities associated with a greater change in stress</w:t>
      </w:r>
      <w:r w:rsidR="00D65F70" w:rsidRPr="00DC5B6A" w:rsidDel="0029359D">
        <w:rPr>
          <w:lang w:val="en-US"/>
        </w:rPr>
        <w:t xml:space="preserve"> </w:t>
      </w:r>
      <w:r w:rsidR="00D65F70" w:rsidRPr="00DC5B6A">
        <w:rPr>
          <w:lang w:val="en-US"/>
        </w:rPr>
        <w:t xml:space="preserve">due to decision making. Finally, regarding self-efficacy in decision making, significant interactions were observed between self-evaluation and learning opportunities, </w:t>
      </w:r>
      <w:r w:rsidR="00D65F70" w:rsidRPr="00DC5B6A">
        <w:rPr>
          <w:i/>
          <w:lang w:val="en-US"/>
        </w:rPr>
        <w:t>F</w:t>
      </w:r>
      <w:r w:rsidR="00D65F70" w:rsidRPr="00DC5B6A">
        <w:rPr>
          <w:lang w:val="en-US"/>
        </w:rPr>
        <w:t xml:space="preserve">(1, 107) = 8.01, </w:t>
      </w:r>
      <w:r w:rsidR="00D65F70" w:rsidRPr="00DC5B6A">
        <w:t>η</w:t>
      </w:r>
      <w:r w:rsidR="00D65F70" w:rsidRPr="00DC5B6A">
        <w:rPr>
          <w:vertAlign w:val="superscript"/>
          <w:lang w:val="en-US"/>
        </w:rPr>
        <w:t>2</w:t>
      </w:r>
      <w:r w:rsidR="00C07C59">
        <w:rPr>
          <w:lang w:val="en-US"/>
        </w:rPr>
        <w:t xml:space="preserve"> = .07</w:t>
      </w:r>
      <w:r w:rsidR="00D65F70" w:rsidRPr="00DC5B6A">
        <w:rPr>
          <w:lang w:val="en-US"/>
        </w:rPr>
        <w:t xml:space="preserve">, and </w:t>
      </w:r>
      <w:r w:rsidR="00031651" w:rsidRPr="00DC5B6A">
        <w:rPr>
          <w:lang w:val="en-US"/>
        </w:rPr>
        <w:t>between occupational information</w:t>
      </w:r>
      <w:r w:rsidR="00D65F70" w:rsidRPr="00DC5B6A">
        <w:rPr>
          <w:lang w:val="en-US"/>
        </w:rPr>
        <w:t xml:space="preserve"> and the four supervision dimensions of supervisor support, </w:t>
      </w:r>
      <w:r w:rsidR="00D65F70" w:rsidRPr="00DC5B6A">
        <w:rPr>
          <w:i/>
          <w:lang w:val="en-US"/>
        </w:rPr>
        <w:t>F</w:t>
      </w:r>
      <w:r w:rsidR="00D65F70" w:rsidRPr="00DC5B6A">
        <w:rPr>
          <w:lang w:val="en-US"/>
        </w:rPr>
        <w:t xml:space="preserve">(1, 107) = 9.06, </w:t>
      </w:r>
      <w:r w:rsidR="00D65F70" w:rsidRPr="00DC5B6A">
        <w:t>η</w:t>
      </w:r>
      <w:r w:rsidR="00D65F70" w:rsidRPr="00DC5B6A">
        <w:rPr>
          <w:vertAlign w:val="superscript"/>
          <w:lang w:val="en-US"/>
        </w:rPr>
        <w:t>2</w:t>
      </w:r>
      <w:r w:rsidR="00C07C59">
        <w:rPr>
          <w:lang w:val="en-US"/>
        </w:rPr>
        <w:t xml:space="preserve"> = .08</w:t>
      </w:r>
      <w:r w:rsidR="00D65F70" w:rsidRPr="00DC5B6A">
        <w:rPr>
          <w:lang w:val="en-US"/>
        </w:rPr>
        <w:t xml:space="preserve">; supervisor training, </w:t>
      </w:r>
      <w:r w:rsidR="00D65F70" w:rsidRPr="00DC5B6A">
        <w:rPr>
          <w:i/>
          <w:lang w:val="en-US"/>
        </w:rPr>
        <w:t>F</w:t>
      </w:r>
      <w:r w:rsidR="00D65F70" w:rsidRPr="00DC5B6A">
        <w:rPr>
          <w:lang w:val="en-US"/>
        </w:rPr>
        <w:t xml:space="preserve">(1, 107) = 7.97, </w:t>
      </w:r>
      <w:r w:rsidR="00D65F70" w:rsidRPr="00DC5B6A">
        <w:t>η</w:t>
      </w:r>
      <w:r w:rsidR="00D65F70" w:rsidRPr="00DC5B6A">
        <w:rPr>
          <w:vertAlign w:val="superscript"/>
          <w:lang w:val="en-US"/>
        </w:rPr>
        <w:t>2</w:t>
      </w:r>
      <w:r w:rsidR="00C07C59">
        <w:rPr>
          <w:lang w:val="en-US"/>
        </w:rPr>
        <w:t xml:space="preserve"> = .07</w:t>
      </w:r>
      <w:r w:rsidR="00D65F70" w:rsidRPr="00DC5B6A">
        <w:rPr>
          <w:lang w:val="en-US"/>
        </w:rPr>
        <w:t xml:space="preserve">; clarity of supervisor instructions, </w:t>
      </w:r>
      <w:r w:rsidR="00D65F70" w:rsidRPr="00DC5B6A">
        <w:rPr>
          <w:i/>
          <w:lang w:val="en-US"/>
        </w:rPr>
        <w:t>F</w:t>
      </w:r>
      <w:r w:rsidR="00D65F70" w:rsidRPr="00DC5B6A">
        <w:rPr>
          <w:lang w:val="en-US"/>
        </w:rPr>
        <w:t xml:space="preserve">(1, 107) = 7.49, </w:t>
      </w:r>
      <w:r w:rsidR="00D65F70" w:rsidRPr="00DC5B6A">
        <w:t>η</w:t>
      </w:r>
      <w:r w:rsidR="00D65F70" w:rsidRPr="00DC5B6A">
        <w:rPr>
          <w:vertAlign w:val="superscript"/>
          <w:lang w:val="en-US"/>
        </w:rPr>
        <w:t>2</w:t>
      </w:r>
      <w:r w:rsidR="00C07C59">
        <w:rPr>
          <w:lang w:val="en-US"/>
        </w:rPr>
        <w:t xml:space="preserve"> = .07</w:t>
      </w:r>
      <w:r w:rsidR="00D65F70" w:rsidRPr="00DC5B6A">
        <w:rPr>
          <w:lang w:val="en-US"/>
        </w:rPr>
        <w:t xml:space="preserve">; and supervisor feedback, </w:t>
      </w:r>
      <w:r w:rsidR="00D65F70" w:rsidRPr="00DC5B6A">
        <w:rPr>
          <w:i/>
          <w:lang w:val="en-US"/>
        </w:rPr>
        <w:t>F</w:t>
      </w:r>
      <w:r w:rsidR="00D65F70" w:rsidRPr="00DC5B6A">
        <w:rPr>
          <w:lang w:val="en-US"/>
        </w:rPr>
        <w:t xml:space="preserve">(1, 107) = 6.17, </w:t>
      </w:r>
      <w:r w:rsidR="00D65F70" w:rsidRPr="00DC5B6A">
        <w:t>η</w:t>
      </w:r>
      <w:r w:rsidR="00D65F70" w:rsidRPr="00DC5B6A">
        <w:rPr>
          <w:vertAlign w:val="superscript"/>
          <w:lang w:val="en-US"/>
        </w:rPr>
        <w:t>2</w:t>
      </w:r>
      <w:r w:rsidR="00C07C59">
        <w:rPr>
          <w:lang w:val="en-US"/>
        </w:rPr>
        <w:t xml:space="preserve"> = .06</w:t>
      </w:r>
      <w:r w:rsidR="00D65F70" w:rsidRPr="00DC5B6A">
        <w:rPr>
          <w:lang w:val="en-US"/>
        </w:rPr>
        <w:t>.</w:t>
      </w:r>
    </w:p>
    <w:p w:rsidR="00D65F70" w:rsidRPr="00DC5B6A" w:rsidRDefault="00F03B07" w:rsidP="00BD377B">
      <w:pPr>
        <w:spacing w:line="480" w:lineRule="auto"/>
        <w:ind w:firstLine="708"/>
        <w:rPr>
          <w:lang w:val="en-US"/>
        </w:rPr>
      </w:pPr>
      <w:r w:rsidRPr="00F03B07">
        <w:rPr>
          <w:i/>
          <w:lang w:val="en-US"/>
        </w:rPr>
        <w:t>Self-oriented/avoidant exploration group</w:t>
      </w:r>
      <w:r>
        <w:rPr>
          <w:lang w:val="en-US"/>
        </w:rPr>
        <w:t xml:space="preserve"> -</w:t>
      </w:r>
      <w:r w:rsidR="00D65F70" w:rsidRPr="00DC5B6A">
        <w:rPr>
          <w:b/>
          <w:bCs/>
          <w:lang w:val="en-US"/>
        </w:rPr>
        <w:t xml:space="preserve"> </w:t>
      </w:r>
      <w:r>
        <w:rPr>
          <w:bCs/>
          <w:lang w:val="en-US"/>
        </w:rPr>
        <w:t>t</w:t>
      </w:r>
      <w:r w:rsidR="00D65F70" w:rsidRPr="00DC5B6A">
        <w:rPr>
          <w:bCs/>
          <w:lang w:val="en-US"/>
        </w:rPr>
        <w:t>his cluster grouped students with high levels of indecision, low levels of confidence in decision-making skills, low levels of exploratory activity, and high levels of anxiety regarding vocational decision making.</w:t>
      </w:r>
      <w:r w:rsidR="00D65F70" w:rsidRPr="00DC5B6A">
        <w:rPr>
          <w:lang w:val="en-US"/>
        </w:rPr>
        <w:t xml:space="preserve"> Overall, students’ beliefs regarding the professional world, which were the most unfavorable in the sample, significantly increased from T1 to T2. For the employment status factor</w:t>
      </w:r>
      <w:r w:rsidR="00700021" w:rsidRPr="00DC5B6A">
        <w:rPr>
          <w:lang w:val="en-US"/>
        </w:rPr>
        <w:t xml:space="preserve"> (EO)</w:t>
      </w:r>
      <w:r w:rsidR="00D65F70" w:rsidRPr="00DC5B6A">
        <w:rPr>
          <w:lang w:val="en-US"/>
        </w:rPr>
        <w:t xml:space="preserve">, the extent of change was associated with autonomy and supervisor feedback, </w:t>
      </w:r>
      <w:r w:rsidR="00D65F70" w:rsidRPr="00DC5B6A">
        <w:rPr>
          <w:i/>
          <w:lang w:val="en-US"/>
        </w:rPr>
        <w:t>F</w:t>
      </w:r>
      <w:r w:rsidR="00D65F70" w:rsidRPr="00DC5B6A">
        <w:rPr>
          <w:lang w:val="en-US"/>
        </w:rPr>
        <w:t xml:space="preserve">(1, 46) = 8.45, </w:t>
      </w:r>
      <w:r w:rsidR="00D65F70" w:rsidRPr="00DC5B6A">
        <w:t>η</w:t>
      </w:r>
      <w:r w:rsidR="00D65F70" w:rsidRPr="00DC5B6A">
        <w:rPr>
          <w:vertAlign w:val="superscript"/>
          <w:lang w:val="en-US"/>
        </w:rPr>
        <w:t>2</w:t>
      </w:r>
      <w:r w:rsidR="008A1260">
        <w:rPr>
          <w:lang w:val="en-US"/>
        </w:rPr>
        <w:t xml:space="preserve"> = .16</w:t>
      </w:r>
      <w:r w:rsidR="00D65F70" w:rsidRPr="00DC5B6A">
        <w:rPr>
          <w:lang w:val="en-US"/>
        </w:rPr>
        <w:t xml:space="preserve">, and </w:t>
      </w:r>
      <w:r w:rsidR="00D65F70" w:rsidRPr="00DC5B6A">
        <w:rPr>
          <w:i/>
          <w:lang w:val="en-US"/>
        </w:rPr>
        <w:t>F</w:t>
      </w:r>
      <w:r w:rsidR="00D65F70" w:rsidRPr="00DC5B6A">
        <w:rPr>
          <w:lang w:val="en-US"/>
        </w:rPr>
        <w:t xml:space="preserve">(1, 46) = 4,82, </w:t>
      </w:r>
      <w:r w:rsidR="00D65F70" w:rsidRPr="00DC5B6A">
        <w:t>η</w:t>
      </w:r>
      <w:r w:rsidR="00D65F70" w:rsidRPr="00DC5B6A">
        <w:rPr>
          <w:vertAlign w:val="superscript"/>
          <w:lang w:val="en-US"/>
        </w:rPr>
        <w:t>2</w:t>
      </w:r>
      <w:r w:rsidR="008A1260">
        <w:rPr>
          <w:lang w:val="en-US"/>
        </w:rPr>
        <w:t xml:space="preserve"> = .10</w:t>
      </w:r>
      <w:r w:rsidR="00D65F70" w:rsidRPr="00DC5B6A">
        <w:rPr>
          <w:lang w:val="en-US"/>
        </w:rPr>
        <w:t xml:space="preserve">, respectively. For the certainty of </w:t>
      </w:r>
      <w:r w:rsidR="00031651" w:rsidRPr="00DC5B6A">
        <w:rPr>
          <w:lang w:val="en-US"/>
        </w:rPr>
        <w:t xml:space="preserve">career </w:t>
      </w:r>
      <w:r w:rsidR="00D65F70" w:rsidRPr="00DC5B6A">
        <w:rPr>
          <w:lang w:val="en-US"/>
        </w:rPr>
        <w:t>exploration</w:t>
      </w:r>
      <w:r w:rsidR="00031651" w:rsidRPr="00DC5B6A">
        <w:rPr>
          <w:lang w:val="en-US"/>
        </w:rPr>
        <w:t xml:space="preserve"> </w:t>
      </w:r>
      <w:r w:rsidR="00031651" w:rsidRPr="00DC5B6A">
        <w:rPr>
          <w:lang w:val="en-US"/>
        </w:rPr>
        <w:lastRenderedPageBreak/>
        <w:t>outcome F</w:t>
      </w:r>
      <w:r w:rsidR="00D65F70" w:rsidRPr="00DC5B6A">
        <w:rPr>
          <w:lang w:val="en-US"/>
        </w:rPr>
        <w:t>actor</w:t>
      </w:r>
      <w:r w:rsidR="00700021" w:rsidRPr="00DC5B6A">
        <w:rPr>
          <w:lang w:val="en-US"/>
        </w:rPr>
        <w:t xml:space="preserve"> (CEO)</w:t>
      </w:r>
      <w:r w:rsidR="00D65F70" w:rsidRPr="00DC5B6A">
        <w:rPr>
          <w:lang w:val="en-US"/>
        </w:rPr>
        <w:t xml:space="preserve">, there were significant interactions with supervisor feedback and the clarity of supervisor instructions, </w:t>
      </w:r>
      <w:r w:rsidR="00D65F70" w:rsidRPr="00DC5B6A">
        <w:rPr>
          <w:i/>
          <w:lang w:val="en-US"/>
        </w:rPr>
        <w:t>F</w:t>
      </w:r>
      <w:r w:rsidR="00D65F70" w:rsidRPr="00DC5B6A">
        <w:rPr>
          <w:lang w:val="en-US"/>
        </w:rPr>
        <w:t xml:space="preserve">(1, 46) = 11.73, </w:t>
      </w:r>
      <w:r w:rsidR="00D65F70" w:rsidRPr="00DC5B6A">
        <w:t>η</w:t>
      </w:r>
      <w:r w:rsidR="00D65F70" w:rsidRPr="00DC5B6A">
        <w:rPr>
          <w:vertAlign w:val="superscript"/>
          <w:lang w:val="en-US"/>
        </w:rPr>
        <w:t>2</w:t>
      </w:r>
      <w:r w:rsidR="008A1260">
        <w:rPr>
          <w:lang w:val="en-US"/>
        </w:rPr>
        <w:t xml:space="preserve"> = .20</w:t>
      </w:r>
      <w:r w:rsidR="00D65F70" w:rsidRPr="00DC5B6A">
        <w:rPr>
          <w:lang w:val="en-US"/>
        </w:rPr>
        <w:t xml:space="preserve">, and </w:t>
      </w:r>
      <w:r w:rsidR="00D65F70" w:rsidRPr="00DC5B6A">
        <w:rPr>
          <w:i/>
          <w:lang w:val="en-US"/>
        </w:rPr>
        <w:t>F</w:t>
      </w:r>
      <w:r w:rsidR="00D65F70" w:rsidRPr="00DC5B6A">
        <w:rPr>
          <w:lang w:val="en-US"/>
        </w:rPr>
        <w:t xml:space="preserve">(1, 46) = 8.09, </w:t>
      </w:r>
      <w:r w:rsidR="00D65F70" w:rsidRPr="00DC5B6A">
        <w:t>η</w:t>
      </w:r>
      <w:r w:rsidR="00D65F70" w:rsidRPr="00DC5B6A">
        <w:rPr>
          <w:vertAlign w:val="superscript"/>
          <w:lang w:val="en-US"/>
        </w:rPr>
        <w:t>2</w:t>
      </w:r>
      <w:r w:rsidR="008A1260">
        <w:rPr>
          <w:lang w:val="en-US"/>
        </w:rPr>
        <w:t xml:space="preserve"> = .15</w:t>
      </w:r>
      <w:r w:rsidR="00D65F70" w:rsidRPr="00DC5B6A">
        <w:rPr>
          <w:lang w:val="en-US"/>
        </w:rPr>
        <w:t xml:space="preserve">, respectively. The interaction with the greatest magnitude was between internal instrumentality and supervisor support, F(1, 46) = 6.59, </w:t>
      </w:r>
      <w:r w:rsidR="00D65F70" w:rsidRPr="00DC5B6A">
        <w:t>η</w:t>
      </w:r>
      <w:r w:rsidR="00D65F70" w:rsidRPr="00DC5B6A">
        <w:rPr>
          <w:vertAlign w:val="superscript"/>
          <w:lang w:val="en-US"/>
        </w:rPr>
        <w:t>2</w:t>
      </w:r>
      <w:r w:rsidR="008A1260">
        <w:rPr>
          <w:lang w:val="en-US"/>
        </w:rPr>
        <w:t xml:space="preserve"> = .13</w:t>
      </w:r>
      <w:r w:rsidR="00D65F70" w:rsidRPr="00DC5B6A">
        <w:rPr>
          <w:lang w:val="en-US"/>
        </w:rPr>
        <w:t xml:space="preserve">). Interactions between exploration behaviors and internship quality factors were also observed. There were interactions between environment exploration and colleague feedback, </w:t>
      </w:r>
      <w:r w:rsidR="00D65F70" w:rsidRPr="00DC5B6A">
        <w:rPr>
          <w:i/>
          <w:lang w:val="en-US"/>
        </w:rPr>
        <w:t>F</w:t>
      </w:r>
      <w:r w:rsidR="00D65F70" w:rsidRPr="00DC5B6A">
        <w:rPr>
          <w:lang w:val="en-US"/>
        </w:rPr>
        <w:t xml:space="preserve">(1, 46) = 4.28, </w:t>
      </w:r>
      <w:r w:rsidR="00D65F70" w:rsidRPr="00DC5B6A">
        <w:t>η</w:t>
      </w:r>
      <w:r w:rsidR="00D65F70" w:rsidRPr="00DC5B6A">
        <w:rPr>
          <w:vertAlign w:val="superscript"/>
          <w:lang w:val="en-US"/>
        </w:rPr>
        <w:t>2</w:t>
      </w:r>
      <w:r w:rsidR="008A1260">
        <w:rPr>
          <w:lang w:val="en-US"/>
        </w:rPr>
        <w:t xml:space="preserve"> = .09</w:t>
      </w:r>
      <w:r w:rsidR="00D65F70" w:rsidRPr="00DC5B6A">
        <w:rPr>
          <w:lang w:val="en-US"/>
        </w:rPr>
        <w:t xml:space="preserve">; self-exploration and supervisor training, </w:t>
      </w:r>
      <w:r w:rsidR="00D65F70" w:rsidRPr="00DC5B6A">
        <w:rPr>
          <w:i/>
          <w:lang w:val="en-US"/>
        </w:rPr>
        <w:t>F</w:t>
      </w:r>
      <w:r w:rsidR="00D65F70" w:rsidRPr="00DC5B6A">
        <w:rPr>
          <w:lang w:val="en-US"/>
        </w:rPr>
        <w:t xml:space="preserve">(1, 46) = 5.18, </w:t>
      </w:r>
      <w:r w:rsidR="00D65F70" w:rsidRPr="00DC5B6A">
        <w:t>η</w:t>
      </w:r>
      <w:r w:rsidR="00D65F70" w:rsidRPr="00DC5B6A">
        <w:rPr>
          <w:vertAlign w:val="superscript"/>
          <w:lang w:val="en-US"/>
        </w:rPr>
        <w:t>2</w:t>
      </w:r>
      <w:r w:rsidR="008A1260">
        <w:rPr>
          <w:lang w:val="en-US"/>
        </w:rPr>
        <w:t xml:space="preserve"> = .10</w:t>
      </w:r>
      <w:r w:rsidR="002908CE" w:rsidRPr="00DC5B6A">
        <w:rPr>
          <w:lang w:val="en-US"/>
        </w:rPr>
        <w:t xml:space="preserve">; intended-systematic </w:t>
      </w:r>
      <w:r w:rsidR="00D65F70" w:rsidRPr="00DC5B6A">
        <w:rPr>
          <w:lang w:val="en-US"/>
        </w:rPr>
        <w:t xml:space="preserve">exploration and task variety, </w:t>
      </w:r>
      <w:r w:rsidR="00D65F70" w:rsidRPr="00DC5B6A">
        <w:rPr>
          <w:i/>
          <w:lang w:val="en-US"/>
        </w:rPr>
        <w:t>F</w:t>
      </w:r>
      <w:r w:rsidR="00D65F70" w:rsidRPr="00DC5B6A">
        <w:rPr>
          <w:lang w:val="en-US"/>
        </w:rPr>
        <w:t xml:space="preserve">(1, 46) = 9.12, </w:t>
      </w:r>
      <w:r w:rsidR="00D65F70" w:rsidRPr="00DC5B6A">
        <w:t>η</w:t>
      </w:r>
      <w:r w:rsidR="00D65F70" w:rsidRPr="00DC5B6A">
        <w:rPr>
          <w:vertAlign w:val="superscript"/>
          <w:lang w:val="en-US"/>
        </w:rPr>
        <w:t>2</w:t>
      </w:r>
      <w:r w:rsidR="008A1260">
        <w:rPr>
          <w:lang w:val="en-US"/>
        </w:rPr>
        <w:t xml:space="preserve"> = .17</w:t>
      </w:r>
      <w:r w:rsidR="00D65F70" w:rsidRPr="00DC5B6A">
        <w:rPr>
          <w:lang w:val="en-US"/>
        </w:rPr>
        <w:t>; and th</w:t>
      </w:r>
      <w:r w:rsidR="002908CE" w:rsidRPr="00DC5B6A">
        <w:rPr>
          <w:lang w:val="en-US"/>
        </w:rPr>
        <w:t>e amount</w:t>
      </w:r>
      <w:r w:rsidR="00D65F70" w:rsidRPr="00DC5B6A">
        <w:rPr>
          <w:lang w:val="en-US"/>
        </w:rPr>
        <w:t xml:space="preserve"> of information and task variety, </w:t>
      </w:r>
      <w:r w:rsidR="00D65F70" w:rsidRPr="00DC5B6A">
        <w:rPr>
          <w:i/>
          <w:lang w:val="en-US"/>
        </w:rPr>
        <w:t>F</w:t>
      </w:r>
      <w:r w:rsidR="00D65F70" w:rsidRPr="00DC5B6A">
        <w:rPr>
          <w:lang w:val="en-US"/>
        </w:rPr>
        <w:t xml:space="preserve">(1, 46) = 4.16, </w:t>
      </w:r>
      <w:r w:rsidR="00D65F70" w:rsidRPr="00DC5B6A">
        <w:t>η</w:t>
      </w:r>
      <w:r w:rsidR="00D65F70" w:rsidRPr="00DC5B6A">
        <w:rPr>
          <w:vertAlign w:val="superscript"/>
          <w:lang w:val="en-US"/>
        </w:rPr>
        <w:t>2</w:t>
      </w:r>
      <w:r w:rsidR="008A1260">
        <w:rPr>
          <w:lang w:val="en-US"/>
        </w:rPr>
        <w:t xml:space="preserve"> = .08</w:t>
      </w:r>
      <w:r w:rsidR="00D65F70" w:rsidRPr="00DC5B6A">
        <w:rPr>
          <w:lang w:val="en-US"/>
        </w:rPr>
        <w:t xml:space="preserve">. Learning opportunities were associated with the changes observed for both exploration stress and decision-making stress, </w:t>
      </w:r>
      <w:r w:rsidR="00D65F70" w:rsidRPr="00DC5B6A">
        <w:rPr>
          <w:i/>
          <w:lang w:val="en-US"/>
        </w:rPr>
        <w:t>F</w:t>
      </w:r>
      <w:r w:rsidR="00D65F70" w:rsidRPr="00DC5B6A">
        <w:rPr>
          <w:lang w:val="en-US"/>
        </w:rPr>
        <w:t xml:space="preserve">(1, 46) = 4.22, </w:t>
      </w:r>
      <w:r w:rsidR="00D65F70" w:rsidRPr="00DC5B6A">
        <w:t>η</w:t>
      </w:r>
      <w:r w:rsidR="00D65F70" w:rsidRPr="00DC5B6A">
        <w:rPr>
          <w:vertAlign w:val="superscript"/>
          <w:lang w:val="en-US"/>
        </w:rPr>
        <w:t>2</w:t>
      </w:r>
      <w:r w:rsidR="008A1260">
        <w:rPr>
          <w:lang w:val="en-US"/>
        </w:rPr>
        <w:t xml:space="preserve"> = .08</w:t>
      </w:r>
      <w:r w:rsidR="00D65F70" w:rsidRPr="00DC5B6A">
        <w:rPr>
          <w:lang w:val="en-US"/>
        </w:rPr>
        <w:t xml:space="preserve">, and </w:t>
      </w:r>
      <w:r w:rsidR="00D65F70" w:rsidRPr="00DC5B6A">
        <w:rPr>
          <w:i/>
          <w:lang w:val="en-US"/>
        </w:rPr>
        <w:t>F</w:t>
      </w:r>
      <w:r w:rsidR="00D65F70" w:rsidRPr="00DC5B6A">
        <w:rPr>
          <w:lang w:val="en-US"/>
        </w:rPr>
        <w:t xml:space="preserve">(1, 46) = 6.89, </w:t>
      </w:r>
      <w:r w:rsidR="00D65F70" w:rsidRPr="00DC5B6A">
        <w:t>η</w:t>
      </w:r>
      <w:r w:rsidR="00D65F70" w:rsidRPr="00DC5B6A">
        <w:rPr>
          <w:vertAlign w:val="superscript"/>
          <w:lang w:val="en-US"/>
        </w:rPr>
        <w:t>2</w:t>
      </w:r>
      <w:r w:rsidR="008A1260">
        <w:rPr>
          <w:lang w:val="en-US"/>
        </w:rPr>
        <w:t xml:space="preserve"> = .13</w:t>
      </w:r>
      <w:r w:rsidR="00D65F70" w:rsidRPr="00DC5B6A">
        <w:rPr>
          <w:lang w:val="en-US"/>
        </w:rPr>
        <w:t>, respectively. There were no significant interactions between the internship quality variables and decision (CDS) or commitment (VECS) factors.</w:t>
      </w:r>
    </w:p>
    <w:p w:rsidR="00D65F70" w:rsidRPr="00DC5B6A" w:rsidRDefault="00BB6EC7" w:rsidP="00BD377B">
      <w:pPr>
        <w:spacing w:line="480" w:lineRule="auto"/>
        <w:ind w:firstLine="708"/>
        <w:rPr>
          <w:lang w:val="en-US"/>
        </w:rPr>
      </w:pPr>
      <w:r w:rsidRPr="00BB6EC7">
        <w:rPr>
          <w:i/>
          <w:lang w:val="en-US"/>
        </w:rPr>
        <w:t>Systematic exploration/deferred decision and commitment group</w:t>
      </w:r>
      <w:r>
        <w:rPr>
          <w:lang w:val="en-US"/>
        </w:rPr>
        <w:t xml:space="preserve"> - c</w:t>
      </w:r>
      <w:r w:rsidR="00D65F70" w:rsidRPr="00DC5B6A">
        <w:rPr>
          <w:lang w:val="en-US"/>
        </w:rPr>
        <w:t>hanges in self-efficacy were associated with several internship qualities. Thus, social support was important for self-evaluation (</w:t>
      </w:r>
      <w:r w:rsidR="00D65F70" w:rsidRPr="00DC5B6A">
        <w:rPr>
          <w:i/>
          <w:lang w:val="en-US"/>
        </w:rPr>
        <w:t>F</w:t>
      </w:r>
      <w:r w:rsidR="00D65F70" w:rsidRPr="00DC5B6A">
        <w:rPr>
          <w:lang w:val="en-US"/>
        </w:rPr>
        <w:t xml:space="preserve"> (1, 119) = 9.08; </w:t>
      </w:r>
      <w:r w:rsidR="00D65F70" w:rsidRPr="00DC5B6A">
        <w:t>η</w:t>
      </w:r>
      <w:r w:rsidR="00D65F70" w:rsidRPr="00DC5B6A">
        <w:rPr>
          <w:vertAlign w:val="superscript"/>
          <w:lang w:val="en-US"/>
        </w:rPr>
        <w:t>2</w:t>
      </w:r>
      <w:r w:rsidR="00FB2D05">
        <w:rPr>
          <w:lang w:val="en-US"/>
        </w:rPr>
        <w:t xml:space="preserve"> = .07</w:t>
      </w:r>
      <w:r w:rsidR="00D65F70" w:rsidRPr="00DC5B6A">
        <w:rPr>
          <w:lang w:val="en-US"/>
        </w:rPr>
        <w:t xml:space="preserve">), while the change in </w:t>
      </w:r>
      <w:r w:rsidR="00700021" w:rsidRPr="00DC5B6A">
        <w:rPr>
          <w:lang w:val="en-US"/>
        </w:rPr>
        <w:t xml:space="preserve">occupational </w:t>
      </w:r>
      <w:r w:rsidR="00D65F70" w:rsidRPr="00DC5B6A">
        <w:rPr>
          <w:lang w:val="en-US"/>
        </w:rPr>
        <w:t xml:space="preserve">information was associated with aspects of supervision, in particular with supervisor feedback, </w:t>
      </w:r>
      <w:r w:rsidR="00D65F70" w:rsidRPr="00DC5B6A">
        <w:rPr>
          <w:i/>
          <w:lang w:val="en-US"/>
        </w:rPr>
        <w:t>F</w:t>
      </w:r>
      <w:r w:rsidR="00D65F70" w:rsidRPr="00DC5B6A">
        <w:rPr>
          <w:lang w:val="en-US"/>
        </w:rPr>
        <w:t xml:space="preserve">(1, 119) = 21.73, </w:t>
      </w:r>
      <w:r w:rsidR="00D65F70" w:rsidRPr="00DC5B6A">
        <w:t>η</w:t>
      </w:r>
      <w:r w:rsidR="00D65F70" w:rsidRPr="00DC5B6A">
        <w:rPr>
          <w:vertAlign w:val="superscript"/>
          <w:lang w:val="en-US"/>
        </w:rPr>
        <w:t>2</w:t>
      </w:r>
      <w:r w:rsidR="00FB2D05">
        <w:rPr>
          <w:lang w:val="en-US"/>
        </w:rPr>
        <w:t xml:space="preserve"> = .15</w:t>
      </w:r>
      <w:r w:rsidR="00D65F70" w:rsidRPr="00DC5B6A">
        <w:rPr>
          <w:lang w:val="en-US"/>
        </w:rPr>
        <w:t xml:space="preserve">; supervisor training, </w:t>
      </w:r>
      <w:r w:rsidR="00D65F70" w:rsidRPr="00DC5B6A">
        <w:rPr>
          <w:i/>
          <w:lang w:val="en-US"/>
        </w:rPr>
        <w:t>F</w:t>
      </w:r>
      <w:r w:rsidR="00D65F70" w:rsidRPr="00DC5B6A">
        <w:rPr>
          <w:lang w:val="en-US"/>
        </w:rPr>
        <w:t xml:space="preserve">(1, 119) = 14.98, </w:t>
      </w:r>
      <w:r w:rsidR="00D65F70" w:rsidRPr="00DC5B6A">
        <w:t>η</w:t>
      </w:r>
      <w:r w:rsidR="00D65F70" w:rsidRPr="00DC5B6A">
        <w:rPr>
          <w:vertAlign w:val="superscript"/>
          <w:lang w:val="en-US"/>
        </w:rPr>
        <w:t>2</w:t>
      </w:r>
      <w:r w:rsidR="00FB2D05">
        <w:rPr>
          <w:lang w:val="en-US"/>
        </w:rPr>
        <w:t xml:space="preserve"> = .11</w:t>
      </w:r>
      <w:r w:rsidR="00D65F70" w:rsidRPr="00DC5B6A">
        <w:rPr>
          <w:lang w:val="en-US"/>
        </w:rPr>
        <w:t xml:space="preserve">; and supervisor support, </w:t>
      </w:r>
      <w:r w:rsidR="00D65F70" w:rsidRPr="00DC5B6A">
        <w:rPr>
          <w:i/>
          <w:lang w:val="en-US"/>
        </w:rPr>
        <w:t>F</w:t>
      </w:r>
      <w:r w:rsidR="00D65F70" w:rsidRPr="00DC5B6A">
        <w:rPr>
          <w:lang w:val="en-US"/>
        </w:rPr>
        <w:t xml:space="preserve">(1, 119) = 12.50, </w:t>
      </w:r>
      <w:r w:rsidR="00D65F70" w:rsidRPr="00DC5B6A">
        <w:t>η</w:t>
      </w:r>
      <w:r w:rsidR="00D65F70" w:rsidRPr="00DC5B6A">
        <w:rPr>
          <w:vertAlign w:val="superscript"/>
          <w:lang w:val="en-US"/>
        </w:rPr>
        <w:t>2</w:t>
      </w:r>
      <w:r w:rsidR="00FB2D05">
        <w:rPr>
          <w:lang w:val="en-US"/>
        </w:rPr>
        <w:t xml:space="preserve"> = .10</w:t>
      </w:r>
      <w:r w:rsidR="00D65F70" w:rsidRPr="00DC5B6A">
        <w:rPr>
          <w:lang w:val="en-US"/>
        </w:rPr>
        <w:t xml:space="preserve">. There were no significant interactions for the indecision (CDS) and commitment (VCES) factors or for beliefs regarding the work environment. In the belief exploration dimension, internal instrumentality was associated with perceived social support and with supervisor training, </w:t>
      </w:r>
      <w:r w:rsidR="00D65F70" w:rsidRPr="00DC5B6A">
        <w:rPr>
          <w:i/>
          <w:lang w:val="en-US"/>
        </w:rPr>
        <w:t>F</w:t>
      </w:r>
      <w:r w:rsidR="00D65F70" w:rsidRPr="00DC5B6A">
        <w:rPr>
          <w:lang w:val="en-US"/>
        </w:rPr>
        <w:t xml:space="preserve">(1, 119) = 8.07, </w:t>
      </w:r>
      <w:r w:rsidR="00D65F70" w:rsidRPr="00DC5B6A">
        <w:t>η</w:t>
      </w:r>
      <w:r w:rsidR="00D65F70" w:rsidRPr="00DC5B6A">
        <w:rPr>
          <w:vertAlign w:val="superscript"/>
          <w:lang w:val="en-US"/>
        </w:rPr>
        <w:t>2</w:t>
      </w:r>
      <w:r w:rsidR="00FB2D05">
        <w:rPr>
          <w:lang w:val="en-US"/>
        </w:rPr>
        <w:t xml:space="preserve"> = .06</w:t>
      </w:r>
      <w:r w:rsidR="00D65F70" w:rsidRPr="00DC5B6A">
        <w:rPr>
          <w:lang w:val="en-US"/>
        </w:rPr>
        <w:t xml:space="preserve">, and </w:t>
      </w:r>
      <w:r w:rsidR="00D65F70" w:rsidRPr="00DC5B6A">
        <w:rPr>
          <w:i/>
          <w:lang w:val="en-US"/>
        </w:rPr>
        <w:t>F</w:t>
      </w:r>
      <w:r w:rsidR="00D65F70" w:rsidRPr="00DC5B6A">
        <w:rPr>
          <w:lang w:val="en-US"/>
        </w:rPr>
        <w:t xml:space="preserve">(1, 119) = 10.89, </w:t>
      </w:r>
      <w:r w:rsidR="00D65F70" w:rsidRPr="00DC5B6A">
        <w:t>η</w:t>
      </w:r>
      <w:r w:rsidR="00D65F70" w:rsidRPr="00DC5B6A">
        <w:rPr>
          <w:vertAlign w:val="superscript"/>
          <w:lang w:val="en-US"/>
        </w:rPr>
        <w:t>2</w:t>
      </w:r>
      <w:r w:rsidR="00FB2D05">
        <w:rPr>
          <w:lang w:val="en-US"/>
        </w:rPr>
        <w:t xml:space="preserve"> = .08</w:t>
      </w:r>
      <w:r w:rsidR="00D65F70" w:rsidRPr="00DC5B6A">
        <w:rPr>
          <w:lang w:val="en-US"/>
        </w:rPr>
        <w:t xml:space="preserve">, respectively. </w:t>
      </w:r>
      <w:r w:rsidR="002908CE" w:rsidRPr="00DC5B6A">
        <w:rPr>
          <w:lang w:val="en-US"/>
        </w:rPr>
        <w:t xml:space="preserve">The importance of obtaining preferred position Factor </w:t>
      </w:r>
      <w:r w:rsidR="00700021" w:rsidRPr="00DC5B6A">
        <w:rPr>
          <w:lang w:val="en-US"/>
        </w:rPr>
        <w:t xml:space="preserve">(IMP) </w:t>
      </w:r>
      <w:r w:rsidR="002908CE" w:rsidRPr="00DC5B6A">
        <w:rPr>
          <w:lang w:val="en-US"/>
        </w:rPr>
        <w:t>s</w:t>
      </w:r>
      <w:r w:rsidR="00D65F70" w:rsidRPr="00DC5B6A">
        <w:rPr>
          <w:lang w:val="en-US"/>
        </w:rPr>
        <w:t xml:space="preserve">ignificantly interacted with task variety in the internship context, </w:t>
      </w:r>
      <w:r w:rsidR="00D65F70" w:rsidRPr="00DC5B6A">
        <w:rPr>
          <w:i/>
          <w:lang w:val="en-US"/>
        </w:rPr>
        <w:t>F</w:t>
      </w:r>
      <w:r w:rsidR="00D65F70" w:rsidRPr="00DC5B6A">
        <w:rPr>
          <w:lang w:val="en-US"/>
        </w:rPr>
        <w:t xml:space="preserve">(1, 119) = 8.94, </w:t>
      </w:r>
      <w:r w:rsidR="00D65F70" w:rsidRPr="00DC5B6A">
        <w:t>η</w:t>
      </w:r>
      <w:r w:rsidR="00D65F70" w:rsidRPr="00DC5B6A">
        <w:rPr>
          <w:vertAlign w:val="superscript"/>
          <w:lang w:val="en-US"/>
        </w:rPr>
        <w:t>2</w:t>
      </w:r>
      <w:r w:rsidR="00FB2D05">
        <w:rPr>
          <w:lang w:val="en-US"/>
        </w:rPr>
        <w:t xml:space="preserve"> = .07</w:t>
      </w:r>
      <w:r w:rsidR="00D65F70" w:rsidRPr="00DC5B6A">
        <w:rPr>
          <w:lang w:val="en-US"/>
        </w:rPr>
        <w:t xml:space="preserve">. Exploration of the environment exhibited a significant interaction with the quality of social support, </w:t>
      </w:r>
      <w:r w:rsidR="00D65F70" w:rsidRPr="00DC5B6A">
        <w:rPr>
          <w:i/>
          <w:lang w:val="en-US"/>
        </w:rPr>
        <w:t>F</w:t>
      </w:r>
      <w:r w:rsidR="00D65F70" w:rsidRPr="00DC5B6A">
        <w:rPr>
          <w:lang w:val="en-US"/>
        </w:rPr>
        <w:t xml:space="preserve">(1, 119) = 8.00, </w:t>
      </w:r>
      <w:r w:rsidR="00D65F70" w:rsidRPr="00DC5B6A">
        <w:t>η</w:t>
      </w:r>
      <w:r w:rsidR="00D65F70" w:rsidRPr="00DC5B6A">
        <w:rPr>
          <w:vertAlign w:val="superscript"/>
          <w:lang w:val="en-US"/>
        </w:rPr>
        <w:t>2</w:t>
      </w:r>
      <w:r w:rsidR="00FB2D05">
        <w:rPr>
          <w:lang w:val="en-US"/>
        </w:rPr>
        <w:t xml:space="preserve"> = .06</w:t>
      </w:r>
      <w:r w:rsidR="00D65F70" w:rsidRPr="00DC5B6A">
        <w:rPr>
          <w:lang w:val="en-US"/>
        </w:rPr>
        <w:t xml:space="preserve">, while </w:t>
      </w:r>
      <w:r w:rsidR="002908CE" w:rsidRPr="00DC5B6A">
        <w:rPr>
          <w:lang w:val="en-US"/>
        </w:rPr>
        <w:t>self exploration (</w:t>
      </w:r>
      <w:r w:rsidR="002908CE" w:rsidRPr="00DC5B6A">
        <w:rPr>
          <w:i/>
          <w:lang w:val="en-US"/>
        </w:rPr>
        <w:t>F</w:t>
      </w:r>
      <w:r w:rsidR="002908CE" w:rsidRPr="00DC5B6A">
        <w:rPr>
          <w:lang w:val="en-US"/>
        </w:rPr>
        <w:t xml:space="preserve">(1, 119) = 7.24, </w:t>
      </w:r>
      <w:r w:rsidR="002908CE" w:rsidRPr="00DC5B6A">
        <w:t>η</w:t>
      </w:r>
      <w:r w:rsidR="002908CE" w:rsidRPr="00DC5B6A">
        <w:rPr>
          <w:vertAlign w:val="superscript"/>
          <w:lang w:val="en-US"/>
        </w:rPr>
        <w:t>2</w:t>
      </w:r>
      <w:r w:rsidR="00FB2D05">
        <w:rPr>
          <w:lang w:val="en-US"/>
        </w:rPr>
        <w:t xml:space="preserve"> = .06</w:t>
      </w:r>
      <w:r w:rsidR="002908CE" w:rsidRPr="00DC5B6A">
        <w:rPr>
          <w:lang w:val="en-US"/>
        </w:rPr>
        <w:t>) and intended-</w:t>
      </w:r>
      <w:r w:rsidR="002908CE" w:rsidRPr="00DC5B6A">
        <w:rPr>
          <w:lang w:val="en-US"/>
        </w:rPr>
        <w:lastRenderedPageBreak/>
        <w:t>systematic exploration (</w:t>
      </w:r>
      <w:r w:rsidR="002908CE" w:rsidRPr="00DC5B6A">
        <w:rPr>
          <w:i/>
          <w:lang w:val="en-US"/>
        </w:rPr>
        <w:t>F</w:t>
      </w:r>
      <w:r w:rsidR="002908CE" w:rsidRPr="00DC5B6A">
        <w:rPr>
          <w:lang w:val="en-US"/>
        </w:rPr>
        <w:t xml:space="preserve">(1, 119) = 15:22, </w:t>
      </w:r>
      <w:r w:rsidR="002908CE" w:rsidRPr="00DC5B6A">
        <w:t>η</w:t>
      </w:r>
      <w:r w:rsidR="002908CE" w:rsidRPr="00DC5B6A">
        <w:rPr>
          <w:vertAlign w:val="superscript"/>
          <w:lang w:val="en-US"/>
        </w:rPr>
        <w:t>2</w:t>
      </w:r>
      <w:r w:rsidR="00FB2D05">
        <w:rPr>
          <w:lang w:val="en-US"/>
        </w:rPr>
        <w:t xml:space="preserve"> = .11</w:t>
      </w:r>
      <w:r w:rsidR="002908CE" w:rsidRPr="00DC5B6A">
        <w:rPr>
          <w:lang w:val="en-US"/>
        </w:rPr>
        <w:t>) were</w:t>
      </w:r>
      <w:r w:rsidR="00D65F70" w:rsidRPr="00DC5B6A">
        <w:rPr>
          <w:lang w:val="en-US"/>
        </w:rPr>
        <w:t xml:space="preserve"> associat</w:t>
      </w:r>
      <w:r w:rsidR="002908CE" w:rsidRPr="00DC5B6A">
        <w:rPr>
          <w:lang w:val="en-US"/>
        </w:rPr>
        <w:t xml:space="preserve">ed with learning opportunities. </w:t>
      </w:r>
    </w:p>
    <w:p w:rsidR="00D65F70" w:rsidRPr="00DC5B6A" w:rsidRDefault="00BB6EC7" w:rsidP="00BD377B">
      <w:pPr>
        <w:spacing w:line="480" w:lineRule="auto"/>
        <w:ind w:firstLine="708"/>
        <w:rPr>
          <w:lang w:val="en-US"/>
        </w:rPr>
      </w:pPr>
      <w:r w:rsidRPr="00BB6EC7">
        <w:rPr>
          <w:i/>
          <w:lang w:val="en-US"/>
        </w:rPr>
        <w:t>Confident exploration/high career commitment group</w:t>
      </w:r>
      <w:r>
        <w:rPr>
          <w:bCs/>
          <w:lang w:val="en-US"/>
        </w:rPr>
        <w:t xml:space="preserve"> - t</w:t>
      </w:r>
      <w:r w:rsidR="00D65F70" w:rsidRPr="00DC5B6A">
        <w:rPr>
          <w:bCs/>
          <w:lang w:val="en-US"/>
        </w:rPr>
        <w:t xml:space="preserve">his </w:t>
      </w:r>
      <w:r w:rsidR="00D65F70" w:rsidRPr="00DC5B6A">
        <w:rPr>
          <w:lang w:val="en-US"/>
        </w:rPr>
        <w:t xml:space="preserve">cluster represented the small group of students whose career profile favored career exploration and decision making. There were no significant interactions between self-efficacy in decision making and </w:t>
      </w:r>
      <w:r w:rsidR="002B2D66" w:rsidRPr="00DC5B6A">
        <w:rPr>
          <w:lang w:val="en-US"/>
        </w:rPr>
        <w:t>internship qualities. D</w:t>
      </w:r>
      <w:r w:rsidR="00D65F70" w:rsidRPr="00DC5B6A">
        <w:rPr>
          <w:lang w:val="en-US"/>
        </w:rPr>
        <w:t>ecision making</w:t>
      </w:r>
      <w:r w:rsidR="002B2D66" w:rsidRPr="00DC5B6A">
        <w:rPr>
          <w:lang w:val="en-US"/>
        </w:rPr>
        <w:t xml:space="preserve"> certainty</w:t>
      </w:r>
      <w:r w:rsidR="00D65F70" w:rsidRPr="00DC5B6A">
        <w:rPr>
          <w:lang w:val="en-US"/>
        </w:rPr>
        <w:t xml:space="preserve"> (CDS) exhibited a significant interaction with supervisor training, </w:t>
      </w:r>
      <w:r w:rsidR="00D65F70" w:rsidRPr="00DC5B6A">
        <w:rPr>
          <w:i/>
          <w:lang w:val="en-US"/>
        </w:rPr>
        <w:t>F</w:t>
      </w:r>
      <w:r w:rsidR="00D65F70" w:rsidRPr="00DC5B6A">
        <w:rPr>
          <w:lang w:val="en-US"/>
        </w:rPr>
        <w:t xml:space="preserve">(1, 66) = 6.27, </w:t>
      </w:r>
      <w:r w:rsidR="00D65F70" w:rsidRPr="00DC5B6A">
        <w:t>η</w:t>
      </w:r>
      <w:r w:rsidR="00D65F70" w:rsidRPr="00DC5B6A">
        <w:rPr>
          <w:vertAlign w:val="superscript"/>
          <w:lang w:val="en-US"/>
        </w:rPr>
        <w:t>2</w:t>
      </w:r>
      <w:r w:rsidR="00FB2D05">
        <w:rPr>
          <w:lang w:val="en-US"/>
        </w:rPr>
        <w:t xml:space="preserve"> = .09</w:t>
      </w:r>
      <w:r w:rsidR="00D65F70" w:rsidRPr="00DC5B6A">
        <w:rPr>
          <w:lang w:val="en-US"/>
        </w:rPr>
        <w:t xml:space="preserve">, while career commitment was associated with the internship qualities of autonomy and supervisor support, </w:t>
      </w:r>
      <w:r w:rsidR="00D65F70" w:rsidRPr="00DC5B6A">
        <w:rPr>
          <w:i/>
          <w:lang w:val="en-US"/>
        </w:rPr>
        <w:t>F</w:t>
      </w:r>
      <w:r w:rsidR="00D65F70" w:rsidRPr="00DC5B6A">
        <w:rPr>
          <w:lang w:val="en-US"/>
        </w:rPr>
        <w:t xml:space="preserve">(1, 66) = 4.17, </w:t>
      </w:r>
      <w:r w:rsidR="00D65F70" w:rsidRPr="00DC5B6A">
        <w:t>η</w:t>
      </w:r>
      <w:r w:rsidR="00D65F70" w:rsidRPr="00DC5B6A">
        <w:rPr>
          <w:vertAlign w:val="superscript"/>
          <w:lang w:val="en-US"/>
        </w:rPr>
        <w:t>2</w:t>
      </w:r>
      <w:r w:rsidR="00FB2D05">
        <w:rPr>
          <w:lang w:val="en-US"/>
        </w:rPr>
        <w:t xml:space="preserve"> = .06</w:t>
      </w:r>
      <w:r w:rsidR="00D65F70" w:rsidRPr="00DC5B6A">
        <w:rPr>
          <w:lang w:val="en-US"/>
        </w:rPr>
        <w:t xml:space="preserve">, and </w:t>
      </w:r>
      <w:r w:rsidR="00D65F70" w:rsidRPr="00DC5B6A">
        <w:rPr>
          <w:i/>
          <w:lang w:val="en-US"/>
        </w:rPr>
        <w:t>F</w:t>
      </w:r>
      <w:r w:rsidR="00D65F70" w:rsidRPr="00DC5B6A">
        <w:rPr>
          <w:lang w:val="en-US"/>
        </w:rPr>
        <w:t xml:space="preserve">(1, 66) = 6.14, </w:t>
      </w:r>
      <w:r w:rsidR="00D65F70" w:rsidRPr="00DC5B6A">
        <w:t>η</w:t>
      </w:r>
      <w:r w:rsidR="00D65F70" w:rsidRPr="00DC5B6A">
        <w:rPr>
          <w:vertAlign w:val="superscript"/>
          <w:lang w:val="en-US"/>
        </w:rPr>
        <w:t>2</w:t>
      </w:r>
      <w:r w:rsidR="00FB2D05">
        <w:rPr>
          <w:lang w:val="en-US"/>
        </w:rPr>
        <w:t xml:space="preserve"> = .09</w:t>
      </w:r>
      <w:r w:rsidR="00D65F70" w:rsidRPr="00DC5B6A">
        <w:rPr>
          <w:lang w:val="en-US"/>
        </w:rPr>
        <w:t xml:space="preserve">, respectively. Regarding supervision, particularly supervisor feedback, internship quality influenced external instrumentality, </w:t>
      </w:r>
      <w:r w:rsidR="00D65F70" w:rsidRPr="00DC5B6A">
        <w:rPr>
          <w:i/>
          <w:lang w:val="en-US"/>
        </w:rPr>
        <w:t>F</w:t>
      </w:r>
      <w:r w:rsidR="00D65F70" w:rsidRPr="00DC5B6A">
        <w:rPr>
          <w:lang w:val="en-US"/>
        </w:rPr>
        <w:t xml:space="preserve">(1, 66) = 9.84, </w:t>
      </w:r>
      <w:r w:rsidR="00D65F70" w:rsidRPr="00DC5B6A">
        <w:t>η</w:t>
      </w:r>
      <w:r w:rsidR="00D65F70" w:rsidRPr="00DC5B6A">
        <w:rPr>
          <w:vertAlign w:val="superscript"/>
          <w:lang w:val="en-US"/>
        </w:rPr>
        <w:t>2</w:t>
      </w:r>
      <w:r w:rsidR="00FB2D05">
        <w:rPr>
          <w:lang w:val="en-US"/>
        </w:rPr>
        <w:t xml:space="preserve"> = .13</w:t>
      </w:r>
      <w:r w:rsidR="00D65F70" w:rsidRPr="00DC5B6A">
        <w:rPr>
          <w:lang w:val="en-US"/>
        </w:rPr>
        <w:t xml:space="preserve">. Within the domain of behavior exploration, significant interactions exhibiting significant gains in the desired direction were found between environment exploration and autonomy, </w:t>
      </w:r>
      <w:r w:rsidR="00D65F70" w:rsidRPr="00DC5B6A">
        <w:rPr>
          <w:i/>
          <w:lang w:val="en-US"/>
        </w:rPr>
        <w:t>F</w:t>
      </w:r>
      <w:r w:rsidR="00D65F70" w:rsidRPr="00DC5B6A">
        <w:rPr>
          <w:lang w:val="en-US"/>
        </w:rPr>
        <w:t xml:space="preserve">(1, 66) = 5.68, </w:t>
      </w:r>
      <w:r w:rsidR="00D65F70" w:rsidRPr="00DC5B6A">
        <w:t>η</w:t>
      </w:r>
      <w:r w:rsidR="00D65F70" w:rsidRPr="00DC5B6A">
        <w:rPr>
          <w:vertAlign w:val="superscript"/>
          <w:lang w:val="en-US"/>
        </w:rPr>
        <w:t>2</w:t>
      </w:r>
      <w:r w:rsidR="00FB2D05">
        <w:rPr>
          <w:lang w:val="en-US"/>
        </w:rPr>
        <w:t xml:space="preserve"> = .08</w:t>
      </w:r>
      <w:r w:rsidR="00D65F70" w:rsidRPr="00DC5B6A">
        <w:rPr>
          <w:lang w:val="en-US"/>
        </w:rPr>
        <w:t xml:space="preserve">, and between systematic exploration and autonomy, </w:t>
      </w:r>
      <w:r w:rsidR="00D65F70" w:rsidRPr="00DC5B6A">
        <w:rPr>
          <w:i/>
          <w:lang w:val="en-US"/>
        </w:rPr>
        <w:t>F</w:t>
      </w:r>
      <w:r w:rsidR="00D65F70" w:rsidRPr="00DC5B6A">
        <w:rPr>
          <w:lang w:val="en-US"/>
        </w:rPr>
        <w:t xml:space="preserve">(1, 66) = 5.79, </w:t>
      </w:r>
      <w:r w:rsidR="00D65F70" w:rsidRPr="00DC5B6A">
        <w:t>η</w:t>
      </w:r>
      <w:r w:rsidR="00D65F70" w:rsidRPr="00DC5B6A">
        <w:rPr>
          <w:vertAlign w:val="superscript"/>
          <w:lang w:val="en-US"/>
        </w:rPr>
        <w:t>2</w:t>
      </w:r>
      <w:r w:rsidR="00FB2D05">
        <w:rPr>
          <w:lang w:val="en-US"/>
        </w:rPr>
        <w:t xml:space="preserve"> = .08</w:t>
      </w:r>
      <w:r w:rsidR="00D65F70" w:rsidRPr="00DC5B6A">
        <w:rPr>
          <w:lang w:val="en-US"/>
        </w:rPr>
        <w:t>. Finally, this cluster exhibited the most favorable results in the entire sample</w:t>
      </w:r>
      <w:r w:rsidR="002B2D66" w:rsidRPr="00DC5B6A">
        <w:rPr>
          <w:lang w:val="en-US"/>
        </w:rPr>
        <w:t xml:space="preserve"> regarding exploration reactions. In this dimension of career exploration, </w:t>
      </w:r>
      <w:r w:rsidR="00D65F70" w:rsidRPr="00DC5B6A">
        <w:rPr>
          <w:lang w:val="en-US"/>
        </w:rPr>
        <w:t xml:space="preserve">the change in stress levels with exploration significantly interacted with social support, </w:t>
      </w:r>
      <w:r w:rsidR="00D65F70" w:rsidRPr="00DC5B6A">
        <w:rPr>
          <w:i/>
          <w:lang w:val="en-US"/>
        </w:rPr>
        <w:t>F</w:t>
      </w:r>
      <w:r w:rsidR="00D65F70" w:rsidRPr="00DC5B6A">
        <w:rPr>
          <w:lang w:val="en-US"/>
        </w:rPr>
        <w:t xml:space="preserve">(1, 66) = 6.82, </w:t>
      </w:r>
      <w:r w:rsidR="00D65F70" w:rsidRPr="00DC5B6A">
        <w:t>η</w:t>
      </w:r>
      <w:r w:rsidR="00D65F70" w:rsidRPr="00DC5B6A">
        <w:rPr>
          <w:vertAlign w:val="superscript"/>
          <w:lang w:val="en-US"/>
        </w:rPr>
        <w:t>2</w:t>
      </w:r>
      <w:r w:rsidR="00FB2D05">
        <w:rPr>
          <w:lang w:val="en-US"/>
        </w:rPr>
        <w:t xml:space="preserve"> = .09</w:t>
      </w:r>
      <w:r w:rsidR="00D65F70" w:rsidRPr="00DC5B6A">
        <w:rPr>
          <w:lang w:val="en-US"/>
        </w:rPr>
        <w:t xml:space="preserve">. Briefly, apart from autonomy, social support, and </w:t>
      </w:r>
      <w:r w:rsidR="002B2D66" w:rsidRPr="00DC5B6A">
        <w:rPr>
          <w:lang w:val="en-US"/>
        </w:rPr>
        <w:t xml:space="preserve">some aspects </w:t>
      </w:r>
      <w:r w:rsidR="00D65F70" w:rsidRPr="00DC5B6A">
        <w:rPr>
          <w:lang w:val="en-US"/>
        </w:rPr>
        <w:t>of supervision (e.g., supervisor feedback)</w:t>
      </w:r>
      <w:r w:rsidR="002B2D66" w:rsidRPr="00DC5B6A">
        <w:rPr>
          <w:lang w:val="en-US"/>
        </w:rPr>
        <w:t>, few qualities</w:t>
      </w:r>
      <w:r w:rsidR="00D65F70" w:rsidRPr="00DC5B6A">
        <w:rPr>
          <w:lang w:val="en-US"/>
        </w:rPr>
        <w:t xml:space="preserve"> of the internship produced changes in the vocational domain for this cluster of students, who were already highly committed to their career options.</w:t>
      </w:r>
    </w:p>
    <w:p w:rsidR="00D65F70" w:rsidRPr="00DC5B6A" w:rsidRDefault="00D65F70" w:rsidP="00BD377B">
      <w:pPr>
        <w:pStyle w:val="Corpodetexto"/>
        <w:ind w:left="720"/>
        <w:jc w:val="left"/>
        <w:rPr>
          <w:b/>
          <w:lang w:val="en-US"/>
        </w:rPr>
      </w:pPr>
    </w:p>
    <w:p w:rsidR="00507E17" w:rsidRPr="00DC5B6A" w:rsidRDefault="00AC6B1C" w:rsidP="00BD377B">
      <w:pPr>
        <w:pStyle w:val="Corpodetexto"/>
        <w:jc w:val="center"/>
        <w:rPr>
          <w:b/>
          <w:lang w:val="en-US"/>
        </w:rPr>
      </w:pPr>
      <w:r w:rsidRPr="00DC5B6A">
        <w:rPr>
          <w:b/>
          <w:lang w:val="en-US"/>
        </w:rPr>
        <w:t>Discussion</w:t>
      </w:r>
    </w:p>
    <w:p w:rsidR="0041688A" w:rsidRDefault="00EB64B0" w:rsidP="00BD377B">
      <w:pPr>
        <w:pStyle w:val="Corpodetexto"/>
        <w:ind w:firstLine="360"/>
        <w:jc w:val="left"/>
        <w:rPr>
          <w:lang w:val="en-US"/>
        </w:rPr>
      </w:pPr>
      <w:r w:rsidRPr="00DC5B6A">
        <w:rPr>
          <w:lang w:val="en-US"/>
        </w:rPr>
        <w:t>The cluster anal</w:t>
      </w:r>
      <w:r w:rsidR="00944E86" w:rsidRPr="00DC5B6A">
        <w:rPr>
          <w:lang w:val="en-US"/>
        </w:rPr>
        <w:t>ysis classified</w:t>
      </w:r>
      <w:r w:rsidRPr="00DC5B6A">
        <w:rPr>
          <w:lang w:val="en-US"/>
        </w:rPr>
        <w:t xml:space="preserve"> participants into four distinct and conceptually relevant career profiles. This </w:t>
      </w:r>
      <w:r w:rsidR="000D4CD1" w:rsidRPr="00DC5B6A">
        <w:rPr>
          <w:lang w:val="en-US"/>
        </w:rPr>
        <w:t>procedure revealed heterogeneity</w:t>
      </w:r>
      <w:r w:rsidRPr="00DC5B6A">
        <w:rPr>
          <w:lang w:val="en-US"/>
        </w:rPr>
        <w:t xml:space="preserve"> within the sample, while addressing the diverse vocational strategies of the students who participated in internships</w:t>
      </w:r>
      <w:r w:rsidR="00436A46" w:rsidRPr="00DC5B6A">
        <w:rPr>
          <w:lang w:val="en-US"/>
        </w:rPr>
        <w:t xml:space="preserve"> (e.g., Barling </w:t>
      </w:r>
      <w:r w:rsidR="00444BF8">
        <w:rPr>
          <w:lang w:val="en-US"/>
        </w:rPr>
        <w:lastRenderedPageBreak/>
        <w:t>&amp; Kelloway, 1999</w:t>
      </w:r>
      <w:r w:rsidR="00436A46" w:rsidRPr="00DC5B6A">
        <w:rPr>
          <w:lang w:val="en-US"/>
        </w:rPr>
        <w:t>; Staff &amp; Mortimer, 2007</w:t>
      </w:r>
      <w:r w:rsidRPr="00DC5B6A">
        <w:rPr>
          <w:lang w:val="en-US"/>
        </w:rPr>
        <w:t>). The results identified interactions between the within-subjects factor of time and the between-subjects factor</w:t>
      </w:r>
      <w:r w:rsidRPr="00DC5B6A" w:rsidDel="00A84AC0">
        <w:rPr>
          <w:lang w:val="en-US"/>
        </w:rPr>
        <w:t xml:space="preserve"> </w:t>
      </w:r>
      <w:r w:rsidRPr="00DC5B6A">
        <w:rPr>
          <w:lang w:val="en-US"/>
        </w:rPr>
        <w:t>of student clusters for almost all vocational variables, which is consistent with developmental-contextualist career approaches (</w:t>
      </w:r>
      <w:r w:rsidR="00436A46" w:rsidRPr="00DC5B6A">
        <w:rPr>
          <w:lang w:val="en-US"/>
        </w:rPr>
        <w:t>Vondracek et al., 1986; Vondracek &amp; Porfeli, 2008</w:t>
      </w:r>
      <w:r w:rsidRPr="00DC5B6A">
        <w:rPr>
          <w:lang w:val="en-US"/>
        </w:rPr>
        <w:t xml:space="preserve">) that claim that the diversity and complexity of the individuals and </w:t>
      </w:r>
      <w:r w:rsidR="00A7538A" w:rsidRPr="00DC5B6A">
        <w:rPr>
          <w:lang w:val="en-US"/>
        </w:rPr>
        <w:t xml:space="preserve">of </w:t>
      </w:r>
      <w:r w:rsidRPr="00DC5B6A">
        <w:rPr>
          <w:lang w:val="en-US"/>
        </w:rPr>
        <w:t xml:space="preserve">the environmental contexts must be addressed </w:t>
      </w:r>
      <w:r w:rsidR="00A7538A" w:rsidRPr="00DC5B6A">
        <w:rPr>
          <w:lang w:val="en-US"/>
        </w:rPr>
        <w:t xml:space="preserve">if we want </w:t>
      </w:r>
      <w:r w:rsidRPr="00DC5B6A">
        <w:rPr>
          <w:lang w:val="en-US"/>
        </w:rPr>
        <w:t xml:space="preserve">to understand </w:t>
      </w:r>
      <w:r w:rsidR="00A7538A" w:rsidRPr="00DC5B6A">
        <w:rPr>
          <w:lang w:val="en-US"/>
        </w:rPr>
        <w:t xml:space="preserve">the </w:t>
      </w:r>
      <w:r w:rsidRPr="00DC5B6A">
        <w:rPr>
          <w:lang w:val="en-US"/>
        </w:rPr>
        <w:t>career development</w:t>
      </w:r>
      <w:r w:rsidR="00A7538A" w:rsidRPr="00DC5B6A">
        <w:rPr>
          <w:lang w:val="en-US"/>
        </w:rPr>
        <w:t xml:space="preserve"> process</w:t>
      </w:r>
      <w:r w:rsidRPr="00DC5B6A">
        <w:rPr>
          <w:lang w:val="en-US"/>
        </w:rPr>
        <w:t xml:space="preserve">. </w:t>
      </w:r>
    </w:p>
    <w:p w:rsidR="00DD0C3D" w:rsidRDefault="00EB64B0" w:rsidP="00BD377B">
      <w:pPr>
        <w:pStyle w:val="Corpodetexto"/>
        <w:ind w:firstLine="360"/>
        <w:jc w:val="left"/>
        <w:rPr>
          <w:lang w:val="en-US"/>
        </w:rPr>
      </w:pPr>
      <w:r w:rsidRPr="00DC5B6A">
        <w:rPr>
          <w:lang w:val="en-US"/>
        </w:rPr>
        <w:t xml:space="preserve">The primary goal of the present study was to determine whether internship qualities exerted the same influence on students with different career profiles. As expected, differences in internship qualities did not uniformly affect the four student clusters, and there were differences in the type, number, and magnitude of the interactions between internship qualities and career development factors. </w:t>
      </w:r>
    </w:p>
    <w:p w:rsidR="0041688A" w:rsidRDefault="0041688A" w:rsidP="00BD377B">
      <w:pPr>
        <w:pStyle w:val="Corpodetexto"/>
        <w:ind w:firstLine="360"/>
        <w:jc w:val="left"/>
        <w:rPr>
          <w:lang w:val="en-US"/>
        </w:rPr>
      </w:pPr>
    </w:p>
    <w:p w:rsidR="00EB64B0" w:rsidRPr="00DC5B6A" w:rsidRDefault="00EB64B0" w:rsidP="00BD377B">
      <w:pPr>
        <w:pStyle w:val="Corpodetexto"/>
        <w:ind w:firstLine="360"/>
        <w:jc w:val="left"/>
        <w:rPr>
          <w:lang w:val="en-US"/>
        </w:rPr>
      </w:pPr>
      <w:r w:rsidRPr="00DC5B6A">
        <w:rPr>
          <w:lang w:val="en-US"/>
        </w:rPr>
        <w:t>Cluster 1</w:t>
      </w:r>
      <w:r w:rsidR="00795C5C">
        <w:rPr>
          <w:lang w:val="en-US"/>
        </w:rPr>
        <w:t>(</w:t>
      </w:r>
      <w:r w:rsidR="00795C5C" w:rsidRPr="00F03B07">
        <w:rPr>
          <w:i/>
          <w:lang w:val="en-US"/>
        </w:rPr>
        <w:t>Deferred</w:t>
      </w:r>
      <w:r w:rsidR="00795C5C">
        <w:rPr>
          <w:i/>
          <w:lang w:val="en-US"/>
        </w:rPr>
        <w:t xml:space="preserve"> </w:t>
      </w:r>
      <w:r w:rsidR="00795C5C" w:rsidRPr="00F03B07">
        <w:rPr>
          <w:i/>
          <w:lang w:val="en-US"/>
        </w:rPr>
        <w:t>exploration/committed decision</w:t>
      </w:r>
      <w:r w:rsidR="00795C5C">
        <w:rPr>
          <w:i/>
          <w:lang w:val="en-US"/>
        </w:rPr>
        <w:t>)</w:t>
      </w:r>
      <w:r w:rsidRPr="00DC5B6A">
        <w:rPr>
          <w:lang w:val="en-US"/>
        </w:rPr>
        <w:t xml:space="preserve"> included students who had unfavorable beliefs and behaviors regarding career exploration combined with low levels of concern with career issues due to previous career decisions. This approach to career decision making is often viewed as less adaptive (</w:t>
      </w:r>
      <w:r w:rsidR="0081139F">
        <w:rPr>
          <w:lang w:val="en-US"/>
        </w:rPr>
        <w:t>e.g., Baiocco et al.</w:t>
      </w:r>
      <w:r w:rsidR="000D4CD1" w:rsidRPr="00DC5B6A">
        <w:rPr>
          <w:lang w:val="en-US"/>
        </w:rPr>
        <w:t>, 2009</w:t>
      </w:r>
      <w:r w:rsidRPr="00DC5B6A">
        <w:rPr>
          <w:lang w:val="en-US"/>
        </w:rPr>
        <w:t xml:space="preserve">) because it reflects </w:t>
      </w:r>
      <w:r w:rsidR="00AE7D51" w:rsidRPr="00DC5B6A">
        <w:rPr>
          <w:lang w:val="en-US"/>
        </w:rPr>
        <w:t>lack of information</w:t>
      </w:r>
      <w:r w:rsidRPr="00DC5B6A">
        <w:rPr>
          <w:lang w:val="en-US"/>
        </w:rPr>
        <w:t xml:space="preserve"> regarding the self and the professional work environment. In this cluster, involvement in concrete tasks (e.g., task variety and learning opportunities) appeared to have </w:t>
      </w:r>
      <w:r w:rsidR="002B2D66" w:rsidRPr="00DC5B6A">
        <w:rPr>
          <w:lang w:val="en-US"/>
        </w:rPr>
        <w:t>the greatest impact on representations</w:t>
      </w:r>
      <w:r w:rsidRPr="00DC5B6A">
        <w:rPr>
          <w:lang w:val="en-US"/>
        </w:rPr>
        <w:t xml:space="preserve"> of the self, while supervisor support and training seemed to be important for developing intentional exploratory activity toward the environment and for increasing confidence in career exploration and planning. For these students, the progressive mastery of tasks during the internship might motivate the internalization and self-determination of career exploration and decision making (</w:t>
      </w:r>
      <w:r w:rsidR="00B42A4B" w:rsidRPr="00DC5B6A">
        <w:rPr>
          <w:lang w:val="en-US"/>
        </w:rPr>
        <w:t>e.g.</w:t>
      </w:r>
      <w:r w:rsidR="0032376E" w:rsidRPr="00DC5B6A">
        <w:rPr>
          <w:lang w:val="en-US"/>
        </w:rPr>
        <w:t>, Ryan &amp; Deci, 2000</w:t>
      </w:r>
      <w:r w:rsidR="00B42A4B" w:rsidRPr="00DC5B6A">
        <w:rPr>
          <w:lang w:val="en-US"/>
        </w:rPr>
        <w:t>; Flum &amp; Blustein, 2000</w:t>
      </w:r>
      <w:r w:rsidRPr="00DC5B6A">
        <w:rPr>
          <w:lang w:val="en-US"/>
        </w:rPr>
        <w:t>), which could be extended to other processes and contexts (</w:t>
      </w:r>
      <w:r w:rsidR="00B42A4B" w:rsidRPr="00DC5B6A">
        <w:rPr>
          <w:lang w:val="en-US"/>
        </w:rPr>
        <w:t>e.g., Flouri &amp; Buchanan, 2002</w:t>
      </w:r>
      <w:r w:rsidRPr="00DC5B6A">
        <w:rPr>
          <w:lang w:val="en-US"/>
        </w:rPr>
        <w:t xml:space="preserve">). In summary, from a career development viewpoint, </w:t>
      </w:r>
      <w:r w:rsidRPr="00DC5B6A">
        <w:rPr>
          <w:lang w:val="en-US"/>
        </w:rPr>
        <w:lastRenderedPageBreak/>
        <w:t>the internship experience was beneficial for this student group due to increased levels of exploration and concern with career decision making over time, which permitted the revaluation of previous career decisions.</w:t>
      </w:r>
    </w:p>
    <w:p w:rsidR="00EB64B0" w:rsidRPr="00DC5B6A" w:rsidRDefault="00EB64B0" w:rsidP="00BD377B">
      <w:pPr>
        <w:pStyle w:val="Avanodecorpodetexto"/>
        <w:jc w:val="left"/>
        <w:rPr>
          <w:lang w:val="en-US"/>
        </w:rPr>
      </w:pPr>
      <w:r w:rsidRPr="00DC5B6A">
        <w:rPr>
          <w:lang w:val="en-US"/>
        </w:rPr>
        <w:t xml:space="preserve">Cluster 2 </w:t>
      </w:r>
      <w:r w:rsidR="00795C5C">
        <w:rPr>
          <w:lang w:val="en-US"/>
        </w:rPr>
        <w:t>(</w:t>
      </w:r>
      <w:r w:rsidR="00795C5C" w:rsidRPr="00F03B07">
        <w:rPr>
          <w:i/>
          <w:lang w:val="en-US"/>
        </w:rPr>
        <w:t>Self-oriented/avoidant exploration</w:t>
      </w:r>
      <w:r w:rsidR="00795C5C">
        <w:rPr>
          <w:lang w:val="en-US"/>
        </w:rPr>
        <w:t xml:space="preserve">) </w:t>
      </w:r>
      <w:r w:rsidRPr="00DC5B6A">
        <w:rPr>
          <w:lang w:val="en-US"/>
        </w:rPr>
        <w:t xml:space="preserve">included students who entered the internship situation with a less favorable career profile. In addition to high levels of indecision and stress regarding career decision making, these students focused their exploratory activity on themselves and found it difficult to incorporate information regarding the environment into their decision making. Moreover, internship qualities, i.e., colleague feedback, supervisor training, task variety and learning opportunities, influenced only some dimensions of career exploration and did not significantly influence career decision making and commitment. Thus, their career exploration appeared to benefit from the external </w:t>
      </w:r>
      <w:r w:rsidRPr="00795C5C">
        <w:rPr>
          <w:lang w:val="en-US"/>
        </w:rPr>
        <w:t>regulation provided by supervisor instructions and colleague feedback. In contrast, as noted in the literature (</w:t>
      </w:r>
      <w:r w:rsidR="00B42A4B" w:rsidRPr="00795C5C">
        <w:rPr>
          <w:lang w:val="en-US"/>
        </w:rPr>
        <w:t>e.g., Blustein, 1989; Constanti</w:t>
      </w:r>
      <w:r w:rsidR="00546747">
        <w:rPr>
          <w:lang w:val="en-US"/>
        </w:rPr>
        <w:t>ne &amp; Flores, 2006;</w:t>
      </w:r>
      <w:r w:rsidR="00B42A4B" w:rsidRPr="00795C5C">
        <w:rPr>
          <w:lang w:val="en-US"/>
        </w:rPr>
        <w:t xml:space="preserve"> Gushue, Clarke, Pantzer  &amp; Seanlan, 2006; Patton &amp; Creed, 2007a; Rogers et al., 2008</w:t>
      </w:r>
      <w:r w:rsidRPr="00795C5C">
        <w:rPr>
          <w:lang w:val="en-US"/>
        </w:rPr>
        <w:t>), the absence of significant interactions with indecision and commitment might indicate that students’ anxiety and lack of confidence limited openness to experiences, prevented experience-based</w:t>
      </w:r>
      <w:r w:rsidRPr="00795C5C" w:rsidDel="00CD1C69">
        <w:rPr>
          <w:lang w:val="en-US"/>
        </w:rPr>
        <w:t xml:space="preserve"> </w:t>
      </w:r>
      <w:r w:rsidRPr="00795C5C">
        <w:rPr>
          <w:lang w:val="en-US"/>
        </w:rPr>
        <w:t>improvement, undermined the emergence of work-related adaptive skills (</w:t>
      </w:r>
      <w:r w:rsidR="00B42A4B" w:rsidRPr="00795C5C">
        <w:rPr>
          <w:lang w:val="en-US"/>
        </w:rPr>
        <w:t>e.g., Savickas, 2005</w:t>
      </w:r>
      <w:r w:rsidRPr="00795C5C">
        <w:rPr>
          <w:lang w:val="en-US"/>
        </w:rPr>
        <w:t>), and interfered with career decision making and commitment (</w:t>
      </w:r>
      <w:r w:rsidR="00B42A4B" w:rsidRPr="00795C5C">
        <w:rPr>
          <w:lang w:val="en-US"/>
        </w:rPr>
        <w:t>e.g., Kelly &amp; Lee, 2002; Patton &amp; Creed, 2007b</w:t>
      </w:r>
      <w:r w:rsidRPr="00795C5C">
        <w:rPr>
          <w:lang w:val="en-US"/>
        </w:rPr>
        <w:t>).</w:t>
      </w:r>
      <w:r w:rsidRPr="00DC5B6A">
        <w:rPr>
          <w:lang w:val="en-US"/>
        </w:rPr>
        <w:t xml:space="preserve"> For this group of students, the influence of internship qualities was superficial and affected only the more procedural aspects of career exploration. Although the effects were desirable, they did not motivate students to assess their assumptions regarding their career goals more realistically (</w:t>
      </w:r>
      <w:r w:rsidR="00B42A4B" w:rsidRPr="00DC5B6A">
        <w:rPr>
          <w:lang w:val="en-US"/>
        </w:rPr>
        <w:t>e.g., Flum &amp; Blustein, 2000; Stumpf &amp; Hartman, 1984</w:t>
      </w:r>
      <w:r w:rsidRPr="00DC5B6A">
        <w:rPr>
          <w:lang w:val="en-US"/>
        </w:rPr>
        <w:t>).</w:t>
      </w:r>
    </w:p>
    <w:p w:rsidR="00EB64B0" w:rsidRPr="00DC5B6A" w:rsidRDefault="00EB64B0" w:rsidP="00BD377B">
      <w:pPr>
        <w:pStyle w:val="Avanodecorpodetexto"/>
        <w:jc w:val="left"/>
        <w:rPr>
          <w:lang w:val="en-US"/>
        </w:rPr>
      </w:pPr>
      <w:r w:rsidRPr="00DC5B6A">
        <w:rPr>
          <w:lang w:val="en-US"/>
        </w:rPr>
        <w:t>Cluster 3</w:t>
      </w:r>
      <w:r w:rsidR="00795C5C">
        <w:rPr>
          <w:lang w:val="en-US"/>
        </w:rPr>
        <w:t xml:space="preserve"> (</w:t>
      </w:r>
      <w:r w:rsidR="00795C5C" w:rsidRPr="00BB6EC7">
        <w:rPr>
          <w:i/>
          <w:lang w:val="en-US"/>
        </w:rPr>
        <w:t>Systematic exploration/deferred decision and commitment</w:t>
      </w:r>
      <w:r w:rsidR="00795C5C">
        <w:rPr>
          <w:lang w:val="en-US"/>
        </w:rPr>
        <w:t>)</w:t>
      </w:r>
      <w:r w:rsidRPr="00DC5B6A">
        <w:rPr>
          <w:lang w:val="en-US"/>
        </w:rPr>
        <w:t xml:space="preserve"> included a group of students who exhibited confidence in their decision-making skills at the outset of the internship, as well as favorable exploration behaviors that were combined with high levels of </w:t>
      </w:r>
      <w:r w:rsidRPr="00DC5B6A">
        <w:rPr>
          <w:lang w:val="en-US"/>
        </w:rPr>
        <w:lastRenderedPageBreak/>
        <w:t>anxiety and some indecision regarding their academic and professional future. Moreover, for this group, there were no significant differences in the mean values observed at T1 and T2. Therefore, consistent with social-cognitive career theory (</w:t>
      </w:r>
      <w:r w:rsidR="0032376E" w:rsidRPr="00DC5B6A">
        <w:rPr>
          <w:lang w:val="en-US"/>
        </w:rPr>
        <w:t>e.g., Lent et al.,</w:t>
      </w:r>
      <w:r w:rsidR="001B13DF" w:rsidRPr="00DC5B6A">
        <w:rPr>
          <w:lang w:val="en-US"/>
        </w:rPr>
        <w:t xml:space="preserve"> 2002</w:t>
      </w:r>
      <w:r w:rsidRPr="00DC5B6A">
        <w:rPr>
          <w:lang w:val="en-US"/>
        </w:rPr>
        <w:t>), social support, colleague feedback, and learning opportunities significantly influenced measures of decision-making self-efficacy, and these internship qualities could be considered to be the primary sources of self-efficacy. The quality of the internship experience might have increased students’ confidence with respect to some of the factors facilitating the transition to the professional work environment (</w:t>
      </w:r>
      <w:r w:rsidR="001B13DF" w:rsidRPr="00DC5B6A">
        <w:rPr>
          <w:lang w:val="en-US"/>
        </w:rPr>
        <w:t>e.g., Lent, Hackett &amp; Brown</w:t>
      </w:r>
      <w:r w:rsidR="0032376E" w:rsidRPr="00DC5B6A">
        <w:rPr>
          <w:lang w:val="en-US"/>
        </w:rPr>
        <w:t>, 1999</w:t>
      </w:r>
      <w:r w:rsidRPr="00DC5B6A">
        <w:rPr>
          <w:lang w:val="en-US"/>
        </w:rPr>
        <w:t>). Regarding exploratory activity, there were significant interactions between internship qualities and student beliefs and exploration behaviors. These results are consistent with the vocational behavior and self-determination theory perspectives (</w:t>
      </w:r>
      <w:r w:rsidR="001B0AF2">
        <w:rPr>
          <w:lang w:val="en-US"/>
        </w:rPr>
        <w:t>e.g., Blustein &amp; Noumair, 1996</w:t>
      </w:r>
      <w:r w:rsidR="001B13DF" w:rsidRPr="00DC5B6A">
        <w:rPr>
          <w:lang w:val="en-US"/>
        </w:rPr>
        <w:t xml:space="preserve">; </w:t>
      </w:r>
      <w:r w:rsidR="001B13DF" w:rsidRPr="00DC5B6A">
        <w:rPr>
          <w:rFonts w:eastAsia="Arial Unicode MS"/>
          <w:lang w:val="en-US"/>
        </w:rPr>
        <w:t>F</w:t>
      </w:r>
      <w:r w:rsidR="006D2CFC">
        <w:rPr>
          <w:rFonts w:eastAsia="Arial Unicode MS"/>
          <w:lang w:val="en-US"/>
        </w:rPr>
        <w:t>lum &amp; Blustein, 1999</w:t>
      </w:r>
      <w:r w:rsidR="001B13DF" w:rsidRPr="00DC5B6A">
        <w:rPr>
          <w:rFonts w:eastAsia="Arial Unicode MS"/>
          <w:lang w:val="en-US"/>
        </w:rPr>
        <w:t xml:space="preserve">; Flum &amp; Blustein, 2000; </w:t>
      </w:r>
      <w:r w:rsidR="000276DE">
        <w:rPr>
          <w:lang w:val="en-US"/>
        </w:rPr>
        <w:t>Ryan &amp; Deci, 2000</w:t>
      </w:r>
      <w:r w:rsidRPr="00DC5B6A">
        <w:rPr>
          <w:lang w:val="en-US"/>
        </w:rPr>
        <w:t>) because the support and guidance provided to students enabled them to explore information about themselves and the environment, as well as modify their beliefs about career exploration. However, although the vocational literature has found that confident and actively involved individuals display better career development and adjustment (</w:t>
      </w:r>
      <w:r w:rsidR="001B13DF" w:rsidRPr="00DC5B6A">
        <w:rPr>
          <w:lang w:val="en-US"/>
        </w:rPr>
        <w:t>e.g., Creed et al., 2009; Savickas, 2005; Skorikov, 2007; Super et al., 1996</w:t>
      </w:r>
      <w:r w:rsidRPr="00DC5B6A">
        <w:rPr>
          <w:lang w:val="en-US"/>
        </w:rPr>
        <w:t>), internship qualities did not appear to influence students’ exploration reactions or indecision and commitment factors. Because the development of these processes occurs in several stages (</w:t>
      </w:r>
      <w:r w:rsidR="00D23974" w:rsidRPr="00DC5B6A">
        <w:rPr>
          <w:lang w:val="en-US"/>
        </w:rPr>
        <w:t>e.g., Gati &amp; Asher, 2001;</w:t>
      </w:r>
      <w:r w:rsidR="00533FED">
        <w:rPr>
          <w:lang w:val="en-US"/>
        </w:rPr>
        <w:t xml:space="preserve"> Germeijs &amp; Verschueren, 2006</w:t>
      </w:r>
      <w:r w:rsidR="00E25DF5" w:rsidRPr="00DC5B6A">
        <w:rPr>
          <w:lang w:val="en-US"/>
        </w:rPr>
        <w:t>;</w:t>
      </w:r>
      <w:r w:rsidR="00D23974" w:rsidRPr="00DC5B6A">
        <w:rPr>
          <w:lang w:val="en-US"/>
        </w:rPr>
        <w:t xml:space="preserve"> Super et al., 1996</w:t>
      </w:r>
      <w:r w:rsidRPr="00DC5B6A">
        <w:rPr>
          <w:lang w:val="en-US"/>
        </w:rPr>
        <w:t xml:space="preserve">), support and learning opportunities were associated with students’ information gathering but did not affect career decision-making and commitment processes, which require higher levels of self-knowledge, increased emotional maturity, and the ability </w:t>
      </w:r>
      <w:r w:rsidR="00D23974" w:rsidRPr="00DC5B6A">
        <w:rPr>
          <w:lang w:val="en-US"/>
        </w:rPr>
        <w:t>to manage uncertainty and risk (e.g., Saka &amp; Gati, 2007; Skorikov, 2007</w:t>
      </w:r>
      <w:r w:rsidRPr="00DC5B6A">
        <w:rPr>
          <w:lang w:val="en-US"/>
        </w:rPr>
        <w:t>).</w:t>
      </w:r>
    </w:p>
    <w:p w:rsidR="00F46901" w:rsidRDefault="00EB64B0" w:rsidP="00522FD2">
      <w:pPr>
        <w:pStyle w:val="Avanodecorpodetexto"/>
        <w:jc w:val="left"/>
        <w:rPr>
          <w:lang w:val="en-US"/>
        </w:rPr>
      </w:pPr>
      <w:r w:rsidRPr="00DC5B6A">
        <w:rPr>
          <w:lang w:val="en-US"/>
        </w:rPr>
        <w:t>Finally, cluster 4</w:t>
      </w:r>
      <w:r w:rsidR="00795C5C">
        <w:rPr>
          <w:lang w:val="en-US"/>
        </w:rPr>
        <w:t xml:space="preserve"> (</w:t>
      </w:r>
      <w:r w:rsidR="00795C5C" w:rsidRPr="00BB6EC7">
        <w:rPr>
          <w:i/>
          <w:lang w:val="en-US"/>
        </w:rPr>
        <w:t>Confident exploration/high career commitment</w:t>
      </w:r>
      <w:r w:rsidR="00795C5C">
        <w:rPr>
          <w:lang w:val="en-US"/>
        </w:rPr>
        <w:t>)</w:t>
      </w:r>
      <w:r w:rsidRPr="00DC5B6A">
        <w:rPr>
          <w:lang w:val="en-US"/>
        </w:rPr>
        <w:t xml:space="preserve"> included students whose career profile favored career exploration and decision making. These students were </w:t>
      </w:r>
      <w:r w:rsidRPr="00DC5B6A">
        <w:rPr>
          <w:lang w:val="en-US"/>
        </w:rPr>
        <w:lastRenderedPageBreak/>
        <w:t xml:space="preserve">confident and exhibited low levels of indecision, although this was combined with lower levels of exploration and higher decision-making stress. With regard to exploration, these students particularly benefitted from the autonomy experienced in the internship context, which was consistent </w:t>
      </w:r>
      <w:r w:rsidR="00D23974" w:rsidRPr="00DC5B6A">
        <w:rPr>
          <w:lang w:val="en-US"/>
        </w:rPr>
        <w:t xml:space="preserve">with career exploration theory (e.g., </w:t>
      </w:r>
      <w:r w:rsidR="00D23974" w:rsidRPr="00DC5B6A">
        <w:rPr>
          <w:rFonts w:eastAsia="Arial Unicode MS"/>
          <w:lang w:val="en-US"/>
        </w:rPr>
        <w:t>Flum &amp; Blustein, 2000</w:t>
      </w:r>
      <w:r w:rsidRPr="00DC5B6A">
        <w:rPr>
          <w:lang w:val="en-US"/>
        </w:rPr>
        <w:t>) and self-determination theory (</w:t>
      </w:r>
      <w:r w:rsidR="00D23974" w:rsidRPr="00DC5B6A">
        <w:rPr>
          <w:lang w:val="en-US"/>
        </w:rPr>
        <w:t>e.g., Ryan &amp; Deci, 2000</w:t>
      </w:r>
      <w:r w:rsidRPr="00DC5B6A">
        <w:rPr>
          <w:lang w:val="en-US"/>
        </w:rPr>
        <w:t xml:space="preserve">). </w:t>
      </w:r>
      <w:r w:rsidR="0098468A" w:rsidRPr="00DC5B6A">
        <w:rPr>
          <w:lang w:val="en-US"/>
        </w:rPr>
        <w:t>In this light, t</w:t>
      </w:r>
      <w:r w:rsidRPr="00DC5B6A">
        <w:rPr>
          <w:lang w:val="en-US"/>
        </w:rPr>
        <w:t>he more confident individuals responded more favorably to the autonomy provi</w:t>
      </w:r>
      <w:r w:rsidR="0098468A" w:rsidRPr="00DC5B6A">
        <w:rPr>
          <w:lang w:val="en-US"/>
        </w:rPr>
        <w:t>ded by the new learning context</w:t>
      </w:r>
      <w:r w:rsidRPr="00DC5B6A">
        <w:rPr>
          <w:lang w:val="en-US"/>
        </w:rPr>
        <w:t>.</w:t>
      </w:r>
    </w:p>
    <w:p w:rsidR="00795C5C" w:rsidRPr="00DC5B6A" w:rsidRDefault="00795C5C" w:rsidP="00522FD2">
      <w:pPr>
        <w:pStyle w:val="Avanodecorpodetexto"/>
        <w:jc w:val="left"/>
        <w:rPr>
          <w:lang w:val="en-US"/>
        </w:rPr>
      </w:pPr>
    </w:p>
    <w:p w:rsidR="00AC6B1C" w:rsidRPr="006C2A37" w:rsidRDefault="00196F06" w:rsidP="00BD377B">
      <w:pPr>
        <w:pStyle w:val="Corpodetexto"/>
        <w:jc w:val="left"/>
        <w:rPr>
          <w:b/>
          <w:lang w:val="en-US"/>
        </w:rPr>
      </w:pPr>
      <w:r w:rsidRPr="006C2A37">
        <w:rPr>
          <w:b/>
          <w:lang w:val="en-US"/>
        </w:rPr>
        <w:t>I</w:t>
      </w:r>
      <w:r w:rsidR="00AC6B1C" w:rsidRPr="006C2A37">
        <w:rPr>
          <w:b/>
          <w:lang w:val="en-US"/>
        </w:rPr>
        <w:t>mplications for practice</w:t>
      </w:r>
      <w:r w:rsidR="0098468A" w:rsidRPr="006C2A37">
        <w:rPr>
          <w:b/>
          <w:lang w:val="en-US"/>
        </w:rPr>
        <w:t xml:space="preserve"> and future research</w:t>
      </w:r>
    </w:p>
    <w:p w:rsidR="006948B4" w:rsidRPr="00DC5B6A" w:rsidRDefault="006948B4" w:rsidP="00BD377B">
      <w:pPr>
        <w:spacing w:line="480" w:lineRule="auto"/>
        <w:ind w:firstLine="708"/>
        <w:rPr>
          <w:lang w:val="en-US"/>
        </w:rPr>
      </w:pPr>
      <w:r w:rsidRPr="00B3788E">
        <w:rPr>
          <w:lang w:val="en-US"/>
        </w:rPr>
        <w:t>Taking into account the results of this study</w:t>
      </w:r>
      <w:r w:rsidR="00B3788E" w:rsidRPr="00B3788E">
        <w:rPr>
          <w:lang w:val="en-US"/>
        </w:rPr>
        <w:t>, we should underscore</w:t>
      </w:r>
      <w:r w:rsidRPr="00B3788E">
        <w:rPr>
          <w:lang w:val="en-US"/>
        </w:rPr>
        <w:t xml:space="preserve"> the importance of the internship</w:t>
      </w:r>
      <w:r w:rsidR="00B3788E" w:rsidRPr="00B3788E">
        <w:rPr>
          <w:lang w:val="en-US"/>
        </w:rPr>
        <w:t xml:space="preserve"> quality</w:t>
      </w:r>
      <w:r w:rsidRPr="00B3788E">
        <w:rPr>
          <w:lang w:val="en-US"/>
        </w:rPr>
        <w:t xml:space="preserve"> in the vocational development of students attending VET courses in secondary education, mainly in w</w:t>
      </w:r>
      <w:r w:rsidRPr="00DC5B6A">
        <w:rPr>
          <w:lang w:val="en-US"/>
        </w:rPr>
        <w:t>hat concerns the career exploration process. For practice, our main contribution lies in breaking with the idea that the internship, as a modality of experiential learning, has the same impact on all VET students. On the contrary, the quality of the work experience has an effect that appears to be more pronounced for some of the clusters. In fact, according to the four vocational pro</w:t>
      </w:r>
      <w:r w:rsidR="00EF186C" w:rsidRPr="00DC5B6A">
        <w:rPr>
          <w:lang w:val="en-US"/>
        </w:rPr>
        <w:t>files established, some students</w:t>
      </w:r>
      <w:r w:rsidRPr="00DC5B6A">
        <w:rPr>
          <w:lang w:val="en-US"/>
        </w:rPr>
        <w:t xml:space="preserve"> benefit largely from the supervision dimensions, while others show significant gains in learning situations that provide greater autonomy, others still seem to be particularly responsive to the learning opportunities and challenges encountered in the work context. Therefore, we reaffirm the importance of differential practices within the career intervention domain, which should be based on c</w:t>
      </w:r>
      <w:r w:rsidR="00EF186C" w:rsidRPr="00DC5B6A">
        <w:rPr>
          <w:lang w:val="en-US"/>
        </w:rPr>
        <w:t>omplete information regarding</w:t>
      </w:r>
      <w:r w:rsidRPr="00DC5B6A">
        <w:rPr>
          <w:lang w:val="en-US"/>
        </w:rPr>
        <w:t xml:space="preserve"> the vocational profile of the students (e.g., interests, style of decision making, self-efficacy, goals and career plans),</w:t>
      </w:r>
      <w:r w:rsidR="00EF186C" w:rsidRPr="00DC5B6A">
        <w:rPr>
          <w:lang w:val="en-US"/>
        </w:rPr>
        <w:t xml:space="preserve"> and </w:t>
      </w:r>
      <w:r w:rsidRPr="00DC5B6A">
        <w:rPr>
          <w:lang w:val="en-US"/>
        </w:rPr>
        <w:t>the learning environments quality.</w:t>
      </w:r>
      <w:r w:rsidR="0098468A" w:rsidRPr="00DC5B6A">
        <w:rPr>
          <w:lang w:val="en-US"/>
        </w:rPr>
        <w:t xml:space="preserve"> In future research</w:t>
      </w:r>
      <w:r w:rsidRPr="00DC5B6A">
        <w:rPr>
          <w:lang w:val="en-US"/>
        </w:rPr>
        <w:t>, we believe that more longitudinal studies are needed, with several moments of data collection, covering the entire cycle of students traini</w:t>
      </w:r>
      <w:r w:rsidR="00EF186C" w:rsidRPr="00DC5B6A">
        <w:rPr>
          <w:lang w:val="en-US"/>
        </w:rPr>
        <w:t xml:space="preserve">ng (10, 11 and 12 years). </w:t>
      </w:r>
      <w:r w:rsidR="0098468A" w:rsidRPr="00DC5B6A">
        <w:rPr>
          <w:lang w:val="en-US"/>
        </w:rPr>
        <w:t>I</w:t>
      </w:r>
      <w:r w:rsidRPr="00DC5B6A">
        <w:rPr>
          <w:lang w:val="en-US"/>
        </w:rPr>
        <w:t xml:space="preserve">t is also important to assess the long-term impacts of the </w:t>
      </w:r>
      <w:r w:rsidRPr="00DC5B6A">
        <w:rPr>
          <w:lang w:val="en-US"/>
        </w:rPr>
        <w:lastRenderedPageBreak/>
        <w:t xml:space="preserve">internship quality on career development outcomes, such as job satisfaction and less time spent unemployed. </w:t>
      </w:r>
    </w:p>
    <w:p w:rsidR="00AC6B1C" w:rsidRPr="00DC5B6A" w:rsidRDefault="00AC6B1C" w:rsidP="001D20A3">
      <w:pPr>
        <w:pStyle w:val="Corpodetexto"/>
        <w:ind w:left="720"/>
        <w:jc w:val="center"/>
        <w:rPr>
          <w:b/>
        </w:rPr>
      </w:pPr>
      <w:r w:rsidRPr="00DC5B6A">
        <w:rPr>
          <w:b/>
        </w:rPr>
        <w:t>References</w:t>
      </w:r>
    </w:p>
    <w:p w:rsidR="006948B4" w:rsidRPr="00DC5B6A" w:rsidRDefault="006948B4" w:rsidP="00BD377B">
      <w:pPr>
        <w:spacing w:before="240" w:after="240" w:line="480" w:lineRule="auto"/>
        <w:ind w:left="567" w:hanging="567"/>
      </w:pPr>
      <w:r w:rsidRPr="00DC5B6A">
        <w:t xml:space="preserve">Alves, N., Almeida, A. J., Fontoura, M., &amp; Alves, P. (2001). </w:t>
      </w:r>
      <w:r w:rsidRPr="00DC5B6A">
        <w:rPr>
          <w:i/>
        </w:rPr>
        <w:t>Educação e formação: análise comparativa dos sub-sistemas de qualificação profissional de nível III</w:t>
      </w:r>
      <w:r w:rsidRPr="00DC5B6A">
        <w:t>. Lisboa: Observatório do Emprego e da Formação Profissional.</w:t>
      </w:r>
    </w:p>
    <w:p w:rsidR="006948B4" w:rsidRPr="00DC5B6A" w:rsidRDefault="006948B4" w:rsidP="00BD377B">
      <w:pPr>
        <w:spacing w:before="240" w:after="240" w:line="480" w:lineRule="auto"/>
        <w:ind w:left="567" w:hanging="567"/>
        <w:rPr>
          <w:lang w:val="en-US"/>
        </w:rPr>
      </w:pPr>
      <w:r w:rsidRPr="00DC5B6A">
        <w:t xml:space="preserve">Akos, P., Konold, T., &amp; Niles, S. (2004). </w:t>
      </w:r>
      <w:r w:rsidRPr="00DC5B6A">
        <w:rPr>
          <w:lang w:val="en-US"/>
        </w:rPr>
        <w:t xml:space="preserve">A career readiness typology and typal membership in middle school. </w:t>
      </w:r>
      <w:r w:rsidRPr="00DC5B6A">
        <w:rPr>
          <w:i/>
          <w:lang w:val="en-US"/>
        </w:rPr>
        <w:t>The Career Development Quarterly</w:t>
      </w:r>
      <w:r w:rsidRPr="00DC5B6A">
        <w:rPr>
          <w:lang w:val="en-US"/>
        </w:rPr>
        <w:t xml:space="preserve">, </w:t>
      </w:r>
      <w:r w:rsidRPr="00DC5B6A">
        <w:rPr>
          <w:i/>
          <w:lang w:val="en-US"/>
        </w:rPr>
        <w:t>53</w:t>
      </w:r>
      <w:r w:rsidRPr="00DC5B6A">
        <w:rPr>
          <w:lang w:val="en-US"/>
        </w:rPr>
        <w:t>, 53-66.</w:t>
      </w:r>
    </w:p>
    <w:p w:rsidR="006948B4" w:rsidRPr="00DC5B6A" w:rsidRDefault="006948B4" w:rsidP="00BD377B">
      <w:pPr>
        <w:spacing w:before="240" w:after="240" w:line="480" w:lineRule="auto"/>
        <w:ind w:left="567" w:hanging="567"/>
        <w:rPr>
          <w:lang w:val="en-US"/>
        </w:rPr>
      </w:pPr>
      <w:r w:rsidRPr="00DC5B6A">
        <w:rPr>
          <w:lang w:val="en-US"/>
        </w:rPr>
        <w:t xml:space="preserve">Aryee, S., &amp; Tan, K. (1992). Antecedents and outcomes of career commitment. </w:t>
      </w:r>
      <w:r w:rsidRPr="00DC5B6A">
        <w:rPr>
          <w:i/>
          <w:lang w:val="en-US"/>
        </w:rPr>
        <w:t>Journal of Vocational Behavior</w:t>
      </w:r>
      <w:r w:rsidRPr="00DC5B6A">
        <w:rPr>
          <w:lang w:val="en-US"/>
        </w:rPr>
        <w:t xml:space="preserve">, </w:t>
      </w:r>
      <w:r w:rsidRPr="00DC5B6A">
        <w:rPr>
          <w:i/>
          <w:lang w:val="en-US"/>
        </w:rPr>
        <w:t>40</w:t>
      </w:r>
      <w:r w:rsidRPr="00DC5B6A">
        <w:rPr>
          <w:lang w:val="en-US"/>
        </w:rPr>
        <w:t>, 288-305.</w:t>
      </w:r>
    </w:p>
    <w:p w:rsidR="006948B4" w:rsidRPr="00DC5B6A" w:rsidRDefault="006948B4" w:rsidP="00BD377B">
      <w:pPr>
        <w:spacing w:before="240" w:after="240" w:line="480" w:lineRule="auto"/>
        <w:ind w:left="567" w:hanging="567"/>
        <w:rPr>
          <w:lang w:val="en-US"/>
        </w:rPr>
      </w:pPr>
      <w:r w:rsidRPr="00DC5B6A">
        <w:rPr>
          <w:lang w:val="en-US"/>
        </w:rPr>
        <w:t xml:space="preserve">Baiocco, R., Laghi, F., &amp; D'Alessio, M. (2009). Decision-making style among adolescents: Relationship with sensation seeking and locus of control. </w:t>
      </w:r>
      <w:r w:rsidRPr="00DC5B6A">
        <w:rPr>
          <w:i/>
          <w:lang w:val="en-US"/>
        </w:rPr>
        <w:t>Journal of Adolescence,</w:t>
      </w:r>
      <w:r w:rsidRPr="00DC5B6A">
        <w:rPr>
          <w:lang w:val="en-US"/>
        </w:rPr>
        <w:t xml:space="preserve"> </w:t>
      </w:r>
      <w:r w:rsidRPr="00DC5B6A">
        <w:rPr>
          <w:i/>
          <w:lang w:val="en-US"/>
        </w:rPr>
        <w:t>32</w:t>
      </w:r>
      <w:r w:rsidRPr="00DC5B6A">
        <w:rPr>
          <w:lang w:val="en-US"/>
        </w:rPr>
        <w:t>, 963-976.</w:t>
      </w:r>
      <w:r w:rsidR="0082796B" w:rsidRPr="00DC5B6A">
        <w:rPr>
          <w:rFonts w:ascii="AdvP40668" w:eastAsia="Calibri" w:hAnsi="AdvP40668" w:cs="AdvP40668"/>
          <w:lang w:val="en-US" w:eastAsia="en-US"/>
        </w:rPr>
        <w:t xml:space="preserve"> </w:t>
      </w:r>
      <w:r w:rsidR="0082796B" w:rsidRPr="00DC5B6A">
        <w:rPr>
          <w:rFonts w:eastAsia="Calibri"/>
          <w:lang w:val="en-US" w:eastAsia="en-US"/>
        </w:rPr>
        <w:t>doi:10.1016/j.adolescence.2008.08.003.</w:t>
      </w:r>
    </w:p>
    <w:p w:rsidR="006948B4" w:rsidRDefault="006948B4" w:rsidP="00BD377B">
      <w:pPr>
        <w:spacing w:before="240" w:after="240" w:line="480" w:lineRule="auto"/>
        <w:ind w:left="567" w:hanging="567"/>
        <w:rPr>
          <w:lang w:val="en-US"/>
        </w:rPr>
      </w:pPr>
      <w:r w:rsidRPr="00DC5B6A">
        <w:rPr>
          <w:lang w:val="en-US"/>
        </w:rPr>
        <w:t xml:space="preserve">Barling, J., &amp; Kelloway, K. (1999). Introduction. In J. Barling &amp; K. Kelloway (Eds.), </w:t>
      </w:r>
      <w:r w:rsidRPr="00DC5B6A">
        <w:rPr>
          <w:i/>
          <w:lang w:val="en-US"/>
        </w:rPr>
        <w:t>Young workers varieties of experience.</w:t>
      </w:r>
      <w:r w:rsidRPr="00DC5B6A">
        <w:rPr>
          <w:lang w:val="en-US"/>
        </w:rPr>
        <w:t xml:space="preserve"> Washington: American Psychological Association.</w:t>
      </w:r>
    </w:p>
    <w:p w:rsidR="00CA66A5" w:rsidRPr="00DC5B6A" w:rsidRDefault="00CA66A5" w:rsidP="00CA66A5">
      <w:pPr>
        <w:spacing w:before="240" w:after="240" w:line="480" w:lineRule="auto"/>
        <w:ind w:left="567" w:hanging="567"/>
        <w:jc w:val="both"/>
        <w:rPr>
          <w:lang w:val="en-US"/>
        </w:rPr>
      </w:pPr>
      <w:r w:rsidRPr="0036094E">
        <w:rPr>
          <w:lang w:val="en-US"/>
        </w:rPr>
        <w:t xml:space="preserve">Bartley, D., &amp; Robitschek, C. (2000). Career exploration: a multivariate analysis of predictors. </w:t>
      </w:r>
      <w:r w:rsidRPr="00DC6C49">
        <w:rPr>
          <w:i/>
          <w:lang w:val="en-US"/>
        </w:rPr>
        <w:t>Journal of Vocational Behavior</w:t>
      </w:r>
      <w:r w:rsidRPr="0036094E">
        <w:rPr>
          <w:lang w:val="en-US"/>
        </w:rPr>
        <w:t>, 56, 63-81.</w:t>
      </w:r>
    </w:p>
    <w:p w:rsidR="006948B4" w:rsidRPr="00DC5B6A" w:rsidRDefault="006948B4" w:rsidP="00BD377B">
      <w:pPr>
        <w:spacing w:before="240" w:after="240" w:line="480" w:lineRule="auto"/>
        <w:ind w:left="567" w:hanging="567"/>
        <w:rPr>
          <w:lang w:val="en-US"/>
        </w:rPr>
      </w:pPr>
      <w:r w:rsidRPr="00DC5B6A">
        <w:rPr>
          <w:lang w:val="en-US"/>
        </w:rPr>
        <w:t xml:space="preserve">Betz, N. E., Klein, K., &amp; Taylor, K. (1996). Evaluation of a short form of the Career Decision-Making Self-Efficacy Scale. </w:t>
      </w:r>
      <w:r w:rsidRPr="00DC5B6A">
        <w:rPr>
          <w:i/>
          <w:lang w:val="en-US"/>
        </w:rPr>
        <w:t>Journal of Career Assessment</w:t>
      </w:r>
      <w:r w:rsidRPr="00DC5B6A">
        <w:rPr>
          <w:lang w:val="en-US"/>
        </w:rPr>
        <w:t xml:space="preserve">, </w:t>
      </w:r>
      <w:r w:rsidRPr="00DC5B6A">
        <w:rPr>
          <w:i/>
          <w:lang w:val="en-US"/>
        </w:rPr>
        <w:t>4</w:t>
      </w:r>
      <w:r w:rsidRPr="00DC5B6A">
        <w:rPr>
          <w:lang w:val="en-US"/>
        </w:rPr>
        <w:t>, 45-57.</w:t>
      </w:r>
    </w:p>
    <w:p w:rsidR="003D2721" w:rsidRPr="003D2721" w:rsidRDefault="003D2721" w:rsidP="003D2721">
      <w:pPr>
        <w:spacing w:line="480" w:lineRule="auto"/>
        <w:jc w:val="both"/>
      </w:pPr>
      <w:r w:rsidRPr="003D2721">
        <w:rPr>
          <w:lang w:val="en-US"/>
        </w:rPr>
        <w:t xml:space="preserve">Betz, N.E. &amp; Luzzo, D. (1996).  </w:t>
      </w:r>
      <w:r w:rsidRPr="00D96211">
        <w:rPr>
          <w:lang w:val="en-US"/>
        </w:rPr>
        <w:t xml:space="preserve">Career Assessment and the Career Decision Self-Efficacy Scale.   </w:t>
      </w:r>
      <w:r w:rsidRPr="00D96211">
        <w:rPr>
          <w:i/>
        </w:rPr>
        <w:t>Journal of Career Assessment</w:t>
      </w:r>
      <w:r w:rsidRPr="00D96211">
        <w:t>, 4, 313-328</w:t>
      </w:r>
      <w:r>
        <w:t>.</w:t>
      </w:r>
    </w:p>
    <w:p w:rsidR="006948B4" w:rsidRPr="00DC5B6A" w:rsidRDefault="006948B4" w:rsidP="00BD377B">
      <w:pPr>
        <w:spacing w:before="240" w:after="240" w:line="480" w:lineRule="auto"/>
        <w:ind w:left="567" w:hanging="567"/>
        <w:rPr>
          <w:lang w:val="en-US"/>
        </w:rPr>
      </w:pPr>
      <w:r w:rsidRPr="00DC5B6A">
        <w:rPr>
          <w:lang w:val="en-US"/>
        </w:rPr>
        <w:lastRenderedPageBreak/>
        <w:t xml:space="preserve">Blau, G. J. (1985). The measurement and prediction of career commitment. </w:t>
      </w:r>
      <w:r w:rsidRPr="00DC5B6A">
        <w:rPr>
          <w:i/>
          <w:lang w:val="en-US"/>
        </w:rPr>
        <w:t>Journal of Occupational Psychology</w:t>
      </w:r>
      <w:r w:rsidRPr="00DC5B6A">
        <w:rPr>
          <w:lang w:val="en-US"/>
        </w:rPr>
        <w:t xml:space="preserve">, </w:t>
      </w:r>
      <w:r w:rsidRPr="00DC5B6A">
        <w:rPr>
          <w:i/>
          <w:lang w:val="en-US"/>
        </w:rPr>
        <w:t>58</w:t>
      </w:r>
      <w:r w:rsidRPr="00DC5B6A">
        <w:rPr>
          <w:lang w:val="en-US"/>
        </w:rPr>
        <w:t>, 277-288.</w:t>
      </w:r>
    </w:p>
    <w:p w:rsidR="006948B4" w:rsidRPr="00DC5B6A" w:rsidRDefault="006948B4" w:rsidP="00BD377B">
      <w:pPr>
        <w:spacing w:before="240" w:after="240" w:line="480" w:lineRule="auto"/>
        <w:ind w:left="567" w:hanging="567"/>
        <w:rPr>
          <w:lang w:val="en-US"/>
        </w:rPr>
      </w:pPr>
      <w:r w:rsidRPr="00DC5B6A">
        <w:rPr>
          <w:lang w:val="en-US"/>
        </w:rPr>
        <w:t xml:space="preserve">Blustein, D. L. (1989). The role of goal instability and career self-efficacy in the career exploration process. </w:t>
      </w:r>
      <w:r w:rsidRPr="00DC5B6A">
        <w:rPr>
          <w:i/>
          <w:lang w:val="en-US"/>
        </w:rPr>
        <w:t>Journal of Vocational Behavior</w:t>
      </w:r>
      <w:r w:rsidRPr="00DC5B6A">
        <w:rPr>
          <w:lang w:val="en-US"/>
        </w:rPr>
        <w:t xml:space="preserve">, </w:t>
      </w:r>
      <w:r w:rsidRPr="00DC5B6A">
        <w:rPr>
          <w:i/>
          <w:lang w:val="en-US"/>
        </w:rPr>
        <w:t>35</w:t>
      </w:r>
      <w:r w:rsidRPr="00DC5B6A">
        <w:rPr>
          <w:lang w:val="en-US"/>
        </w:rPr>
        <w:t>, 194-203.</w:t>
      </w:r>
    </w:p>
    <w:p w:rsidR="006948B4" w:rsidRPr="00DC5B6A" w:rsidRDefault="006948B4" w:rsidP="00BD377B">
      <w:pPr>
        <w:spacing w:before="240" w:after="240" w:line="480" w:lineRule="auto"/>
        <w:ind w:left="567" w:hanging="567"/>
        <w:rPr>
          <w:lang w:val="en-US"/>
        </w:rPr>
      </w:pPr>
      <w:r w:rsidRPr="00DC5B6A">
        <w:rPr>
          <w:lang w:val="en-US"/>
        </w:rPr>
        <w:t xml:space="preserve">Blustein, D. L. (1997). A context-rich perspective of career exploration across the life roles. </w:t>
      </w:r>
      <w:r w:rsidRPr="00DC5B6A">
        <w:rPr>
          <w:i/>
          <w:lang w:val="en-US"/>
        </w:rPr>
        <w:t>The Career Development Quarterly</w:t>
      </w:r>
      <w:r w:rsidR="00B74A84" w:rsidRPr="00DC5B6A">
        <w:rPr>
          <w:lang w:val="en-US"/>
        </w:rPr>
        <w:t xml:space="preserve">, </w:t>
      </w:r>
      <w:r w:rsidR="00B74A84" w:rsidRPr="00DC5B6A">
        <w:rPr>
          <w:i/>
          <w:lang w:val="en-US"/>
        </w:rPr>
        <w:t>45</w:t>
      </w:r>
      <w:r w:rsidRPr="00DC5B6A">
        <w:rPr>
          <w:lang w:val="en-US"/>
        </w:rPr>
        <w:t>, 260-274.</w:t>
      </w:r>
    </w:p>
    <w:p w:rsidR="006948B4" w:rsidRPr="00DC5B6A" w:rsidRDefault="006948B4" w:rsidP="00BD377B">
      <w:pPr>
        <w:spacing w:before="240" w:after="240" w:line="480" w:lineRule="auto"/>
        <w:ind w:left="567" w:hanging="567"/>
        <w:rPr>
          <w:lang w:val="en-US"/>
        </w:rPr>
      </w:pPr>
      <w:r w:rsidRPr="007562B5">
        <w:rPr>
          <w:lang w:val="fi-FI"/>
        </w:rPr>
        <w:t xml:space="preserve">Blustein, D. L., Ellis, M. V., &amp; Devenis, L. E. (1989). </w:t>
      </w:r>
      <w:r w:rsidRPr="00DC5B6A">
        <w:rPr>
          <w:lang w:val="en-US"/>
        </w:rPr>
        <w:t xml:space="preserve">The development and validation of a two-dimensional model of the commitment to career choice process. </w:t>
      </w:r>
      <w:r w:rsidRPr="00DC5B6A">
        <w:rPr>
          <w:i/>
          <w:lang w:val="en-US"/>
        </w:rPr>
        <w:t>Journal of Vocational Behavior</w:t>
      </w:r>
      <w:r w:rsidRPr="00DC5B6A">
        <w:rPr>
          <w:lang w:val="en-US"/>
        </w:rPr>
        <w:t xml:space="preserve">, </w:t>
      </w:r>
      <w:r w:rsidRPr="00DC5B6A">
        <w:rPr>
          <w:i/>
          <w:lang w:val="en-US"/>
        </w:rPr>
        <w:t>35</w:t>
      </w:r>
      <w:r w:rsidRPr="00DC5B6A">
        <w:rPr>
          <w:lang w:val="en-US"/>
        </w:rPr>
        <w:t>, 342-378.</w:t>
      </w:r>
    </w:p>
    <w:p w:rsidR="006948B4" w:rsidRPr="00DC5B6A" w:rsidRDefault="006948B4" w:rsidP="00BD377B">
      <w:pPr>
        <w:spacing w:before="240" w:after="240" w:line="480" w:lineRule="auto"/>
        <w:ind w:left="567" w:hanging="567"/>
        <w:rPr>
          <w:lang w:val="en-US"/>
        </w:rPr>
      </w:pPr>
      <w:r w:rsidRPr="00DC5B6A">
        <w:rPr>
          <w:lang w:val="en-US"/>
        </w:rPr>
        <w:t xml:space="preserve">Blustein, D. L., Juntunen, C., &amp; Worthington, R. (2000). The school - to - work transition: adjustment challenges of the forgotten half. In S. D. Brown &amp; R. W. Lent (Eds.), </w:t>
      </w:r>
      <w:r w:rsidRPr="00DC5B6A">
        <w:rPr>
          <w:i/>
          <w:lang w:val="en-US"/>
        </w:rPr>
        <w:t>Handbook of counseling psychology</w:t>
      </w:r>
      <w:r w:rsidRPr="00DC5B6A">
        <w:rPr>
          <w:lang w:val="en-US"/>
        </w:rPr>
        <w:t>. New York: John Wiley.</w:t>
      </w:r>
    </w:p>
    <w:p w:rsidR="006948B4" w:rsidRPr="00DC5B6A" w:rsidRDefault="006948B4" w:rsidP="00BD377B">
      <w:pPr>
        <w:spacing w:before="240" w:after="240" w:line="480" w:lineRule="auto"/>
        <w:ind w:left="567" w:hanging="567"/>
        <w:rPr>
          <w:lang w:val="en-US"/>
        </w:rPr>
      </w:pPr>
      <w:r w:rsidRPr="00DC5B6A">
        <w:rPr>
          <w:lang w:val="en-US"/>
        </w:rPr>
        <w:t xml:space="preserve">Blustein, D. L., &amp; Noumair, D. (1996). Self and identity in career development: Implications for theory and practice. </w:t>
      </w:r>
      <w:r w:rsidRPr="00DC5B6A">
        <w:rPr>
          <w:i/>
          <w:lang w:val="en-US"/>
        </w:rPr>
        <w:t>Journal of Counseling and Development</w:t>
      </w:r>
      <w:r w:rsidRPr="00DC5B6A">
        <w:rPr>
          <w:lang w:val="en-US"/>
        </w:rPr>
        <w:t xml:space="preserve">, </w:t>
      </w:r>
      <w:r w:rsidRPr="00DC5B6A">
        <w:rPr>
          <w:i/>
          <w:lang w:val="en-US"/>
        </w:rPr>
        <w:t>74</w:t>
      </w:r>
      <w:r w:rsidRPr="00DC5B6A">
        <w:rPr>
          <w:lang w:val="en-US"/>
        </w:rPr>
        <w:t>, 434-441.</w:t>
      </w:r>
      <w:r w:rsidR="008F3090" w:rsidRPr="008F3090">
        <w:rPr>
          <w:lang w:val="en-US"/>
        </w:rPr>
        <w:t xml:space="preserve"> </w:t>
      </w:r>
      <w:r w:rsidR="008F3090" w:rsidRPr="00302F4C">
        <w:rPr>
          <w:lang w:val="en-US"/>
        </w:rPr>
        <w:t>doi: 10.1002/j.1556-6676.1996.tb01889</w:t>
      </w:r>
    </w:p>
    <w:p w:rsidR="006948B4" w:rsidRPr="00DC5B6A" w:rsidRDefault="006948B4" w:rsidP="00BD377B">
      <w:pPr>
        <w:spacing w:before="240" w:after="240" w:line="480" w:lineRule="auto"/>
        <w:ind w:left="567" w:hanging="567"/>
        <w:rPr>
          <w:lang w:val="en-US"/>
        </w:rPr>
      </w:pPr>
      <w:r w:rsidRPr="00DC5B6A">
        <w:rPr>
          <w:lang w:val="en-US"/>
        </w:rPr>
        <w:t xml:space="preserve">Borges, N. (2007). Behavioral exploration of career and specialty choice in medical students. </w:t>
      </w:r>
      <w:r w:rsidRPr="00DC5B6A">
        <w:rPr>
          <w:i/>
          <w:lang w:val="en-US"/>
        </w:rPr>
        <w:t>The Career Development Quarterly</w:t>
      </w:r>
      <w:r w:rsidR="00B74A84" w:rsidRPr="00DC5B6A">
        <w:rPr>
          <w:lang w:val="en-US"/>
        </w:rPr>
        <w:t xml:space="preserve">, </w:t>
      </w:r>
      <w:r w:rsidR="00B74A84" w:rsidRPr="00DC5B6A">
        <w:rPr>
          <w:i/>
          <w:lang w:val="en-US"/>
        </w:rPr>
        <w:t>55</w:t>
      </w:r>
      <w:r w:rsidRPr="00DC5B6A">
        <w:rPr>
          <w:lang w:val="en-US"/>
        </w:rPr>
        <w:t>, 351-358.</w:t>
      </w:r>
    </w:p>
    <w:p w:rsidR="006948B4" w:rsidRPr="00DC5B6A" w:rsidRDefault="006948B4" w:rsidP="00BD377B">
      <w:pPr>
        <w:spacing w:before="240" w:after="240" w:line="480" w:lineRule="auto"/>
        <w:ind w:left="567" w:hanging="567"/>
        <w:rPr>
          <w:lang w:val="en-US"/>
        </w:rPr>
      </w:pPr>
      <w:r w:rsidRPr="00DC5B6A">
        <w:rPr>
          <w:lang w:val="en-US"/>
        </w:rPr>
        <w:t>Brooks, L., Cornelius, A., Greefield, E., &amp; Joseph, R. (1995). The Relation of Career-Related Work or Internship Experiences to the Career Development of College Seniors</w:t>
      </w:r>
      <w:r w:rsidRPr="00DC5B6A">
        <w:rPr>
          <w:i/>
          <w:lang w:val="en-US"/>
        </w:rPr>
        <w:t>. Journal of Vocational Behavior</w:t>
      </w:r>
      <w:r w:rsidRPr="00DC5B6A">
        <w:rPr>
          <w:lang w:val="en-US"/>
        </w:rPr>
        <w:t xml:space="preserve">, </w:t>
      </w:r>
      <w:r w:rsidRPr="00DC5B6A">
        <w:rPr>
          <w:i/>
          <w:lang w:val="en-US"/>
        </w:rPr>
        <w:t>46</w:t>
      </w:r>
      <w:r w:rsidRPr="00DC5B6A">
        <w:rPr>
          <w:lang w:val="en-US"/>
        </w:rPr>
        <w:t>, 332-349.</w:t>
      </w:r>
      <w:r w:rsidR="008F3090" w:rsidRPr="00C1118C">
        <w:rPr>
          <w:lang w:val="en-US"/>
        </w:rPr>
        <w:t xml:space="preserve"> </w:t>
      </w:r>
      <w:hyperlink r:id="rId27" w:tgtFrame="doilink" w:history="1">
        <w:r w:rsidR="008F3090" w:rsidRPr="00692AFC">
          <w:rPr>
            <w:rStyle w:val="Hiperligao"/>
            <w:rFonts w:eastAsia="Arial Unicode MS"/>
            <w:szCs w:val="16"/>
            <w:lang w:val="en-US"/>
          </w:rPr>
          <w:t>doi.org/10.1006/jvbe.1995.1024</w:t>
        </w:r>
      </w:hyperlink>
    </w:p>
    <w:p w:rsidR="006948B4" w:rsidRPr="00DC5B6A" w:rsidRDefault="006948B4" w:rsidP="00BD377B">
      <w:pPr>
        <w:spacing w:before="240" w:after="240" w:line="480" w:lineRule="auto"/>
        <w:ind w:left="567" w:hanging="567"/>
        <w:rPr>
          <w:lang w:val="en-US"/>
        </w:rPr>
      </w:pPr>
      <w:r w:rsidRPr="00DC5B6A">
        <w:rPr>
          <w:lang w:val="en-US"/>
        </w:rPr>
        <w:lastRenderedPageBreak/>
        <w:t xml:space="preserve">Carless, S. A., &amp; Prodan, O. (2003). The Impact of Practicum Training on Career and Job Search Attitudes of Postgraduate Psychology Students. </w:t>
      </w:r>
      <w:r w:rsidRPr="00DC5B6A">
        <w:rPr>
          <w:i/>
          <w:lang w:val="en-US"/>
        </w:rPr>
        <w:t>Australian Journal of Psychology,</w:t>
      </w:r>
      <w:r w:rsidRPr="00DC5B6A">
        <w:rPr>
          <w:lang w:val="en-US"/>
        </w:rPr>
        <w:t xml:space="preserve"> 55, 89-94.</w:t>
      </w:r>
    </w:p>
    <w:p w:rsidR="006948B4" w:rsidRPr="00DC5B6A" w:rsidRDefault="006948B4" w:rsidP="00BD377B">
      <w:pPr>
        <w:spacing w:before="240" w:after="240" w:line="480" w:lineRule="auto"/>
        <w:ind w:left="567" w:hanging="567"/>
        <w:rPr>
          <w:lang w:val="en-US"/>
        </w:rPr>
      </w:pPr>
      <w:r w:rsidRPr="00DC5B6A">
        <w:rPr>
          <w:lang w:val="en-US"/>
        </w:rPr>
        <w:t xml:space="preserve">Cheung, R., &amp; Arnold, J. (2010). Antecedents of career exploration among Hong Kong Chinese university students: testing contextual and developmental variables. </w:t>
      </w:r>
      <w:r w:rsidRPr="00DC5B6A">
        <w:rPr>
          <w:i/>
          <w:lang w:val="en-US"/>
        </w:rPr>
        <w:t>Journal of Vocational Behavior</w:t>
      </w:r>
      <w:r w:rsidRPr="00DC5B6A">
        <w:rPr>
          <w:lang w:val="en-US"/>
        </w:rPr>
        <w:t xml:space="preserve">, </w:t>
      </w:r>
      <w:r w:rsidRPr="00DC5B6A">
        <w:rPr>
          <w:i/>
          <w:lang w:val="en-US"/>
        </w:rPr>
        <w:t>76</w:t>
      </w:r>
      <w:r w:rsidRPr="00DC5B6A">
        <w:rPr>
          <w:lang w:val="en-US"/>
        </w:rPr>
        <w:t>, 25-36</w:t>
      </w:r>
      <w:r w:rsidR="0082796B" w:rsidRPr="00DC5B6A">
        <w:rPr>
          <w:lang w:val="en-US"/>
        </w:rPr>
        <w:t>,</w:t>
      </w:r>
      <w:r w:rsidR="0082796B" w:rsidRPr="00DC5B6A">
        <w:rPr>
          <w:rFonts w:ascii="AdvGulliv-R" w:eastAsia="Calibri" w:hAnsi="AdvGulliv-R" w:cs="AdvGulliv-R"/>
          <w:color w:val="000000"/>
          <w:lang w:val="en-US" w:eastAsia="en-US"/>
        </w:rPr>
        <w:t xml:space="preserve"> </w:t>
      </w:r>
      <w:r w:rsidR="0082796B" w:rsidRPr="00DC5B6A">
        <w:rPr>
          <w:rFonts w:eastAsia="Calibri"/>
          <w:lang w:val="en-US" w:eastAsia="en-US"/>
        </w:rPr>
        <w:t>doi:10.1016/j.jvb.2009.05.006</w:t>
      </w:r>
      <w:r w:rsidRPr="00DC5B6A">
        <w:rPr>
          <w:lang w:val="en-US"/>
        </w:rPr>
        <w:t>.</w:t>
      </w:r>
    </w:p>
    <w:p w:rsidR="006948B4" w:rsidRPr="00DC5B6A" w:rsidRDefault="006948B4" w:rsidP="00BD377B">
      <w:pPr>
        <w:spacing w:before="240" w:after="240" w:line="480" w:lineRule="auto"/>
        <w:ind w:left="567" w:hanging="567"/>
        <w:rPr>
          <w:lang w:val="en-US"/>
        </w:rPr>
      </w:pPr>
      <w:r w:rsidRPr="00DC5B6A">
        <w:rPr>
          <w:lang w:val="en-US"/>
        </w:rPr>
        <w:t xml:space="preserve">Constantine, M., &amp; Flores, L. (2006). Psychological distress, perceived family conflict, and career development issues in college students of color. </w:t>
      </w:r>
      <w:r w:rsidRPr="00DC5B6A">
        <w:rPr>
          <w:i/>
          <w:lang w:val="en-US"/>
        </w:rPr>
        <w:t>Journal of Career Assessment,</w:t>
      </w:r>
      <w:r w:rsidRPr="00DC5B6A">
        <w:rPr>
          <w:lang w:val="en-US"/>
        </w:rPr>
        <w:t xml:space="preserve"> </w:t>
      </w:r>
      <w:r w:rsidRPr="00DC5B6A">
        <w:rPr>
          <w:i/>
          <w:lang w:val="en-US"/>
        </w:rPr>
        <w:t>14</w:t>
      </w:r>
      <w:r w:rsidRPr="00DC5B6A">
        <w:rPr>
          <w:lang w:val="en-US"/>
        </w:rPr>
        <w:t>, 354-369.</w:t>
      </w:r>
    </w:p>
    <w:p w:rsidR="006948B4" w:rsidRPr="00DC5B6A" w:rsidRDefault="006948B4" w:rsidP="00BD377B">
      <w:pPr>
        <w:spacing w:before="240" w:after="240" w:line="480" w:lineRule="auto"/>
        <w:ind w:left="567" w:hanging="567"/>
        <w:rPr>
          <w:lang w:val="en-US"/>
        </w:rPr>
      </w:pPr>
      <w:r w:rsidRPr="00DC5B6A">
        <w:rPr>
          <w:lang w:val="en-US"/>
        </w:rPr>
        <w:t xml:space="preserve">Creed, P., Fallon, T., &amp; Hood, M. (2009). The relationship between career adaptability, person and situation variables, and career concerns in young adults. </w:t>
      </w:r>
      <w:r w:rsidRPr="00DC5B6A">
        <w:rPr>
          <w:i/>
          <w:lang w:val="en-US"/>
        </w:rPr>
        <w:t>Journal of Vocational Behavior</w:t>
      </w:r>
      <w:r w:rsidRPr="00DC5B6A">
        <w:rPr>
          <w:lang w:val="en-US"/>
        </w:rPr>
        <w:t xml:space="preserve">, </w:t>
      </w:r>
      <w:r w:rsidRPr="00DC5B6A">
        <w:rPr>
          <w:i/>
          <w:lang w:val="en-US"/>
        </w:rPr>
        <w:t>74</w:t>
      </w:r>
      <w:r w:rsidRPr="00DC5B6A">
        <w:rPr>
          <w:lang w:val="en-US"/>
        </w:rPr>
        <w:t>, 219-229</w:t>
      </w:r>
      <w:r w:rsidR="00BD69C8" w:rsidRPr="00DC5B6A">
        <w:rPr>
          <w:lang w:val="en-US"/>
        </w:rPr>
        <w:t xml:space="preserve">, </w:t>
      </w:r>
      <w:r w:rsidR="00BD69C8" w:rsidRPr="00DC5B6A">
        <w:rPr>
          <w:rFonts w:eastAsia="Calibri"/>
          <w:lang w:val="en-US" w:eastAsia="en-US"/>
        </w:rPr>
        <w:t>doi:10.1016/j.jvb.2008.12.004</w:t>
      </w:r>
      <w:r w:rsidRPr="00DC5B6A">
        <w:rPr>
          <w:lang w:val="en-US"/>
        </w:rPr>
        <w:t>.</w:t>
      </w:r>
    </w:p>
    <w:p w:rsidR="006948B4" w:rsidRPr="00DC5B6A" w:rsidRDefault="006948B4" w:rsidP="00BD377B">
      <w:pPr>
        <w:spacing w:before="240" w:after="240" w:line="480" w:lineRule="auto"/>
        <w:ind w:left="567" w:hanging="567"/>
        <w:rPr>
          <w:lang w:val="en-US"/>
        </w:rPr>
      </w:pPr>
      <w:r w:rsidRPr="004F010B">
        <w:rPr>
          <w:lang w:val="en-US"/>
        </w:rPr>
        <w:t>Creed, P., &amp; Patton, W. (2003). Differences</w:t>
      </w:r>
      <w:r w:rsidRPr="00DC5B6A">
        <w:rPr>
          <w:lang w:val="en-US"/>
        </w:rPr>
        <w:t xml:space="preserve"> in Career Attitude and Career knowledge for High School Students with and without Paid Work Experience. </w:t>
      </w:r>
      <w:r w:rsidRPr="00DC5B6A">
        <w:rPr>
          <w:i/>
          <w:lang w:val="en-US"/>
        </w:rPr>
        <w:t>International Journal for Educational and Vocational Guidance</w:t>
      </w:r>
      <w:r w:rsidRPr="00DC5B6A">
        <w:rPr>
          <w:lang w:val="en-US"/>
        </w:rPr>
        <w:t xml:space="preserve">, </w:t>
      </w:r>
      <w:r w:rsidRPr="00DC5B6A">
        <w:rPr>
          <w:i/>
          <w:lang w:val="en-US"/>
        </w:rPr>
        <w:t>3</w:t>
      </w:r>
      <w:r w:rsidRPr="00DC5B6A">
        <w:rPr>
          <w:lang w:val="en-US"/>
        </w:rPr>
        <w:t>, 21-33.</w:t>
      </w:r>
    </w:p>
    <w:p w:rsidR="006948B4" w:rsidRPr="00DC5B6A" w:rsidRDefault="006948B4" w:rsidP="00BD377B">
      <w:pPr>
        <w:spacing w:before="240" w:after="240" w:line="480" w:lineRule="auto"/>
        <w:ind w:left="567" w:hanging="567"/>
        <w:rPr>
          <w:lang w:val="en-US"/>
        </w:rPr>
      </w:pPr>
      <w:r w:rsidRPr="00DC5B6A">
        <w:rPr>
          <w:lang w:val="en-US"/>
        </w:rPr>
        <w:t xml:space="preserve">Flouri, E., &amp; Buchanan, A. (2002). The role of work-related skills and career role models in adolescent career maturity. </w:t>
      </w:r>
      <w:r w:rsidRPr="00DC5B6A">
        <w:rPr>
          <w:i/>
          <w:lang w:val="en-US"/>
        </w:rPr>
        <w:t>The Career Development Quarterly</w:t>
      </w:r>
      <w:r w:rsidR="00B74A84" w:rsidRPr="00DC5B6A">
        <w:rPr>
          <w:lang w:val="en-US"/>
        </w:rPr>
        <w:t xml:space="preserve">, </w:t>
      </w:r>
      <w:r w:rsidR="00B74A84" w:rsidRPr="00DC5B6A">
        <w:rPr>
          <w:i/>
          <w:lang w:val="en-US"/>
        </w:rPr>
        <w:t>51</w:t>
      </w:r>
      <w:r w:rsidRPr="00DC5B6A">
        <w:rPr>
          <w:lang w:val="en-US"/>
        </w:rPr>
        <w:t>, 36-43.</w:t>
      </w:r>
    </w:p>
    <w:p w:rsidR="006948B4" w:rsidRDefault="006948B4" w:rsidP="00BD377B">
      <w:pPr>
        <w:autoSpaceDE w:val="0"/>
        <w:autoSpaceDN w:val="0"/>
        <w:adjustRightInd w:val="0"/>
        <w:spacing w:before="240" w:after="240" w:line="480" w:lineRule="auto"/>
        <w:ind w:left="567" w:hanging="567"/>
        <w:rPr>
          <w:lang w:val="en-US"/>
        </w:rPr>
      </w:pPr>
      <w:r w:rsidRPr="00CE0D0D">
        <w:rPr>
          <w:lang w:val="fi-FI"/>
        </w:rPr>
        <w:t xml:space="preserve">Flum, H. &amp; Blustein, D.L. (1999). </w:t>
      </w:r>
      <w:r w:rsidRPr="00DC5B6A">
        <w:rPr>
          <w:lang w:val="en-US"/>
        </w:rPr>
        <w:t xml:space="preserve">A self-determination perspective of interests and exploration in career development. In: M. Savickas &amp; A. Spokane (Eds.), </w:t>
      </w:r>
      <w:r w:rsidRPr="00DC5B6A">
        <w:rPr>
          <w:i/>
          <w:lang w:val="en-US"/>
        </w:rPr>
        <w:t>Vocational Interests: Meaning, measurement and counseling use</w:t>
      </w:r>
      <w:r w:rsidRPr="00DC5B6A">
        <w:rPr>
          <w:lang w:val="en-US"/>
        </w:rPr>
        <w:t xml:space="preserve"> (pp. 345-368). Palo Alto, CA: Davies-Black.</w:t>
      </w:r>
    </w:p>
    <w:p w:rsidR="0063758B" w:rsidRDefault="0063758B" w:rsidP="0063758B">
      <w:pPr>
        <w:spacing w:before="240" w:after="240" w:line="480" w:lineRule="auto"/>
        <w:ind w:left="567" w:hanging="567"/>
        <w:rPr>
          <w:lang w:val="en-US"/>
        </w:rPr>
      </w:pPr>
      <w:r w:rsidRPr="00A55E42">
        <w:rPr>
          <w:lang w:val="en-US"/>
        </w:rPr>
        <w:lastRenderedPageBreak/>
        <w:t xml:space="preserve">Flum, H., &amp; Blustein, D. (2000). Reinvigorating the study of vocational exploration: framework for research. </w:t>
      </w:r>
      <w:r w:rsidRPr="00A55E42">
        <w:rPr>
          <w:i/>
          <w:lang w:val="en-US"/>
        </w:rPr>
        <w:t>Journal of Vocational Behavior</w:t>
      </w:r>
      <w:r w:rsidRPr="00A55E42">
        <w:rPr>
          <w:lang w:val="en-US"/>
        </w:rPr>
        <w:t>, 56, 380-404.</w:t>
      </w:r>
      <w:r>
        <w:rPr>
          <w:lang w:val="en-US"/>
        </w:rPr>
        <w:t>doi.org/10.1006/jvbe.2000.1721</w:t>
      </w:r>
    </w:p>
    <w:p w:rsidR="00DA4570" w:rsidRPr="00DA4570" w:rsidRDefault="00DA4570" w:rsidP="00BD377B">
      <w:pPr>
        <w:autoSpaceDE w:val="0"/>
        <w:autoSpaceDN w:val="0"/>
        <w:adjustRightInd w:val="0"/>
        <w:spacing w:before="240" w:after="240" w:line="480" w:lineRule="auto"/>
        <w:ind w:left="567" w:hanging="567"/>
      </w:pPr>
      <w:r w:rsidRPr="00DA4570">
        <w:t xml:space="preserve">Gamboa (2011). </w:t>
      </w:r>
      <w:r w:rsidRPr="00ED3CF9">
        <w:rPr>
          <w:i/>
        </w:rPr>
        <w:t>O impacto da experiência de estágio no desenvolvimento vocacional de alunos dos cursos tecnológicos e profissionais do ensino secundário</w:t>
      </w:r>
      <w:r>
        <w:t>. Tese de doutoramento não publicada, Universidade do Algarve, Faro.</w:t>
      </w:r>
    </w:p>
    <w:p w:rsidR="006948B4" w:rsidRPr="00DC5B6A" w:rsidRDefault="006948B4" w:rsidP="00BD377B">
      <w:pPr>
        <w:spacing w:before="240" w:after="240" w:line="480" w:lineRule="auto"/>
        <w:ind w:left="567" w:hanging="567"/>
        <w:rPr>
          <w:lang w:val="en-US"/>
        </w:rPr>
      </w:pPr>
      <w:r w:rsidRPr="00DC5B6A">
        <w:rPr>
          <w:lang w:val="en-US"/>
        </w:rPr>
        <w:t xml:space="preserve">Gati, I., &amp; Asher, I. (2001). Prescreening, in-depth exploration, and choice: From decision theory to career counseling practice. </w:t>
      </w:r>
      <w:r w:rsidRPr="00DC5B6A">
        <w:rPr>
          <w:i/>
          <w:lang w:val="en-US"/>
        </w:rPr>
        <w:t>The Career Development Quarterly</w:t>
      </w:r>
      <w:r w:rsidRPr="00DC5B6A">
        <w:rPr>
          <w:lang w:val="en-US"/>
        </w:rPr>
        <w:t xml:space="preserve">, </w:t>
      </w:r>
      <w:r w:rsidRPr="00DC5B6A">
        <w:rPr>
          <w:i/>
          <w:lang w:val="en-US"/>
        </w:rPr>
        <w:t>50</w:t>
      </w:r>
      <w:r w:rsidRPr="00DC5B6A">
        <w:rPr>
          <w:lang w:val="en-US"/>
        </w:rPr>
        <w:t>, 140-157.</w:t>
      </w:r>
    </w:p>
    <w:p w:rsidR="006948B4" w:rsidRPr="00DC5B6A" w:rsidRDefault="006948B4" w:rsidP="00BD377B">
      <w:pPr>
        <w:spacing w:before="240" w:after="240" w:line="480" w:lineRule="auto"/>
        <w:ind w:left="567" w:hanging="567"/>
        <w:rPr>
          <w:lang w:val="en-US"/>
        </w:rPr>
      </w:pPr>
      <w:r w:rsidRPr="00DC5B6A">
        <w:rPr>
          <w:lang w:val="en-US"/>
        </w:rPr>
        <w:t xml:space="preserve">Gati, I., &amp; Saka, N. (2001). High school student's career-related decision-making difficulties. </w:t>
      </w:r>
      <w:r w:rsidRPr="00DC5B6A">
        <w:rPr>
          <w:i/>
          <w:lang w:val="en-US"/>
        </w:rPr>
        <w:t>Journal of Counseling and Development</w:t>
      </w:r>
      <w:r w:rsidR="00B74A84" w:rsidRPr="00DC5B6A">
        <w:rPr>
          <w:lang w:val="en-US"/>
        </w:rPr>
        <w:t xml:space="preserve">, </w:t>
      </w:r>
      <w:r w:rsidR="00B74A84" w:rsidRPr="00DC5B6A">
        <w:rPr>
          <w:i/>
          <w:lang w:val="en-US"/>
        </w:rPr>
        <w:t>79</w:t>
      </w:r>
      <w:r w:rsidRPr="00DC5B6A">
        <w:rPr>
          <w:lang w:val="en-US"/>
        </w:rPr>
        <w:t>, 331-340.</w:t>
      </w:r>
    </w:p>
    <w:p w:rsidR="006948B4" w:rsidRPr="00DC5B6A" w:rsidRDefault="006948B4" w:rsidP="00BD377B">
      <w:pPr>
        <w:spacing w:before="240" w:after="240" w:line="480" w:lineRule="auto"/>
        <w:ind w:left="567" w:hanging="567"/>
        <w:rPr>
          <w:lang w:val="en-US"/>
        </w:rPr>
      </w:pPr>
      <w:r w:rsidRPr="00DC5B6A">
        <w:rPr>
          <w:lang w:val="en-US"/>
        </w:rPr>
        <w:t>Germei</w:t>
      </w:r>
      <w:r w:rsidR="0063758B">
        <w:rPr>
          <w:lang w:val="en-US"/>
        </w:rPr>
        <w:t>js, V., &amp; Verschueren, K. (2006</w:t>
      </w:r>
      <w:r w:rsidRPr="00DC5B6A">
        <w:rPr>
          <w:lang w:val="en-US"/>
        </w:rPr>
        <w:t xml:space="preserve">). High school students' career decision-making process: A longitudinal study of one choice. </w:t>
      </w:r>
      <w:r w:rsidRPr="00DC5B6A">
        <w:rPr>
          <w:i/>
          <w:lang w:val="en-US"/>
        </w:rPr>
        <w:t>Journal of Vocational Behavior</w:t>
      </w:r>
      <w:r w:rsidRPr="00DC5B6A">
        <w:rPr>
          <w:lang w:val="en-US"/>
        </w:rPr>
        <w:t xml:space="preserve">, </w:t>
      </w:r>
      <w:r w:rsidRPr="00DC5B6A">
        <w:rPr>
          <w:i/>
          <w:lang w:val="en-US"/>
        </w:rPr>
        <w:t>68</w:t>
      </w:r>
      <w:r w:rsidRPr="00DC5B6A">
        <w:rPr>
          <w:lang w:val="en-US"/>
        </w:rPr>
        <w:t>, 189-204</w:t>
      </w:r>
      <w:r w:rsidR="00974C77" w:rsidRPr="00DC5B6A">
        <w:rPr>
          <w:lang w:val="en-US"/>
        </w:rPr>
        <w:t xml:space="preserve">, </w:t>
      </w:r>
      <w:r w:rsidR="00974C77" w:rsidRPr="00DC5B6A">
        <w:rPr>
          <w:rFonts w:eastAsia="Calibri"/>
          <w:lang w:val="en-US" w:eastAsia="en-US"/>
        </w:rPr>
        <w:t>doi:10.1016/j.jvb.2005.08.004</w:t>
      </w:r>
      <w:r w:rsidRPr="00DC5B6A">
        <w:rPr>
          <w:lang w:val="en-US"/>
        </w:rPr>
        <w:t>.</w:t>
      </w:r>
    </w:p>
    <w:p w:rsidR="006948B4" w:rsidRPr="00DC5B6A" w:rsidRDefault="006948B4" w:rsidP="00BD377B">
      <w:pPr>
        <w:spacing w:before="240" w:after="240" w:line="480" w:lineRule="auto"/>
        <w:ind w:left="567" w:hanging="567"/>
        <w:rPr>
          <w:lang w:val="en-US"/>
        </w:rPr>
      </w:pPr>
      <w:r w:rsidRPr="00DC5B6A">
        <w:rPr>
          <w:lang w:val="en-US"/>
        </w:rPr>
        <w:t xml:space="preserve">Griffiths, T. (2003). Learning and Work: issues for vocational and lifelong education research. </w:t>
      </w:r>
      <w:r w:rsidRPr="00DC5B6A">
        <w:rPr>
          <w:i/>
          <w:lang w:val="en-US"/>
        </w:rPr>
        <w:t>European Educational Research Journal</w:t>
      </w:r>
      <w:r w:rsidRPr="00DC5B6A">
        <w:rPr>
          <w:lang w:val="en-US"/>
        </w:rPr>
        <w:t xml:space="preserve">, </w:t>
      </w:r>
      <w:r w:rsidRPr="00DC5B6A">
        <w:rPr>
          <w:i/>
          <w:lang w:val="en-US"/>
        </w:rPr>
        <w:t>2</w:t>
      </w:r>
      <w:r w:rsidRPr="00DC5B6A">
        <w:rPr>
          <w:lang w:val="en-US"/>
        </w:rPr>
        <w:t>, 1-5.</w:t>
      </w:r>
    </w:p>
    <w:p w:rsidR="006948B4" w:rsidRPr="00DC5B6A" w:rsidRDefault="006948B4" w:rsidP="00BD377B">
      <w:pPr>
        <w:spacing w:before="240" w:after="240" w:line="480" w:lineRule="auto"/>
        <w:ind w:left="567" w:hanging="567"/>
        <w:rPr>
          <w:lang w:val="en-US"/>
        </w:rPr>
      </w:pPr>
      <w:r w:rsidRPr="00DC5B6A">
        <w:rPr>
          <w:lang w:val="en-US"/>
        </w:rPr>
        <w:t>Griffiths, T., &amp; Guile, D. (2004</w:t>
      </w:r>
      <w:r w:rsidRPr="00DC5B6A">
        <w:rPr>
          <w:i/>
          <w:lang w:val="en-US"/>
        </w:rPr>
        <w:t>). Learning through work experience for the knowledge economy.</w:t>
      </w:r>
      <w:r w:rsidRPr="00DC5B6A">
        <w:rPr>
          <w:lang w:val="en-US"/>
        </w:rPr>
        <w:t xml:space="preserve"> Luxembourg: European Center for the Development of Vocational Training.</w:t>
      </w:r>
    </w:p>
    <w:p w:rsidR="006948B4" w:rsidRPr="00DC5B6A" w:rsidRDefault="006948B4" w:rsidP="00BD377B">
      <w:pPr>
        <w:spacing w:before="240" w:after="240" w:line="480" w:lineRule="auto"/>
        <w:ind w:left="567" w:hanging="567"/>
        <w:rPr>
          <w:lang w:val="en-US"/>
        </w:rPr>
      </w:pPr>
      <w:r w:rsidRPr="00DC5B6A">
        <w:rPr>
          <w:lang w:val="en-US"/>
        </w:rPr>
        <w:t xml:space="preserve">Gushue, G., Clarke, C., Pantzer, K., &amp; Seanlan, K. (2006). Self-efficacy, perceptions of barriers, vocational identity and the career exploration behavior of latino high school students. </w:t>
      </w:r>
      <w:r w:rsidRPr="00DC5B6A">
        <w:rPr>
          <w:i/>
          <w:lang w:val="en-US"/>
        </w:rPr>
        <w:t>The Career Development Quarterly</w:t>
      </w:r>
      <w:r w:rsidR="00B74A84" w:rsidRPr="00DC5B6A">
        <w:rPr>
          <w:lang w:val="en-US"/>
        </w:rPr>
        <w:t xml:space="preserve">, </w:t>
      </w:r>
      <w:r w:rsidR="00B74A84" w:rsidRPr="00DC5B6A">
        <w:rPr>
          <w:i/>
          <w:lang w:val="en-US"/>
        </w:rPr>
        <w:t>54</w:t>
      </w:r>
      <w:r w:rsidRPr="00DC5B6A">
        <w:rPr>
          <w:lang w:val="en-US"/>
        </w:rPr>
        <w:t>, 307-317.</w:t>
      </w:r>
    </w:p>
    <w:p w:rsidR="006948B4" w:rsidRPr="00DC5B6A" w:rsidRDefault="006948B4" w:rsidP="00BD377B">
      <w:pPr>
        <w:spacing w:before="240" w:after="240" w:line="480" w:lineRule="auto"/>
        <w:ind w:left="567" w:hanging="567"/>
        <w:rPr>
          <w:lang w:val="en-US"/>
        </w:rPr>
      </w:pPr>
      <w:r w:rsidRPr="00DC5B6A">
        <w:rPr>
          <w:lang w:val="en-US"/>
        </w:rPr>
        <w:lastRenderedPageBreak/>
        <w:t xml:space="preserve">Hirschi, A. (2009). Career adaptability development in adolescence: multiple predictors and effect on sense of power and life satisfaction. </w:t>
      </w:r>
      <w:r w:rsidRPr="00DC5B6A">
        <w:rPr>
          <w:i/>
          <w:lang w:val="en-US"/>
        </w:rPr>
        <w:t>Journal of Vocational Behavior</w:t>
      </w:r>
      <w:r w:rsidRPr="00DC5B6A">
        <w:rPr>
          <w:lang w:val="en-US"/>
        </w:rPr>
        <w:t xml:space="preserve">, </w:t>
      </w:r>
      <w:r w:rsidRPr="00DC5B6A">
        <w:rPr>
          <w:i/>
          <w:lang w:val="en-US"/>
        </w:rPr>
        <w:t>74</w:t>
      </w:r>
      <w:r w:rsidRPr="00DC5B6A">
        <w:rPr>
          <w:lang w:val="en-US"/>
        </w:rPr>
        <w:t>, 145-155</w:t>
      </w:r>
      <w:r w:rsidR="00974C77" w:rsidRPr="00DC5B6A">
        <w:rPr>
          <w:lang w:val="en-US"/>
        </w:rPr>
        <w:t xml:space="preserve">, </w:t>
      </w:r>
      <w:r w:rsidR="00974C77" w:rsidRPr="00DC5B6A">
        <w:rPr>
          <w:rFonts w:eastAsia="Calibri"/>
          <w:lang w:val="en-US" w:eastAsia="en-US"/>
        </w:rPr>
        <w:t>doi:10.1016/j.jvb.2009.01.002</w:t>
      </w:r>
      <w:r w:rsidRPr="00DC5B6A">
        <w:rPr>
          <w:lang w:val="en-US"/>
        </w:rPr>
        <w:t>.</w:t>
      </w:r>
    </w:p>
    <w:p w:rsidR="006948B4" w:rsidRPr="00DC5B6A" w:rsidRDefault="006948B4" w:rsidP="00BD377B">
      <w:pPr>
        <w:spacing w:before="240" w:after="240" w:line="480" w:lineRule="auto"/>
        <w:ind w:left="567" w:hanging="567"/>
        <w:rPr>
          <w:lang w:val="en-US"/>
        </w:rPr>
      </w:pPr>
      <w:r w:rsidRPr="00DC5B6A">
        <w:rPr>
          <w:lang w:val="en-US"/>
        </w:rPr>
        <w:t xml:space="preserve">Johnson, M. K., &amp; Mortimer, J. (2002). Career Choice and Development from a Sociological Perspective, In D. Brown &amp; Associates (Eds.), </w:t>
      </w:r>
      <w:r w:rsidRPr="00DC5B6A">
        <w:rPr>
          <w:i/>
          <w:lang w:val="en-US"/>
        </w:rPr>
        <w:t xml:space="preserve">Career Choice and Development </w:t>
      </w:r>
      <w:r w:rsidRPr="00DC5B6A">
        <w:rPr>
          <w:lang w:val="en-US"/>
        </w:rPr>
        <w:t>(pp. 37-84). San Francisco: Jossey - Bass.</w:t>
      </w:r>
    </w:p>
    <w:p w:rsidR="006948B4" w:rsidRPr="00DC5B6A" w:rsidRDefault="006948B4" w:rsidP="00BD377B">
      <w:pPr>
        <w:spacing w:before="240" w:after="240" w:line="480" w:lineRule="auto"/>
        <w:ind w:left="567" w:hanging="567"/>
        <w:rPr>
          <w:lang w:val="en-US"/>
        </w:rPr>
      </w:pPr>
      <w:r w:rsidRPr="004F010B">
        <w:rPr>
          <w:lang w:val="en-US"/>
        </w:rPr>
        <w:t>Kelly, K., &amp;</w:t>
      </w:r>
      <w:r w:rsidR="000C0EA1" w:rsidRPr="004F010B">
        <w:rPr>
          <w:lang w:val="en-US"/>
        </w:rPr>
        <w:t xml:space="preserve"> Lee, W.</w:t>
      </w:r>
      <w:r w:rsidRPr="004F010B">
        <w:rPr>
          <w:lang w:val="en-US"/>
        </w:rPr>
        <w:t xml:space="preserve">C. (2002). Mapping the domain of career decision problems. </w:t>
      </w:r>
      <w:r w:rsidRPr="004F010B">
        <w:rPr>
          <w:i/>
          <w:lang w:val="en-US"/>
        </w:rPr>
        <w:t>Journal of Vocational Behavior</w:t>
      </w:r>
      <w:r w:rsidRPr="004F010B">
        <w:rPr>
          <w:lang w:val="en-US"/>
        </w:rPr>
        <w:t xml:space="preserve">, </w:t>
      </w:r>
      <w:r w:rsidRPr="004F010B">
        <w:rPr>
          <w:i/>
          <w:lang w:val="en-US"/>
        </w:rPr>
        <w:t>61</w:t>
      </w:r>
      <w:r w:rsidRPr="004F010B">
        <w:rPr>
          <w:lang w:val="en-US"/>
        </w:rPr>
        <w:t>, 302-326.</w:t>
      </w:r>
    </w:p>
    <w:p w:rsidR="006948B4" w:rsidRPr="00DC5B6A" w:rsidRDefault="006948B4" w:rsidP="00BD377B">
      <w:pPr>
        <w:spacing w:before="240" w:after="240" w:line="480" w:lineRule="auto"/>
        <w:ind w:left="567" w:hanging="567"/>
        <w:rPr>
          <w:lang w:val="en-US"/>
        </w:rPr>
      </w:pPr>
      <w:r w:rsidRPr="00DC5B6A">
        <w:rPr>
          <w:lang w:val="en-US"/>
        </w:rPr>
        <w:t xml:space="preserve">Kelly, K., &amp; Pulver, C. (2003). Refining measurement of career indecision types: A validity study. </w:t>
      </w:r>
      <w:r w:rsidRPr="00DC5B6A">
        <w:rPr>
          <w:i/>
          <w:lang w:val="en-US"/>
        </w:rPr>
        <w:t>Journal of Counseling and Development</w:t>
      </w:r>
      <w:r w:rsidR="00054C9B" w:rsidRPr="00DC5B6A">
        <w:rPr>
          <w:lang w:val="en-US"/>
        </w:rPr>
        <w:t xml:space="preserve">, </w:t>
      </w:r>
      <w:r w:rsidR="00054C9B" w:rsidRPr="00DC5B6A">
        <w:rPr>
          <w:i/>
          <w:lang w:val="en-US"/>
        </w:rPr>
        <w:t>81</w:t>
      </w:r>
      <w:r w:rsidRPr="00DC5B6A">
        <w:rPr>
          <w:lang w:val="en-US"/>
        </w:rPr>
        <w:t>, 445-454.</w:t>
      </w:r>
    </w:p>
    <w:p w:rsidR="006948B4" w:rsidRPr="00DC5B6A" w:rsidRDefault="006948B4" w:rsidP="00BD377B">
      <w:pPr>
        <w:spacing w:before="240" w:after="240" w:line="480" w:lineRule="auto"/>
        <w:ind w:left="567" w:hanging="567"/>
        <w:rPr>
          <w:lang w:val="en-US"/>
        </w:rPr>
      </w:pPr>
      <w:r w:rsidRPr="00DC5B6A">
        <w:rPr>
          <w:lang w:val="en-US"/>
        </w:rPr>
        <w:t xml:space="preserve">Kenny, M. E., &amp; Bledsoe, M. (2005). Contributions of the relational context to career adaptability among urban adolescents. </w:t>
      </w:r>
      <w:r w:rsidRPr="00DC5B6A">
        <w:rPr>
          <w:i/>
          <w:lang w:val="en-US"/>
        </w:rPr>
        <w:t>Journal of Vocational Behavior</w:t>
      </w:r>
      <w:r w:rsidR="00054C9B" w:rsidRPr="00DC5B6A">
        <w:rPr>
          <w:lang w:val="en-US"/>
        </w:rPr>
        <w:t xml:space="preserve">, </w:t>
      </w:r>
      <w:r w:rsidR="00054C9B" w:rsidRPr="00DC5B6A">
        <w:rPr>
          <w:i/>
          <w:lang w:val="en-US"/>
        </w:rPr>
        <w:t>66</w:t>
      </w:r>
      <w:r w:rsidR="00E20EDE" w:rsidRPr="00DC5B6A">
        <w:rPr>
          <w:lang w:val="en-US"/>
        </w:rPr>
        <w:t xml:space="preserve">, 257-272. </w:t>
      </w:r>
      <w:r w:rsidR="00E20EDE" w:rsidRPr="00DC5B6A">
        <w:rPr>
          <w:rFonts w:eastAsia="Calibri"/>
          <w:lang w:val="en-US" w:eastAsia="en-US"/>
        </w:rPr>
        <w:t>doi:10.1016/j.jvb.2004.10.002</w:t>
      </w:r>
    </w:p>
    <w:p w:rsidR="006948B4" w:rsidRPr="00DC5B6A" w:rsidRDefault="006948B4" w:rsidP="00BD377B">
      <w:pPr>
        <w:spacing w:before="240" w:after="240" w:line="480" w:lineRule="auto"/>
        <w:ind w:left="567" w:hanging="567"/>
        <w:rPr>
          <w:lang w:val="en-US"/>
        </w:rPr>
      </w:pPr>
      <w:r w:rsidRPr="00DC5B6A">
        <w:rPr>
          <w:lang w:val="en-US"/>
        </w:rPr>
        <w:t xml:space="preserve">Larson, R., Wilson, S., &amp; Mortimer, J. (2002). Conclusions: Adolescents' Preparation for the Future. In R. Larson, B. Brown &amp; J. Mortimer (Eds.), </w:t>
      </w:r>
      <w:r w:rsidRPr="00DC5B6A">
        <w:rPr>
          <w:i/>
          <w:lang w:val="en-US"/>
        </w:rPr>
        <w:t xml:space="preserve">Adolescents' Preparation for the Future: A Report of the Study Group on Adolescence in the 21st Century </w:t>
      </w:r>
      <w:r w:rsidRPr="00DC5B6A">
        <w:rPr>
          <w:lang w:val="en-US"/>
        </w:rPr>
        <w:t>(pp. 159-166). Ann Arbor: Blackwell Publishing.</w:t>
      </w:r>
    </w:p>
    <w:p w:rsidR="001A7645" w:rsidRPr="00DC5B6A" w:rsidRDefault="001A7645" w:rsidP="001A7645">
      <w:pPr>
        <w:spacing w:before="240" w:after="240" w:line="480" w:lineRule="auto"/>
        <w:ind w:left="567" w:hanging="567"/>
        <w:jc w:val="both"/>
        <w:rPr>
          <w:lang w:val="en-US"/>
        </w:rPr>
      </w:pPr>
      <w:r w:rsidRPr="00DC5B6A">
        <w:rPr>
          <w:lang w:val="en-US"/>
        </w:rPr>
        <w:t xml:space="preserve">Leney, T., &amp; Green, A. (2005). Achieving the Lisbon goal: the contribution of Vocational Education and Training. </w:t>
      </w:r>
      <w:r w:rsidRPr="00DC5B6A">
        <w:rPr>
          <w:i/>
          <w:lang w:val="en-US"/>
        </w:rPr>
        <w:t>European Journal of Education</w:t>
      </w:r>
      <w:r w:rsidRPr="00DC5B6A">
        <w:rPr>
          <w:lang w:val="en-US"/>
        </w:rPr>
        <w:t>, 40(3), 261-278.</w:t>
      </w:r>
    </w:p>
    <w:p w:rsidR="006948B4" w:rsidRPr="00DC5B6A" w:rsidRDefault="006948B4" w:rsidP="00BD377B">
      <w:pPr>
        <w:spacing w:before="240" w:after="240" w:line="480" w:lineRule="auto"/>
        <w:ind w:left="567" w:hanging="567"/>
        <w:rPr>
          <w:lang w:val="en-US"/>
        </w:rPr>
      </w:pPr>
      <w:r w:rsidRPr="00DC5B6A">
        <w:rPr>
          <w:lang w:val="en-US"/>
        </w:rPr>
        <w:t>Lent, R., Brown, S. D., &amp; Hackett, G. (2002). Social cognitive career theory. In D. Brown &amp; Associates (Eds</w:t>
      </w:r>
      <w:r w:rsidRPr="00DC5B6A">
        <w:rPr>
          <w:i/>
          <w:lang w:val="en-US"/>
        </w:rPr>
        <w:t>.), Career choice and development</w:t>
      </w:r>
      <w:r w:rsidRPr="00DC5B6A">
        <w:rPr>
          <w:lang w:val="en-US"/>
        </w:rPr>
        <w:t xml:space="preserve"> (pp. 255-311). San Francisco: Jossey-Bass.</w:t>
      </w:r>
    </w:p>
    <w:p w:rsidR="006948B4" w:rsidRPr="00DC5B6A" w:rsidRDefault="006948B4" w:rsidP="00BD377B">
      <w:pPr>
        <w:spacing w:before="240" w:after="240" w:line="480" w:lineRule="auto"/>
        <w:ind w:left="567" w:hanging="567"/>
        <w:rPr>
          <w:lang w:val="en-US"/>
        </w:rPr>
      </w:pPr>
      <w:r w:rsidRPr="00DC5B6A">
        <w:rPr>
          <w:lang w:val="en-US"/>
        </w:rPr>
        <w:lastRenderedPageBreak/>
        <w:t xml:space="preserve">Lent, R., Hackett, G., &amp; Brown, S. (1999). A social cognitive view of school-to-work transition. </w:t>
      </w:r>
      <w:r w:rsidRPr="00DC5B6A">
        <w:rPr>
          <w:i/>
          <w:lang w:val="en-US"/>
        </w:rPr>
        <w:t>The Career Development Quarterly</w:t>
      </w:r>
      <w:r w:rsidRPr="00DC5B6A">
        <w:rPr>
          <w:lang w:val="en-US"/>
        </w:rPr>
        <w:t xml:space="preserve">, </w:t>
      </w:r>
      <w:r w:rsidRPr="00DC5B6A">
        <w:rPr>
          <w:i/>
          <w:lang w:val="en-US"/>
        </w:rPr>
        <w:t>47</w:t>
      </w:r>
      <w:r w:rsidRPr="00DC5B6A">
        <w:rPr>
          <w:lang w:val="en-US"/>
        </w:rPr>
        <w:t>, 297-311.</w:t>
      </w:r>
    </w:p>
    <w:p w:rsidR="006948B4" w:rsidRPr="00DC5B6A" w:rsidRDefault="006948B4" w:rsidP="00BD377B">
      <w:pPr>
        <w:spacing w:before="240" w:after="240" w:line="480" w:lineRule="auto"/>
        <w:ind w:left="567" w:hanging="567"/>
      </w:pPr>
      <w:r w:rsidRPr="00DC5B6A">
        <w:rPr>
          <w:lang w:val="en-US"/>
        </w:rPr>
        <w:t xml:space="preserve">Loughlin, C., &amp; Barling, J. (1998). Teenagers’ part-time employment and their work-related attitude and aspirations. </w:t>
      </w:r>
      <w:r w:rsidRPr="00DC5B6A">
        <w:rPr>
          <w:i/>
        </w:rPr>
        <w:t>Journal of Organizational Behaviour</w:t>
      </w:r>
      <w:r w:rsidRPr="00DC5B6A">
        <w:t xml:space="preserve">, </w:t>
      </w:r>
      <w:r w:rsidRPr="00DC5B6A">
        <w:rPr>
          <w:i/>
        </w:rPr>
        <w:t>19</w:t>
      </w:r>
      <w:r w:rsidRPr="00DC5B6A">
        <w:t>, 197-207.</w:t>
      </w:r>
    </w:p>
    <w:p w:rsidR="006948B4" w:rsidRPr="00DC5B6A" w:rsidRDefault="006948B4" w:rsidP="00BD377B">
      <w:pPr>
        <w:spacing w:before="240" w:after="240" w:line="480" w:lineRule="auto"/>
        <w:ind w:left="567" w:hanging="567"/>
      </w:pPr>
      <w:r w:rsidRPr="00DC5B6A">
        <w:t xml:space="preserve">Maroco, J. (2003). </w:t>
      </w:r>
      <w:r w:rsidRPr="00DC5B6A">
        <w:rPr>
          <w:i/>
        </w:rPr>
        <w:t>Análise Estatística com utilização do SPSS</w:t>
      </w:r>
      <w:r w:rsidRPr="00DC5B6A">
        <w:t>. Lisboa: Edições Sílabo.</w:t>
      </w:r>
    </w:p>
    <w:p w:rsidR="006948B4" w:rsidRPr="00DC5B6A" w:rsidRDefault="006948B4" w:rsidP="00BD377B">
      <w:pPr>
        <w:spacing w:before="240" w:after="240" w:line="480" w:lineRule="auto"/>
        <w:ind w:left="567" w:hanging="567"/>
        <w:rPr>
          <w:lang w:val="en-US"/>
        </w:rPr>
      </w:pPr>
      <w:r w:rsidRPr="00DC5B6A">
        <w:rPr>
          <w:lang w:val="en-US"/>
        </w:rPr>
        <w:t xml:space="preserve">Mortimer, J., &amp; Zimmer-Gembeck, M. J. (2007). Adolescent paid work and career development. In V. B. Skorikov &amp; W. Patton (Eds.), </w:t>
      </w:r>
      <w:r w:rsidRPr="00DC5B6A">
        <w:rPr>
          <w:i/>
          <w:lang w:val="en-US"/>
        </w:rPr>
        <w:t>Career Development in Childhood and Adolescence</w:t>
      </w:r>
      <w:r w:rsidRPr="00DC5B6A">
        <w:rPr>
          <w:lang w:val="en-US"/>
        </w:rPr>
        <w:t xml:space="preserve"> (pp. 255-275). Rotterdam: Sense Publishers.</w:t>
      </w:r>
    </w:p>
    <w:p w:rsidR="006948B4" w:rsidRPr="00DC5B6A" w:rsidRDefault="006948B4" w:rsidP="00BD377B">
      <w:pPr>
        <w:spacing w:before="240" w:after="240" w:line="480" w:lineRule="auto"/>
        <w:ind w:left="567" w:hanging="567"/>
        <w:rPr>
          <w:lang w:val="en-US"/>
        </w:rPr>
      </w:pPr>
      <w:r w:rsidRPr="00DC5B6A">
        <w:rPr>
          <w:lang w:val="en-US"/>
        </w:rPr>
        <w:t xml:space="preserve">Newman, J. L., Gray, E. A., &amp; Fuqua, D. R. (1999). The relation of career indecision to personality dimensions of the California Psychological Inventory. </w:t>
      </w:r>
      <w:r w:rsidRPr="00DC5B6A">
        <w:rPr>
          <w:i/>
          <w:lang w:val="en-US"/>
        </w:rPr>
        <w:t>Journal of Vocational Behavior</w:t>
      </w:r>
      <w:r w:rsidRPr="00DC5B6A">
        <w:rPr>
          <w:lang w:val="en-US"/>
        </w:rPr>
        <w:t xml:space="preserve">, </w:t>
      </w:r>
      <w:r w:rsidRPr="00DC5B6A">
        <w:rPr>
          <w:i/>
          <w:lang w:val="en-US"/>
        </w:rPr>
        <w:t>54</w:t>
      </w:r>
      <w:r w:rsidRPr="00DC5B6A">
        <w:rPr>
          <w:lang w:val="en-US"/>
        </w:rPr>
        <w:t>, 174-187.</w:t>
      </w:r>
    </w:p>
    <w:p w:rsidR="006948B4" w:rsidRPr="00DC5B6A" w:rsidRDefault="006948B4" w:rsidP="00BD377B">
      <w:pPr>
        <w:spacing w:before="240" w:after="240" w:line="480" w:lineRule="auto"/>
        <w:ind w:left="567" w:hanging="567"/>
        <w:rPr>
          <w:lang w:val="en-US"/>
        </w:rPr>
      </w:pPr>
      <w:r w:rsidRPr="00DC5B6A">
        <w:rPr>
          <w:lang w:val="en-US"/>
        </w:rPr>
        <w:t xml:space="preserve">Niles, S. G., Erford, B. T., Hunt, B., &amp; Watts, R. H. (1997). Decision-making styles and career development in college students. </w:t>
      </w:r>
      <w:r w:rsidRPr="00DC5B6A">
        <w:rPr>
          <w:i/>
          <w:lang w:val="en-US"/>
        </w:rPr>
        <w:t>Journal of College Student Development,</w:t>
      </w:r>
      <w:r w:rsidR="00054C9B" w:rsidRPr="00DC5B6A">
        <w:rPr>
          <w:lang w:val="en-US"/>
        </w:rPr>
        <w:t xml:space="preserve"> </w:t>
      </w:r>
      <w:r w:rsidR="00054C9B" w:rsidRPr="00DC5B6A">
        <w:rPr>
          <w:i/>
          <w:lang w:val="en-US"/>
        </w:rPr>
        <w:t>38</w:t>
      </w:r>
      <w:r w:rsidRPr="00DC5B6A">
        <w:rPr>
          <w:lang w:val="en-US"/>
        </w:rPr>
        <w:t>, 479-488.</w:t>
      </w:r>
    </w:p>
    <w:p w:rsidR="006948B4" w:rsidRPr="00DC5B6A" w:rsidRDefault="006948B4" w:rsidP="00BD377B">
      <w:pPr>
        <w:spacing w:line="480" w:lineRule="auto"/>
        <w:ind w:left="567" w:hanging="567"/>
        <w:rPr>
          <w:lang w:val="en-US"/>
        </w:rPr>
      </w:pPr>
      <w:r w:rsidRPr="00DC5B6A">
        <w:rPr>
          <w:lang w:val="en-US"/>
        </w:rPr>
        <w:t>Osipow, S., Carney, C. G., Winer, J., Yanico, B., &amp; Koschier, M. (1976). The Career Decision Scale (3rd Revision). Columbus, OH: Marathon Consulting and Press.</w:t>
      </w:r>
    </w:p>
    <w:p w:rsidR="006948B4" w:rsidRPr="00DC5B6A" w:rsidRDefault="006948B4" w:rsidP="00BD377B">
      <w:pPr>
        <w:spacing w:before="240" w:after="240" w:line="480" w:lineRule="auto"/>
        <w:ind w:left="567" w:hanging="567"/>
        <w:rPr>
          <w:lang w:val="en-US"/>
        </w:rPr>
      </w:pPr>
      <w:r w:rsidRPr="00DC5B6A">
        <w:rPr>
          <w:lang w:val="en-US"/>
        </w:rPr>
        <w:t xml:space="preserve">Osipow, S., &amp; Winer, J. (1996). Career assessment and the Career Decision Scale. </w:t>
      </w:r>
      <w:r w:rsidRPr="00DC5B6A">
        <w:rPr>
          <w:i/>
          <w:lang w:val="en-US"/>
        </w:rPr>
        <w:t>Journal of Career Assessment</w:t>
      </w:r>
      <w:r w:rsidRPr="00DC5B6A">
        <w:rPr>
          <w:lang w:val="en-US"/>
        </w:rPr>
        <w:t xml:space="preserve">, </w:t>
      </w:r>
      <w:r w:rsidRPr="00DC5B6A">
        <w:rPr>
          <w:i/>
          <w:lang w:val="en-US"/>
        </w:rPr>
        <w:t>4</w:t>
      </w:r>
      <w:r w:rsidRPr="00DC5B6A">
        <w:rPr>
          <w:lang w:val="en-US"/>
        </w:rPr>
        <w:t>, 117-130.</w:t>
      </w:r>
    </w:p>
    <w:p w:rsidR="006948B4" w:rsidRPr="00DC5B6A" w:rsidRDefault="006948B4" w:rsidP="00BD377B">
      <w:pPr>
        <w:spacing w:before="240" w:after="240" w:line="480" w:lineRule="auto"/>
        <w:ind w:left="567" w:hanging="567"/>
        <w:rPr>
          <w:lang w:val="en-US"/>
        </w:rPr>
      </w:pPr>
      <w:r w:rsidRPr="00DC5B6A">
        <w:rPr>
          <w:lang w:val="en-US"/>
        </w:rPr>
        <w:t xml:space="preserve">Patton, W., &amp; Creed, P. (2007a). The relationship between career variables and occupational aspirations and expectations for Australian high school adolescents. </w:t>
      </w:r>
      <w:r w:rsidRPr="00DC5B6A">
        <w:rPr>
          <w:i/>
          <w:lang w:val="en-US"/>
        </w:rPr>
        <w:t>Journal of Career Development</w:t>
      </w:r>
      <w:r w:rsidR="00054C9B" w:rsidRPr="00DC5B6A">
        <w:rPr>
          <w:lang w:val="en-US"/>
        </w:rPr>
        <w:t xml:space="preserve">, </w:t>
      </w:r>
      <w:r w:rsidR="00054C9B" w:rsidRPr="00DC5B6A">
        <w:rPr>
          <w:i/>
          <w:lang w:val="en-US"/>
        </w:rPr>
        <w:t>34</w:t>
      </w:r>
      <w:r w:rsidRPr="00DC5B6A">
        <w:rPr>
          <w:lang w:val="en-US"/>
        </w:rPr>
        <w:t>, 127-148.</w:t>
      </w:r>
    </w:p>
    <w:p w:rsidR="006948B4" w:rsidRPr="00DC5B6A" w:rsidRDefault="006948B4" w:rsidP="00BD377B">
      <w:pPr>
        <w:spacing w:before="240" w:after="240" w:line="480" w:lineRule="auto"/>
        <w:ind w:left="567" w:hanging="567"/>
        <w:rPr>
          <w:lang w:val="en-US"/>
        </w:rPr>
      </w:pPr>
      <w:r w:rsidRPr="00DC5B6A">
        <w:rPr>
          <w:lang w:val="en-US"/>
        </w:rPr>
        <w:lastRenderedPageBreak/>
        <w:t xml:space="preserve">Patton, W., &amp; Creed, P. (2007b). Theorizing adolescent career maturity: Existing evidence and directions for the future. In V. Skorikov &amp; W. Patton (Eds.), </w:t>
      </w:r>
      <w:r w:rsidRPr="00DC5B6A">
        <w:rPr>
          <w:i/>
          <w:lang w:val="en-US"/>
        </w:rPr>
        <w:t>Career Development in Childhood and Adolescence</w:t>
      </w:r>
      <w:r w:rsidRPr="00DC5B6A">
        <w:rPr>
          <w:lang w:val="en-US"/>
        </w:rPr>
        <w:t xml:space="preserve"> (pp. 221-236). Rotterdam: Sense Publishers.</w:t>
      </w:r>
    </w:p>
    <w:p w:rsidR="006948B4" w:rsidRPr="00DC5B6A" w:rsidRDefault="006948B4" w:rsidP="00BD377B">
      <w:pPr>
        <w:spacing w:before="240" w:after="240" w:line="480" w:lineRule="auto"/>
        <w:ind w:left="567" w:hanging="567"/>
        <w:rPr>
          <w:lang w:val="en-US"/>
        </w:rPr>
      </w:pPr>
      <w:r w:rsidRPr="00DC5B6A">
        <w:rPr>
          <w:lang w:val="en-US"/>
        </w:rPr>
        <w:t xml:space="preserve">Ryan, R., &amp; Deci, E. (2000). Self-determination theory and the facilitation of intrinsic motivation, social development, and well-being. </w:t>
      </w:r>
      <w:r w:rsidRPr="00DC5B6A">
        <w:rPr>
          <w:i/>
          <w:lang w:val="en-US"/>
        </w:rPr>
        <w:t>American Psychologist</w:t>
      </w:r>
      <w:r w:rsidR="00054C9B" w:rsidRPr="00DC5B6A">
        <w:rPr>
          <w:lang w:val="en-US"/>
        </w:rPr>
        <w:t xml:space="preserve">, </w:t>
      </w:r>
      <w:r w:rsidR="00054C9B" w:rsidRPr="00DC5B6A">
        <w:rPr>
          <w:i/>
          <w:lang w:val="en-US"/>
        </w:rPr>
        <w:t>55</w:t>
      </w:r>
      <w:r w:rsidRPr="00DC5B6A">
        <w:rPr>
          <w:lang w:val="en-US"/>
        </w:rPr>
        <w:t>, 68-78.</w:t>
      </w:r>
    </w:p>
    <w:p w:rsidR="006948B4" w:rsidRDefault="006948B4" w:rsidP="00BD377B">
      <w:pPr>
        <w:spacing w:before="240" w:after="240" w:line="480" w:lineRule="auto"/>
        <w:ind w:left="567" w:hanging="567"/>
        <w:rPr>
          <w:lang w:val="en-US"/>
        </w:rPr>
      </w:pPr>
      <w:r w:rsidRPr="00DC5B6A">
        <w:rPr>
          <w:lang w:val="en-US"/>
        </w:rPr>
        <w:t xml:space="preserve">Rogers, M., Creed, P., &amp; Glendon, I. (2008). The role of personality in adolescent career planning and exploration: A social cognitive perspective. </w:t>
      </w:r>
      <w:r w:rsidRPr="00DC5B6A">
        <w:rPr>
          <w:i/>
          <w:lang w:val="en-US"/>
        </w:rPr>
        <w:t>Journal of Vocational Behavior</w:t>
      </w:r>
      <w:r w:rsidR="00054C9B" w:rsidRPr="00DC5B6A">
        <w:rPr>
          <w:lang w:val="en-US"/>
        </w:rPr>
        <w:t xml:space="preserve">, </w:t>
      </w:r>
      <w:r w:rsidR="00054C9B" w:rsidRPr="00DC5B6A">
        <w:rPr>
          <w:i/>
          <w:lang w:val="en-US"/>
        </w:rPr>
        <w:t>73</w:t>
      </w:r>
      <w:r w:rsidRPr="00DC5B6A">
        <w:rPr>
          <w:lang w:val="en-US"/>
        </w:rPr>
        <w:t>, 132-142.</w:t>
      </w:r>
    </w:p>
    <w:p w:rsidR="00CA66A5" w:rsidRPr="00DC5B6A" w:rsidRDefault="00CA66A5" w:rsidP="00CA66A5">
      <w:pPr>
        <w:spacing w:line="480" w:lineRule="auto"/>
        <w:jc w:val="both"/>
        <w:rPr>
          <w:lang w:val="en-US"/>
        </w:rPr>
      </w:pPr>
      <w:r w:rsidRPr="006109F9">
        <w:rPr>
          <w:lang w:val="en-US"/>
        </w:rPr>
        <w:t xml:space="preserve">Rowold, J. &amp; Staufenbiel, K. (2010). The validity of a German version of the career exploration survey. </w:t>
      </w:r>
      <w:r w:rsidRPr="00CA66A5">
        <w:rPr>
          <w:i/>
          <w:iCs/>
          <w:lang w:val="en-US"/>
        </w:rPr>
        <w:t>International Journal for Educational and Vocational Guidance, 10</w:t>
      </w:r>
      <w:r w:rsidRPr="00CA66A5">
        <w:rPr>
          <w:lang w:val="en-US"/>
        </w:rPr>
        <w:t>, 21–34.</w:t>
      </w:r>
    </w:p>
    <w:p w:rsidR="006948B4" w:rsidRPr="00DC5B6A" w:rsidRDefault="006948B4" w:rsidP="00BD377B">
      <w:pPr>
        <w:spacing w:before="240" w:after="240" w:line="480" w:lineRule="auto"/>
        <w:ind w:left="567" w:hanging="567"/>
        <w:rPr>
          <w:lang w:val="en-US"/>
        </w:rPr>
      </w:pPr>
      <w:r w:rsidRPr="00DC5B6A">
        <w:rPr>
          <w:lang w:val="en-US"/>
        </w:rPr>
        <w:t>Saka, N., &amp; Gati, I. (2007). Applying decision theory to facilitating adolescent career choices. In V. B. Skorikov &amp; W. Patton (Eds</w:t>
      </w:r>
      <w:r w:rsidRPr="00DC5B6A">
        <w:rPr>
          <w:i/>
          <w:lang w:val="en-US"/>
        </w:rPr>
        <w:t>.), Career Development in Childhood and Adolescence</w:t>
      </w:r>
      <w:r w:rsidRPr="00DC5B6A">
        <w:rPr>
          <w:lang w:val="en-US"/>
        </w:rPr>
        <w:t xml:space="preserve"> (pp. 181-202). Rotterdam: Sense Publishers.</w:t>
      </w:r>
    </w:p>
    <w:p w:rsidR="006948B4" w:rsidRPr="00DC5B6A" w:rsidRDefault="006948B4" w:rsidP="00BD377B">
      <w:pPr>
        <w:spacing w:before="240" w:after="240" w:line="480" w:lineRule="auto"/>
        <w:ind w:left="567" w:hanging="567"/>
        <w:rPr>
          <w:lang w:val="en-US"/>
        </w:rPr>
      </w:pPr>
      <w:r w:rsidRPr="00DC5B6A">
        <w:rPr>
          <w:lang w:val="en-US"/>
        </w:rPr>
        <w:t xml:space="preserve">Savickas, M. L. (2005). The theory and practice of career construction. In S. D. Brown &amp; R. W. Lent (Eds.), </w:t>
      </w:r>
      <w:r w:rsidRPr="00DC5B6A">
        <w:rPr>
          <w:i/>
          <w:lang w:val="en-US"/>
        </w:rPr>
        <w:t>Career development and counseling: Putting theory and research to work</w:t>
      </w:r>
      <w:r w:rsidRPr="00DC5B6A">
        <w:rPr>
          <w:lang w:val="en-US"/>
        </w:rPr>
        <w:t xml:space="preserve"> (pp. 42-70). New Jersey: John Wiley &amp; Sons, Inc.</w:t>
      </w:r>
    </w:p>
    <w:p w:rsidR="006948B4" w:rsidRPr="00DC5B6A" w:rsidRDefault="006948B4" w:rsidP="00BD377B">
      <w:pPr>
        <w:spacing w:before="240" w:after="240" w:line="480" w:lineRule="auto"/>
        <w:ind w:left="567" w:hanging="567"/>
        <w:rPr>
          <w:lang w:val="en-US"/>
        </w:rPr>
      </w:pPr>
      <w:r w:rsidRPr="00DC5B6A">
        <w:rPr>
          <w:lang w:val="en-US"/>
        </w:rPr>
        <w:t xml:space="preserve">Schaap, H., Baartman, L., &amp; Bruijn, E. (2011). Student´s learning process during school-based learning and workplace learning in vocational education: A review. </w:t>
      </w:r>
      <w:r w:rsidRPr="00DC5B6A">
        <w:rPr>
          <w:i/>
          <w:lang w:val="en-US"/>
        </w:rPr>
        <w:t>Vocations and Learning</w:t>
      </w:r>
      <w:r w:rsidRPr="00DC5B6A">
        <w:rPr>
          <w:lang w:val="en-US"/>
        </w:rPr>
        <w:t xml:space="preserve">,  Review Paper. </w:t>
      </w:r>
      <w:r w:rsidR="00FD55C1" w:rsidRPr="00DC5B6A">
        <w:rPr>
          <w:lang w:val="en-US"/>
        </w:rPr>
        <w:t>doi:</w:t>
      </w:r>
      <w:r w:rsidR="00FD55C1" w:rsidRPr="00DC5B6A">
        <w:rPr>
          <w:rFonts w:eastAsia="Calibri"/>
          <w:color w:val="131413"/>
          <w:lang w:val="en-US" w:eastAsia="en-US"/>
        </w:rPr>
        <w:t>10.1007/s12186-011-9069-2</w:t>
      </w:r>
    </w:p>
    <w:p w:rsidR="006948B4" w:rsidRPr="00DC5B6A" w:rsidRDefault="006948B4" w:rsidP="00BD377B">
      <w:pPr>
        <w:spacing w:before="240" w:after="240" w:line="480" w:lineRule="auto"/>
        <w:ind w:left="567" w:hanging="567"/>
        <w:rPr>
          <w:lang w:val="en-US"/>
        </w:rPr>
      </w:pPr>
      <w:r w:rsidRPr="00E24A1B">
        <w:rPr>
          <w:lang w:val="da-DK"/>
        </w:rPr>
        <w:t xml:space="preserve">Shanahan, M. J., Mortimer, J. T., &amp; Kruger, H. (2002). </w:t>
      </w:r>
      <w:r w:rsidRPr="00DC5B6A">
        <w:rPr>
          <w:lang w:val="en-US"/>
        </w:rPr>
        <w:t xml:space="preserve">Adolescence and adult work in the twenty-first century. In R. Larson &amp; B. B. Brown &amp; J. Mortimer (Eds.), </w:t>
      </w:r>
      <w:r w:rsidRPr="00DC5B6A">
        <w:rPr>
          <w:i/>
          <w:lang w:val="en-US"/>
        </w:rPr>
        <w:t xml:space="preserve">Adolescent </w:t>
      </w:r>
      <w:r w:rsidRPr="00DC5B6A">
        <w:rPr>
          <w:i/>
          <w:lang w:val="en-US"/>
        </w:rPr>
        <w:lastRenderedPageBreak/>
        <w:t>preparation for the future: perfils and promise</w:t>
      </w:r>
      <w:r w:rsidRPr="00DC5B6A">
        <w:rPr>
          <w:lang w:val="en-US"/>
        </w:rPr>
        <w:t>. Ann Arbor: Society for Research on Adolescence.</w:t>
      </w:r>
    </w:p>
    <w:p w:rsidR="006948B4" w:rsidRPr="00DC5B6A" w:rsidRDefault="006948B4" w:rsidP="00BD377B">
      <w:pPr>
        <w:spacing w:before="240" w:after="240" w:line="480" w:lineRule="auto"/>
        <w:ind w:left="567" w:hanging="567"/>
      </w:pPr>
      <w:r w:rsidRPr="00DC5B6A">
        <w:rPr>
          <w:lang w:val="en-US"/>
        </w:rPr>
        <w:t xml:space="preserve">Silva, J. T. (1997). </w:t>
      </w:r>
      <w:r w:rsidRPr="00DC5B6A">
        <w:rPr>
          <w:i/>
        </w:rPr>
        <w:t>Dimensões da Indecisão da Carreira. Investigação com Adolescentes.</w:t>
      </w:r>
      <w:r w:rsidRPr="00DC5B6A">
        <w:t xml:space="preserve"> Tese de Doutoramento não publicada, Universidade de Coimbra, Coimbra.</w:t>
      </w:r>
    </w:p>
    <w:p w:rsidR="006948B4" w:rsidRPr="00DC5B6A" w:rsidRDefault="006948B4" w:rsidP="00BD377B">
      <w:pPr>
        <w:spacing w:before="240" w:after="240" w:line="480" w:lineRule="auto"/>
        <w:ind w:left="567" w:hanging="567"/>
      </w:pPr>
      <w:r w:rsidRPr="00DC5B6A">
        <w:t xml:space="preserve">Silva, J. T. &amp; Paixão, M. P. (2005). </w:t>
      </w:r>
      <w:r w:rsidRPr="00DC5B6A">
        <w:rPr>
          <w:i/>
        </w:rPr>
        <w:t>Estudos psicométricos preliminares da Career Decision-Making Self-Efficacy Scale-Short Form</w:t>
      </w:r>
      <w:r w:rsidRPr="00DC5B6A">
        <w:t xml:space="preserve">, Comunicação apresentada na </w:t>
      </w:r>
      <w:r w:rsidRPr="00DC5B6A">
        <w:rPr>
          <w:i/>
        </w:rPr>
        <w:t>Conferência Internacional AIOSP 2005</w:t>
      </w:r>
      <w:r w:rsidRPr="00DC5B6A">
        <w:t>, Lisboa, 14-16 de Setembro</w:t>
      </w:r>
    </w:p>
    <w:p w:rsidR="006948B4" w:rsidRPr="00DC5B6A" w:rsidRDefault="006948B4" w:rsidP="00BD377B">
      <w:pPr>
        <w:spacing w:before="240" w:after="240" w:line="480" w:lineRule="auto"/>
        <w:ind w:left="567" w:hanging="567"/>
        <w:rPr>
          <w:lang w:val="en-US"/>
        </w:rPr>
      </w:pPr>
      <w:r w:rsidRPr="00DC5B6A">
        <w:rPr>
          <w:lang w:val="en-US"/>
        </w:rPr>
        <w:t>Skorikov, V. (2007). Continuity in adolescent career preparation and its effects on adjustment</w:t>
      </w:r>
      <w:r w:rsidRPr="00DC5B6A">
        <w:rPr>
          <w:i/>
          <w:lang w:val="en-US"/>
        </w:rPr>
        <w:t>. Journal of Vocational Behavior</w:t>
      </w:r>
      <w:r w:rsidRPr="00DC5B6A">
        <w:rPr>
          <w:lang w:val="en-US"/>
        </w:rPr>
        <w:t xml:space="preserve">, </w:t>
      </w:r>
      <w:r w:rsidRPr="00DC5B6A">
        <w:rPr>
          <w:i/>
          <w:lang w:val="en-US"/>
        </w:rPr>
        <w:t>70</w:t>
      </w:r>
      <w:r w:rsidRPr="00DC5B6A">
        <w:rPr>
          <w:lang w:val="en-US"/>
        </w:rPr>
        <w:t>, 8-24</w:t>
      </w:r>
      <w:r w:rsidR="00E20EDE" w:rsidRPr="00DC5B6A">
        <w:rPr>
          <w:lang w:val="en-US"/>
        </w:rPr>
        <w:t xml:space="preserve">, </w:t>
      </w:r>
      <w:r w:rsidR="00E20EDE" w:rsidRPr="00DC5B6A">
        <w:rPr>
          <w:rFonts w:eastAsia="Calibri"/>
          <w:lang w:val="en-US" w:eastAsia="en-US"/>
        </w:rPr>
        <w:t>doi:10.1016/j.jvb.2006.04.007</w:t>
      </w:r>
      <w:r w:rsidRPr="00DC5B6A">
        <w:rPr>
          <w:lang w:val="en-US"/>
        </w:rPr>
        <w:t>.</w:t>
      </w:r>
    </w:p>
    <w:p w:rsidR="006948B4" w:rsidRPr="00DC5B6A" w:rsidRDefault="006948B4" w:rsidP="00BD377B">
      <w:pPr>
        <w:spacing w:before="240" w:after="240" w:line="480" w:lineRule="auto"/>
        <w:ind w:left="567" w:hanging="567"/>
        <w:rPr>
          <w:lang w:val="en-US"/>
        </w:rPr>
      </w:pPr>
      <w:r w:rsidRPr="00DC5B6A">
        <w:rPr>
          <w:lang w:val="en-US"/>
        </w:rPr>
        <w:t xml:space="preserve">Skorikov, V., &amp; Vondracek, F. W. (1997). Longitudinal relationships between par-time work and career development in adolescents. </w:t>
      </w:r>
      <w:r w:rsidRPr="00DC5B6A">
        <w:rPr>
          <w:i/>
          <w:lang w:val="en-US"/>
        </w:rPr>
        <w:t>The Career Development Quarterly</w:t>
      </w:r>
      <w:r w:rsidRPr="00DC5B6A">
        <w:rPr>
          <w:lang w:val="en-US"/>
        </w:rPr>
        <w:t xml:space="preserve">, </w:t>
      </w:r>
      <w:r w:rsidRPr="00DC5B6A">
        <w:rPr>
          <w:i/>
          <w:lang w:val="en-US"/>
        </w:rPr>
        <w:t>45</w:t>
      </w:r>
      <w:r w:rsidRPr="00DC5B6A">
        <w:rPr>
          <w:lang w:val="en-US"/>
        </w:rPr>
        <w:t>, 221-235.</w:t>
      </w:r>
    </w:p>
    <w:p w:rsidR="006948B4" w:rsidRPr="00DC5B6A" w:rsidRDefault="006948B4" w:rsidP="00BD377B">
      <w:pPr>
        <w:spacing w:before="240" w:after="240" w:line="480" w:lineRule="auto"/>
        <w:ind w:left="567" w:hanging="567"/>
        <w:rPr>
          <w:lang w:val="en-US"/>
        </w:rPr>
      </w:pPr>
      <w:r w:rsidRPr="00DC5B6A">
        <w:rPr>
          <w:lang w:val="en-US"/>
        </w:rPr>
        <w:t xml:space="preserve">Spokane, A. R. (1991). </w:t>
      </w:r>
      <w:r w:rsidRPr="00DC5B6A">
        <w:rPr>
          <w:i/>
          <w:lang w:val="en-US"/>
        </w:rPr>
        <w:t>Career Intervention</w:t>
      </w:r>
      <w:r w:rsidRPr="00DC5B6A">
        <w:rPr>
          <w:lang w:val="en-US"/>
        </w:rPr>
        <w:t>. NJ: Prentice-Hall.</w:t>
      </w:r>
    </w:p>
    <w:p w:rsidR="006948B4" w:rsidRPr="00DC5B6A" w:rsidRDefault="006948B4" w:rsidP="00BD377B">
      <w:pPr>
        <w:spacing w:before="240" w:after="240" w:line="480" w:lineRule="auto"/>
        <w:ind w:left="567" w:hanging="567"/>
        <w:rPr>
          <w:lang w:val="en-US"/>
        </w:rPr>
      </w:pPr>
      <w:r w:rsidRPr="00DC5B6A">
        <w:rPr>
          <w:lang w:val="en-US"/>
        </w:rPr>
        <w:t xml:space="preserve">Staff, J., &amp; Mortimer, J. T. (2007). Educational and work strategies from adolescence to early adulthood: consequences for educational attainment. </w:t>
      </w:r>
      <w:r w:rsidRPr="00DC5B6A">
        <w:rPr>
          <w:i/>
          <w:lang w:val="en-US"/>
        </w:rPr>
        <w:t>Social Forces</w:t>
      </w:r>
      <w:r w:rsidR="00054C9B" w:rsidRPr="00DC5B6A">
        <w:rPr>
          <w:lang w:val="en-US"/>
        </w:rPr>
        <w:t xml:space="preserve">, </w:t>
      </w:r>
      <w:r w:rsidR="00054C9B" w:rsidRPr="00DC5B6A">
        <w:rPr>
          <w:i/>
          <w:lang w:val="en-US"/>
        </w:rPr>
        <w:t>85</w:t>
      </w:r>
      <w:r w:rsidRPr="00DC5B6A">
        <w:rPr>
          <w:lang w:val="en-US"/>
        </w:rPr>
        <w:t>, 1169-1194.</w:t>
      </w:r>
    </w:p>
    <w:p w:rsidR="006948B4" w:rsidRPr="00DC5B6A" w:rsidRDefault="006948B4" w:rsidP="00BD377B">
      <w:pPr>
        <w:spacing w:before="240" w:after="240" w:line="480" w:lineRule="auto"/>
        <w:ind w:left="567" w:hanging="567"/>
        <w:rPr>
          <w:lang w:val="en-US"/>
        </w:rPr>
      </w:pPr>
      <w:r w:rsidRPr="00DC5B6A">
        <w:rPr>
          <w:lang w:val="en-US"/>
        </w:rPr>
        <w:t xml:space="preserve">Stern, D., Stone, J. R., Hopkins, C., &amp; McMillion, M. (1990). Quality of students´work experience and orientation toward work. </w:t>
      </w:r>
      <w:r w:rsidRPr="00DC5B6A">
        <w:rPr>
          <w:i/>
          <w:lang w:val="en-US"/>
        </w:rPr>
        <w:t>Youth &amp;  Society</w:t>
      </w:r>
      <w:r w:rsidRPr="00DC5B6A">
        <w:rPr>
          <w:lang w:val="en-US"/>
        </w:rPr>
        <w:t xml:space="preserve">, </w:t>
      </w:r>
      <w:r w:rsidRPr="00DC5B6A">
        <w:rPr>
          <w:i/>
          <w:lang w:val="en-US"/>
        </w:rPr>
        <w:t>22</w:t>
      </w:r>
      <w:r w:rsidRPr="00DC5B6A">
        <w:rPr>
          <w:lang w:val="en-US"/>
        </w:rPr>
        <w:t>, 263-282.</w:t>
      </w:r>
    </w:p>
    <w:p w:rsidR="006948B4" w:rsidRPr="00DC5B6A" w:rsidRDefault="006948B4" w:rsidP="00BD377B">
      <w:pPr>
        <w:spacing w:before="240" w:after="240" w:line="480" w:lineRule="auto"/>
        <w:ind w:left="567" w:hanging="567"/>
        <w:rPr>
          <w:lang w:val="en-US"/>
        </w:rPr>
      </w:pPr>
      <w:r w:rsidRPr="00DC5B6A">
        <w:rPr>
          <w:lang w:val="en-US"/>
        </w:rPr>
        <w:t>Stone, J. R., &amp; Mortimer, J. (1998). The Effect of Adolescent Employment on Vocational Development: Public and Educational Policy Implications</w:t>
      </w:r>
      <w:r w:rsidRPr="00DC5B6A">
        <w:rPr>
          <w:i/>
          <w:lang w:val="en-US"/>
        </w:rPr>
        <w:t>. Journal of Vocational Behavior,</w:t>
      </w:r>
      <w:r w:rsidRPr="00DC5B6A">
        <w:rPr>
          <w:lang w:val="en-US"/>
        </w:rPr>
        <w:t xml:space="preserve"> </w:t>
      </w:r>
      <w:r w:rsidRPr="00DC5B6A">
        <w:rPr>
          <w:i/>
          <w:lang w:val="en-US"/>
        </w:rPr>
        <w:t>53</w:t>
      </w:r>
      <w:r w:rsidRPr="00DC5B6A">
        <w:rPr>
          <w:lang w:val="en-US"/>
        </w:rPr>
        <w:t>, 184-214.</w:t>
      </w:r>
    </w:p>
    <w:p w:rsidR="006948B4" w:rsidRPr="00DC5B6A" w:rsidRDefault="006948B4" w:rsidP="00BD377B">
      <w:pPr>
        <w:spacing w:before="240" w:after="240" w:line="480" w:lineRule="auto"/>
        <w:ind w:left="567" w:hanging="567"/>
        <w:rPr>
          <w:lang w:val="en-US"/>
        </w:rPr>
      </w:pPr>
      <w:r w:rsidRPr="00DC5B6A">
        <w:rPr>
          <w:lang w:val="en-US"/>
        </w:rPr>
        <w:lastRenderedPageBreak/>
        <w:t xml:space="preserve">Stumpf, S., Colarelli, S., &amp; Hartman, K. (1983). Development of the Career Exploration Survey (CES). </w:t>
      </w:r>
      <w:r w:rsidRPr="00DC5B6A">
        <w:rPr>
          <w:i/>
          <w:lang w:val="en-US"/>
        </w:rPr>
        <w:t>Journal of Vocational Behavior</w:t>
      </w:r>
      <w:r w:rsidRPr="00DC5B6A">
        <w:rPr>
          <w:lang w:val="en-US"/>
        </w:rPr>
        <w:t xml:space="preserve">, </w:t>
      </w:r>
      <w:r w:rsidRPr="00DC5B6A">
        <w:rPr>
          <w:i/>
          <w:lang w:val="en-US"/>
        </w:rPr>
        <w:t>22</w:t>
      </w:r>
      <w:r w:rsidRPr="00DC5B6A">
        <w:rPr>
          <w:lang w:val="en-US"/>
        </w:rPr>
        <w:t>, 191-226.</w:t>
      </w:r>
    </w:p>
    <w:p w:rsidR="006948B4" w:rsidRPr="00DC5B6A" w:rsidRDefault="006948B4" w:rsidP="00BD377B">
      <w:pPr>
        <w:spacing w:before="240" w:after="240" w:line="480" w:lineRule="auto"/>
        <w:ind w:left="567" w:hanging="567"/>
        <w:rPr>
          <w:lang w:val="en-US"/>
        </w:rPr>
      </w:pPr>
      <w:r w:rsidRPr="00DC5B6A">
        <w:rPr>
          <w:lang w:val="en-US"/>
        </w:rPr>
        <w:t xml:space="preserve">Stumpf, S., &amp; Hartman, K. (1984). Individual exploration to organizational commitment or withdrawal. </w:t>
      </w:r>
      <w:r w:rsidRPr="00DC5B6A">
        <w:rPr>
          <w:i/>
          <w:lang w:val="en-US"/>
        </w:rPr>
        <w:t>Academy of Management Journal</w:t>
      </w:r>
      <w:r w:rsidR="00054C9B" w:rsidRPr="00DC5B6A">
        <w:rPr>
          <w:lang w:val="en-US"/>
        </w:rPr>
        <w:t xml:space="preserve">, </w:t>
      </w:r>
      <w:r w:rsidR="00054C9B" w:rsidRPr="00DC5B6A">
        <w:rPr>
          <w:i/>
          <w:lang w:val="en-US"/>
        </w:rPr>
        <w:t>27</w:t>
      </w:r>
      <w:r w:rsidRPr="00DC5B6A">
        <w:rPr>
          <w:lang w:val="en-US"/>
        </w:rPr>
        <w:t>, 308-329.</w:t>
      </w:r>
    </w:p>
    <w:p w:rsidR="006948B4" w:rsidRPr="00DC5B6A" w:rsidRDefault="006948B4" w:rsidP="00BD377B">
      <w:pPr>
        <w:spacing w:before="240" w:after="240" w:line="480" w:lineRule="auto"/>
        <w:ind w:left="567" w:hanging="567"/>
      </w:pPr>
      <w:r w:rsidRPr="00DC5B6A">
        <w:rPr>
          <w:lang w:val="en-US"/>
        </w:rPr>
        <w:t xml:space="preserve">Super, D., Savickas, M. L., &amp; Super, C. M. (1996). The life-span, life-space approach to careers. In D. Brown &amp; L. Brooks &amp; Associates (Eds.), </w:t>
      </w:r>
      <w:r w:rsidRPr="00DC5B6A">
        <w:rPr>
          <w:i/>
          <w:lang w:val="en-US"/>
        </w:rPr>
        <w:t>Career Choice and Development.</w:t>
      </w:r>
      <w:r w:rsidRPr="00DC5B6A">
        <w:rPr>
          <w:lang w:val="en-US"/>
        </w:rPr>
        <w:t xml:space="preserve"> </w:t>
      </w:r>
      <w:r w:rsidRPr="00DC5B6A">
        <w:t>San Francisco: Jossey-Bass Publishers.</w:t>
      </w:r>
    </w:p>
    <w:p w:rsidR="006948B4" w:rsidRDefault="006948B4" w:rsidP="00BD377B">
      <w:pPr>
        <w:spacing w:before="240" w:after="240" w:line="480" w:lineRule="auto"/>
        <w:ind w:left="567" w:hanging="567"/>
      </w:pPr>
      <w:r w:rsidRPr="00DC5B6A">
        <w:t xml:space="preserve">Taveira, M. C. (1997). </w:t>
      </w:r>
      <w:r w:rsidRPr="00DC5B6A">
        <w:rPr>
          <w:i/>
        </w:rPr>
        <w:t>Exploração e desenvolvimento vocacional de jovens. Estudo sobre as relações entre a exploração, a identidade e a indecisão</w:t>
      </w:r>
      <w:r w:rsidRPr="00DC5B6A">
        <w:t>. Tese de doutoramento não publicada, Universidade do Minho, Braga.</w:t>
      </w:r>
    </w:p>
    <w:p w:rsidR="00613275" w:rsidRPr="00613275" w:rsidRDefault="00613275" w:rsidP="00613275">
      <w:pPr>
        <w:spacing w:before="240" w:after="240" w:line="480" w:lineRule="auto"/>
        <w:ind w:left="567" w:hanging="567"/>
        <w:rPr>
          <w:lang w:val="en-US"/>
        </w:rPr>
      </w:pPr>
      <w:r w:rsidRPr="00A55E42">
        <w:rPr>
          <w:lang w:val="en-US"/>
        </w:rPr>
        <w:t xml:space="preserve">Vianen, A. E. M. V., Pater, I. E. D., &amp; Preenen, P. T. Y. (2008). Career management: taking quality control of the quality of work experiences. In J. A. Athanasou &amp; R. V. Esbroeck (Eds.), </w:t>
      </w:r>
      <w:r w:rsidRPr="00A55E42">
        <w:rPr>
          <w:i/>
          <w:lang w:val="en-US"/>
        </w:rPr>
        <w:t>International Handbook of Career Guidance</w:t>
      </w:r>
      <w:r w:rsidRPr="00A55E42">
        <w:rPr>
          <w:lang w:val="en-US"/>
        </w:rPr>
        <w:t xml:space="preserve"> (pp. 283-301): Springer Science + Business Media B.V.</w:t>
      </w:r>
    </w:p>
    <w:p w:rsidR="006948B4" w:rsidRPr="00DC5B6A" w:rsidRDefault="006948B4" w:rsidP="00BD377B">
      <w:pPr>
        <w:spacing w:before="240" w:after="240" w:line="480" w:lineRule="auto"/>
        <w:ind w:left="567" w:hanging="567"/>
        <w:rPr>
          <w:lang w:val="en-US"/>
        </w:rPr>
      </w:pPr>
      <w:r w:rsidRPr="00613275">
        <w:rPr>
          <w:lang w:val="en-US"/>
        </w:rPr>
        <w:t xml:space="preserve">Vondracek, F. W., Hostetler, M., Schulenberg, J., &amp; Shimizu, K. (1990). </w:t>
      </w:r>
      <w:r w:rsidRPr="00DC5B6A">
        <w:rPr>
          <w:lang w:val="en-US"/>
        </w:rPr>
        <w:t xml:space="preserve">Dimensions of career indecision. </w:t>
      </w:r>
      <w:r w:rsidRPr="00DC5B6A">
        <w:rPr>
          <w:i/>
          <w:lang w:val="en-US"/>
        </w:rPr>
        <w:t>Journal of Counseling Psychology</w:t>
      </w:r>
      <w:r w:rsidR="00054C9B" w:rsidRPr="00DC5B6A">
        <w:rPr>
          <w:lang w:val="en-US"/>
        </w:rPr>
        <w:t xml:space="preserve">, </w:t>
      </w:r>
      <w:r w:rsidR="00054C9B" w:rsidRPr="00DC5B6A">
        <w:rPr>
          <w:i/>
          <w:lang w:val="en-US"/>
        </w:rPr>
        <w:t>37</w:t>
      </w:r>
      <w:r w:rsidRPr="00DC5B6A">
        <w:rPr>
          <w:lang w:val="en-US"/>
        </w:rPr>
        <w:t>, 98-106.</w:t>
      </w:r>
    </w:p>
    <w:p w:rsidR="006948B4" w:rsidRPr="00DC5B6A" w:rsidRDefault="006948B4" w:rsidP="00BD377B">
      <w:pPr>
        <w:spacing w:before="240" w:after="240" w:line="480" w:lineRule="auto"/>
        <w:ind w:left="567" w:hanging="567"/>
        <w:rPr>
          <w:lang w:val="en-US"/>
        </w:rPr>
      </w:pPr>
      <w:r w:rsidRPr="00DC5B6A">
        <w:rPr>
          <w:lang w:val="en-US"/>
        </w:rPr>
        <w:t>Vondracek, F. W., Lerner, R., &amp; Schulenberg, J. (1986</w:t>
      </w:r>
      <w:r w:rsidRPr="00DC5B6A">
        <w:rPr>
          <w:i/>
          <w:lang w:val="en-US"/>
        </w:rPr>
        <w:t>). Career Development: a life - span developmental approach</w:t>
      </w:r>
      <w:r w:rsidRPr="00DC5B6A">
        <w:rPr>
          <w:lang w:val="en-US"/>
        </w:rPr>
        <w:t>. London: Lawrence Erlbaum Associates.</w:t>
      </w:r>
    </w:p>
    <w:p w:rsidR="006948B4" w:rsidRPr="00DC5B6A" w:rsidRDefault="006948B4" w:rsidP="00BD377B">
      <w:pPr>
        <w:spacing w:before="240" w:after="240" w:line="480" w:lineRule="auto"/>
        <w:ind w:left="567" w:hanging="567"/>
        <w:rPr>
          <w:lang w:val="en-US"/>
        </w:rPr>
      </w:pPr>
      <w:r w:rsidRPr="00DC5B6A">
        <w:rPr>
          <w:lang w:val="en-US"/>
        </w:rPr>
        <w:t xml:space="preserve">Vondracek, F. W., &amp; Porfeli, E. J. (2008). Social contexts for career guidance throughout the world. Developmental-Contextual perspectives on career across the lifespan. In J. A. Athanasou &amp; R. V. </w:t>
      </w:r>
      <w:r w:rsidR="00B94832" w:rsidRPr="00DC5B6A">
        <w:rPr>
          <w:lang w:val="en-US"/>
        </w:rPr>
        <w:t>Esbroeck</w:t>
      </w:r>
      <w:r w:rsidRPr="00DC5B6A">
        <w:rPr>
          <w:lang w:val="en-US"/>
        </w:rPr>
        <w:t xml:space="preserve"> (Eds.), </w:t>
      </w:r>
      <w:r w:rsidRPr="00DC5B6A">
        <w:rPr>
          <w:i/>
          <w:lang w:val="en-US"/>
        </w:rPr>
        <w:t>International handbook of career guidance</w:t>
      </w:r>
      <w:r w:rsidRPr="00DC5B6A">
        <w:rPr>
          <w:lang w:val="en-US"/>
        </w:rPr>
        <w:t xml:space="preserve"> (pp. 209-225): Springer Science and Business Media.</w:t>
      </w:r>
    </w:p>
    <w:p w:rsidR="006948B4" w:rsidRPr="00DC5B6A" w:rsidRDefault="006948B4" w:rsidP="00BD377B">
      <w:pPr>
        <w:spacing w:before="240" w:after="240" w:line="480" w:lineRule="auto"/>
        <w:ind w:left="567" w:hanging="567"/>
        <w:rPr>
          <w:lang w:val="en-US"/>
        </w:rPr>
      </w:pPr>
      <w:r w:rsidRPr="00DC5B6A">
        <w:rPr>
          <w:lang w:val="en-US"/>
        </w:rPr>
        <w:lastRenderedPageBreak/>
        <w:t xml:space="preserve">Watts, A. G. (1996). Experienced-based learning about work. In A. G. Watts &amp; B. Law &amp; J. Killeen &amp; J. Kidd &amp; R. Hawthorn (Eds.), </w:t>
      </w:r>
      <w:r w:rsidRPr="00DC5B6A">
        <w:rPr>
          <w:i/>
          <w:lang w:val="en-US"/>
        </w:rPr>
        <w:t>Rethinking Careers Education and Guidance: theory, policy and practice</w:t>
      </w:r>
      <w:r w:rsidRPr="00DC5B6A">
        <w:rPr>
          <w:lang w:val="en-US"/>
        </w:rPr>
        <w:t xml:space="preserve"> (pp. 233-246). London: Routledge.</w:t>
      </w:r>
    </w:p>
    <w:p w:rsidR="00BB3C97" w:rsidRPr="00DC5B6A" w:rsidRDefault="00BB3C97" w:rsidP="00613275">
      <w:pPr>
        <w:spacing w:before="240" w:after="240" w:line="480" w:lineRule="auto"/>
        <w:rPr>
          <w:lang w:val="en-US"/>
        </w:rPr>
      </w:pPr>
    </w:p>
    <w:sectPr w:rsidR="00BB3C97" w:rsidRPr="00DC5B6A" w:rsidSect="00AB1E43">
      <w:headerReference w:type="default" r:id="rId28"/>
      <w:footerReference w:type="default" r:id="rId29"/>
      <w:pgSz w:w="11906" w:h="16838"/>
      <w:pgMar w:top="1440" w:right="1440" w:bottom="1440" w:left="1440"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A3D" w:rsidRDefault="00317A3D" w:rsidP="002E2B8E">
      <w:r>
        <w:separator/>
      </w:r>
    </w:p>
  </w:endnote>
  <w:endnote w:type="continuationSeparator" w:id="0">
    <w:p w:rsidR="00317A3D" w:rsidRDefault="00317A3D" w:rsidP="002E2B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dvP40668">
    <w:panose1 w:val="00000000000000000000"/>
    <w:charset w:val="00"/>
    <w:family w:val="auto"/>
    <w:notTrueType/>
    <w:pitch w:val="default"/>
    <w:sig w:usb0="00000003" w:usb1="00000000" w:usb2="00000000" w:usb3="00000000" w:csb0="00000001" w:csb1="00000000"/>
  </w:font>
  <w:font w:name="AdvGulliv-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96B" w:rsidRDefault="0082796B">
    <w:pPr>
      <w:pStyle w:val="Rodap"/>
      <w:jc w:val="center"/>
    </w:pPr>
  </w:p>
  <w:p w:rsidR="0082796B" w:rsidRDefault="0082796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A3D" w:rsidRDefault="00317A3D" w:rsidP="002E2B8E">
      <w:r>
        <w:separator/>
      </w:r>
    </w:p>
  </w:footnote>
  <w:footnote w:type="continuationSeparator" w:id="0">
    <w:p w:rsidR="00317A3D" w:rsidRDefault="00317A3D" w:rsidP="002E2B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96B" w:rsidRPr="00B71D74" w:rsidRDefault="0082796B" w:rsidP="00AB1E43">
    <w:pPr>
      <w:pStyle w:val="Cabealho"/>
      <w:rPr>
        <w:sz w:val="22"/>
        <w:szCs w:val="22"/>
        <w:lang w:val="en-US"/>
      </w:rPr>
    </w:pPr>
    <w:r w:rsidRPr="00AB1E43">
      <w:rPr>
        <w:sz w:val="22"/>
        <w:szCs w:val="22"/>
        <w:lang w:val="en-US"/>
      </w:rPr>
      <w:t xml:space="preserve">VOCATIONAL PROFILES AND INTERNSHIP QUALITY      </w:t>
    </w:r>
    <w:r>
      <w:rPr>
        <w:sz w:val="22"/>
        <w:szCs w:val="22"/>
        <w:lang w:val="en-US"/>
      </w:rPr>
      <w:t xml:space="preserve">                                             </w:t>
    </w:r>
    <w:r w:rsidRPr="00AB1E43">
      <w:rPr>
        <w:sz w:val="22"/>
        <w:szCs w:val="22"/>
        <w:lang w:val="en-US"/>
      </w:rPr>
      <w:t xml:space="preserve"> </w:t>
    </w:r>
    <w:r w:rsidR="004B3A0B" w:rsidRPr="00AB1E43">
      <w:rPr>
        <w:sz w:val="22"/>
        <w:szCs w:val="22"/>
      </w:rPr>
      <w:fldChar w:fldCharType="begin"/>
    </w:r>
    <w:r w:rsidRPr="00AB1E43">
      <w:rPr>
        <w:sz w:val="22"/>
        <w:szCs w:val="22"/>
        <w:lang w:val="en-US"/>
      </w:rPr>
      <w:instrText xml:space="preserve"> PAGE   \* MERGEFORMAT </w:instrText>
    </w:r>
    <w:r w:rsidR="004B3A0B" w:rsidRPr="00AB1E43">
      <w:rPr>
        <w:sz w:val="22"/>
        <w:szCs w:val="22"/>
      </w:rPr>
      <w:fldChar w:fldCharType="separate"/>
    </w:r>
    <w:r w:rsidR="00A63147">
      <w:rPr>
        <w:noProof/>
        <w:sz w:val="22"/>
        <w:szCs w:val="22"/>
        <w:lang w:val="en-US"/>
      </w:rPr>
      <w:t>30</w:t>
    </w:r>
    <w:r w:rsidR="004B3A0B" w:rsidRPr="00AB1E43">
      <w:rPr>
        <w:sz w:val="22"/>
        <w:szCs w:val="22"/>
      </w:rPr>
      <w:fldChar w:fldCharType="end"/>
    </w:r>
  </w:p>
  <w:p w:rsidR="0082796B" w:rsidRPr="001D47A3" w:rsidRDefault="0082796B">
    <w:pPr>
      <w:pStyle w:val="Cabealho"/>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F194D"/>
    <w:multiLevelType w:val="hybridMultilevel"/>
    <w:tmpl w:val="055A91A6"/>
    <w:lvl w:ilvl="0" w:tplc="9EB61B0C">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1EE74BD8"/>
    <w:multiLevelType w:val="hybridMultilevel"/>
    <w:tmpl w:val="AC129878"/>
    <w:lvl w:ilvl="0" w:tplc="0816000F">
      <w:start w:val="1"/>
      <w:numFmt w:val="decimal"/>
      <w:lvlText w:val="%1."/>
      <w:lvlJc w:val="left"/>
      <w:pPr>
        <w:tabs>
          <w:tab w:val="num" w:pos="720"/>
        </w:tabs>
        <w:ind w:left="720" w:hanging="360"/>
      </w:p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
    <w:nsid w:val="43357887"/>
    <w:multiLevelType w:val="multilevel"/>
    <w:tmpl w:val="D97641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4AE61C3B"/>
    <w:multiLevelType w:val="hybridMultilevel"/>
    <w:tmpl w:val="63DA1AC8"/>
    <w:lvl w:ilvl="0" w:tplc="BFFCB5FA">
      <w:start w:val="1"/>
      <w:numFmt w:val="bullet"/>
      <w:lvlText w:val=""/>
      <w:lvlJc w:val="left"/>
      <w:pPr>
        <w:tabs>
          <w:tab w:val="num" w:pos="2340"/>
        </w:tabs>
        <w:ind w:left="2340" w:hanging="360"/>
      </w:pPr>
      <w:rPr>
        <w:rFonts w:ascii="Wingdings" w:eastAsia="Calibri" w:hAnsi="Wingdings" w:cs="Times New Roman"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4">
    <w:nsid w:val="4F3310FD"/>
    <w:multiLevelType w:val="hybridMultilevel"/>
    <w:tmpl w:val="F6163862"/>
    <w:lvl w:ilvl="0" w:tplc="BFFCB5FA">
      <w:start w:val="1"/>
      <w:numFmt w:val="bullet"/>
      <w:lvlText w:val=""/>
      <w:lvlJc w:val="left"/>
      <w:pPr>
        <w:tabs>
          <w:tab w:val="num" w:pos="2340"/>
        </w:tabs>
        <w:ind w:left="2340" w:hanging="360"/>
      </w:pPr>
      <w:rPr>
        <w:rFonts w:ascii="Wingdings" w:eastAsia="Calibri" w:hAnsi="Wingdings" w:cs="Times New Roman"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5">
    <w:nsid w:val="66F35689"/>
    <w:multiLevelType w:val="hybridMultilevel"/>
    <w:tmpl w:val="247633B0"/>
    <w:lvl w:ilvl="0" w:tplc="0816000F">
      <w:start w:val="1"/>
      <w:numFmt w:val="decimal"/>
      <w:lvlText w:val="%1."/>
      <w:lvlJc w:val="left"/>
      <w:pPr>
        <w:tabs>
          <w:tab w:val="num" w:pos="720"/>
        </w:tabs>
        <w:ind w:left="720" w:hanging="360"/>
      </w:p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6">
    <w:nsid w:val="6C7F03B2"/>
    <w:multiLevelType w:val="hybridMultilevel"/>
    <w:tmpl w:val="35C2BD58"/>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7">
    <w:nsid w:val="714F25AC"/>
    <w:multiLevelType w:val="hybridMultilevel"/>
    <w:tmpl w:val="C43A78C6"/>
    <w:lvl w:ilvl="0" w:tplc="0816000F">
      <w:start w:val="1"/>
      <w:numFmt w:val="decimal"/>
      <w:lvlText w:val="%1."/>
      <w:lvlJc w:val="left"/>
      <w:pPr>
        <w:tabs>
          <w:tab w:val="num" w:pos="720"/>
        </w:tabs>
        <w:ind w:left="720" w:hanging="360"/>
      </w:p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8">
    <w:nsid w:val="71D706EF"/>
    <w:multiLevelType w:val="hybridMultilevel"/>
    <w:tmpl w:val="EB5244A2"/>
    <w:lvl w:ilvl="0" w:tplc="8A9E62C8">
      <w:start w:val="1"/>
      <w:numFmt w:val="lowerLetter"/>
      <w:lvlText w:val="%1)"/>
      <w:lvlJc w:val="left"/>
      <w:pPr>
        <w:tabs>
          <w:tab w:val="num" w:pos="1065"/>
        </w:tabs>
        <w:ind w:left="1065" w:hanging="360"/>
      </w:pPr>
      <w:rPr>
        <w:rFonts w:hint="default"/>
      </w:rPr>
    </w:lvl>
    <w:lvl w:ilvl="1" w:tplc="08160019" w:tentative="1">
      <w:start w:val="1"/>
      <w:numFmt w:val="lowerLetter"/>
      <w:lvlText w:val="%2."/>
      <w:lvlJc w:val="left"/>
      <w:pPr>
        <w:tabs>
          <w:tab w:val="num" w:pos="1785"/>
        </w:tabs>
        <w:ind w:left="1785" w:hanging="360"/>
      </w:pPr>
    </w:lvl>
    <w:lvl w:ilvl="2" w:tplc="0816001B" w:tentative="1">
      <w:start w:val="1"/>
      <w:numFmt w:val="lowerRoman"/>
      <w:lvlText w:val="%3."/>
      <w:lvlJc w:val="right"/>
      <w:pPr>
        <w:tabs>
          <w:tab w:val="num" w:pos="2505"/>
        </w:tabs>
        <w:ind w:left="2505" w:hanging="180"/>
      </w:pPr>
    </w:lvl>
    <w:lvl w:ilvl="3" w:tplc="0816000F" w:tentative="1">
      <w:start w:val="1"/>
      <w:numFmt w:val="decimal"/>
      <w:lvlText w:val="%4."/>
      <w:lvlJc w:val="left"/>
      <w:pPr>
        <w:tabs>
          <w:tab w:val="num" w:pos="3225"/>
        </w:tabs>
        <w:ind w:left="3225" w:hanging="360"/>
      </w:pPr>
    </w:lvl>
    <w:lvl w:ilvl="4" w:tplc="08160019" w:tentative="1">
      <w:start w:val="1"/>
      <w:numFmt w:val="lowerLetter"/>
      <w:lvlText w:val="%5."/>
      <w:lvlJc w:val="left"/>
      <w:pPr>
        <w:tabs>
          <w:tab w:val="num" w:pos="3945"/>
        </w:tabs>
        <w:ind w:left="3945" w:hanging="360"/>
      </w:pPr>
    </w:lvl>
    <w:lvl w:ilvl="5" w:tplc="0816001B" w:tentative="1">
      <w:start w:val="1"/>
      <w:numFmt w:val="lowerRoman"/>
      <w:lvlText w:val="%6."/>
      <w:lvlJc w:val="right"/>
      <w:pPr>
        <w:tabs>
          <w:tab w:val="num" w:pos="4665"/>
        </w:tabs>
        <w:ind w:left="4665" w:hanging="180"/>
      </w:pPr>
    </w:lvl>
    <w:lvl w:ilvl="6" w:tplc="0816000F" w:tentative="1">
      <w:start w:val="1"/>
      <w:numFmt w:val="decimal"/>
      <w:lvlText w:val="%7."/>
      <w:lvlJc w:val="left"/>
      <w:pPr>
        <w:tabs>
          <w:tab w:val="num" w:pos="5385"/>
        </w:tabs>
        <w:ind w:left="5385" w:hanging="360"/>
      </w:pPr>
    </w:lvl>
    <w:lvl w:ilvl="7" w:tplc="08160019" w:tentative="1">
      <w:start w:val="1"/>
      <w:numFmt w:val="lowerLetter"/>
      <w:lvlText w:val="%8."/>
      <w:lvlJc w:val="left"/>
      <w:pPr>
        <w:tabs>
          <w:tab w:val="num" w:pos="6105"/>
        </w:tabs>
        <w:ind w:left="6105" w:hanging="360"/>
      </w:pPr>
    </w:lvl>
    <w:lvl w:ilvl="8" w:tplc="0816001B" w:tentative="1">
      <w:start w:val="1"/>
      <w:numFmt w:val="lowerRoman"/>
      <w:lvlText w:val="%9."/>
      <w:lvlJc w:val="right"/>
      <w:pPr>
        <w:tabs>
          <w:tab w:val="num" w:pos="6825"/>
        </w:tabs>
        <w:ind w:left="6825" w:hanging="180"/>
      </w:pPr>
    </w:lvl>
  </w:abstractNum>
  <w:abstractNum w:abstractNumId="9">
    <w:nsid w:val="7F4F41C1"/>
    <w:multiLevelType w:val="multilevel"/>
    <w:tmpl w:val="7D6E82C4"/>
    <w:lvl w:ilvl="0">
      <w:start w:val="6"/>
      <w:numFmt w:val="decimal"/>
      <w:lvlText w:val="%1."/>
      <w:lvlJc w:val="left"/>
      <w:pPr>
        <w:tabs>
          <w:tab w:val="num" w:pos="540"/>
        </w:tabs>
        <w:ind w:left="540" w:hanging="540"/>
      </w:pPr>
      <w:rPr>
        <w:rFonts w:hint="default"/>
        <w:i/>
      </w:rPr>
    </w:lvl>
    <w:lvl w:ilvl="1">
      <w:start w:val="3"/>
      <w:numFmt w:val="decimal"/>
      <w:lvlText w:val="%1.%2."/>
      <w:lvlJc w:val="left"/>
      <w:pPr>
        <w:tabs>
          <w:tab w:val="num" w:pos="892"/>
        </w:tabs>
        <w:ind w:left="892" w:hanging="540"/>
      </w:pPr>
      <w:rPr>
        <w:rFonts w:hint="default"/>
        <w:i/>
      </w:rPr>
    </w:lvl>
    <w:lvl w:ilvl="2">
      <w:start w:val="1"/>
      <w:numFmt w:val="decimal"/>
      <w:lvlText w:val="%1.%2.%3."/>
      <w:lvlJc w:val="left"/>
      <w:pPr>
        <w:tabs>
          <w:tab w:val="num" w:pos="1424"/>
        </w:tabs>
        <w:ind w:left="1424" w:hanging="720"/>
      </w:pPr>
      <w:rPr>
        <w:rFonts w:hint="default"/>
        <w:i/>
      </w:rPr>
    </w:lvl>
    <w:lvl w:ilvl="3">
      <w:start w:val="1"/>
      <w:numFmt w:val="decimal"/>
      <w:lvlText w:val="%1.%2.%3.%4."/>
      <w:lvlJc w:val="left"/>
      <w:pPr>
        <w:tabs>
          <w:tab w:val="num" w:pos="1776"/>
        </w:tabs>
        <w:ind w:left="1776" w:hanging="720"/>
      </w:pPr>
      <w:rPr>
        <w:rFonts w:hint="default"/>
        <w:i/>
      </w:rPr>
    </w:lvl>
    <w:lvl w:ilvl="4">
      <w:start w:val="1"/>
      <w:numFmt w:val="decimal"/>
      <w:lvlText w:val="%1.%2.%3.%4.%5."/>
      <w:lvlJc w:val="left"/>
      <w:pPr>
        <w:tabs>
          <w:tab w:val="num" w:pos="2488"/>
        </w:tabs>
        <w:ind w:left="2488" w:hanging="1080"/>
      </w:pPr>
      <w:rPr>
        <w:rFonts w:hint="default"/>
        <w:i/>
      </w:rPr>
    </w:lvl>
    <w:lvl w:ilvl="5">
      <w:start w:val="1"/>
      <w:numFmt w:val="decimal"/>
      <w:lvlText w:val="%1.%2.%3.%4.%5.%6."/>
      <w:lvlJc w:val="left"/>
      <w:pPr>
        <w:tabs>
          <w:tab w:val="num" w:pos="2840"/>
        </w:tabs>
        <w:ind w:left="2840" w:hanging="1080"/>
      </w:pPr>
      <w:rPr>
        <w:rFonts w:hint="default"/>
        <w:i/>
      </w:rPr>
    </w:lvl>
    <w:lvl w:ilvl="6">
      <w:start w:val="1"/>
      <w:numFmt w:val="decimal"/>
      <w:lvlText w:val="%1.%2.%3.%4.%5.%6.%7."/>
      <w:lvlJc w:val="left"/>
      <w:pPr>
        <w:tabs>
          <w:tab w:val="num" w:pos="3552"/>
        </w:tabs>
        <w:ind w:left="3552" w:hanging="1440"/>
      </w:pPr>
      <w:rPr>
        <w:rFonts w:hint="default"/>
        <w:i/>
      </w:rPr>
    </w:lvl>
    <w:lvl w:ilvl="7">
      <w:start w:val="1"/>
      <w:numFmt w:val="decimal"/>
      <w:lvlText w:val="%1.%2.%3.%4.%5.%6.%7.%8."/>
      <w:lvlJc w:val="left"/>
      <w:pPr>
        <w:tabs>
          <w:tab w:val="num" w:pos="3904"/>
        </w:tabs>
        <w:ind w:left="3904" w:hanging="1440"/>
      </w:pPr>
      <w:rPr>
        <w:rFonts w:hint="default"/>
        <w:i/>
      </w:rPr>
    </w:lvl>
    <w:lvl w:ilvl="8">
      <w:start w:val="1"/>
      <w:numFmt w:val="decimal"/>
      <w:lvlText w:val="%1.%2.%3.%4.%5.%6.%7.%8.%9."/>
      <w:lvlJc w:val="left"/>
      <w:pPr>
        <w:tabs>
          <w:tab w:val="num" w:pos="4616"/>
        </w:tabs>
        <w:ind w:left="4616" w:hanging="1800"/>
      </w:pPr>
      <w:rPr>
        <w:rFonts w:hint="default"/>
        <w:i/>
      </w:rPr>
    </w:lvl>
  </w:abstractNum>
  <w:num w:numId="1">
    <w:abstractNumId w:val="8"/>
  </w:num>
  <w:num w:numId="2">
    <w:abstractNumId w:val="9"/>
  </w:num>
  <w:num w:numId="3">
    <w:abstractNumId w:val="4"/>
  </w:num>
  <w:num w:numId="4">
    <w:abstractNumId w:val="3"/>
  </w:num>
  <w:num w:numId="5">
    <w:abstractNumId w:val="5"/>
  </w:num>
  <w:num w:numId="6">
    <w:abstractNumId w:val="1"/>
  </w:num>
  <w:num w:numId="7">
    <w:abstractNumId w:val="7"/>
  </w:num>
  <w:num w:numId="8">
    <w:abstractNumId w:val="6"/>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E2B8E"/>
    <w:rsid w:val="00005AB3"/>
    <w:rsid w:val="000077C6"/>
    <w:rsid w:val="00012EE9"/>
    <w:rsid w:val="000213B3"/>
    <w:rsid w:val="00025C1A"/>
    <w:rsid w:val="000276DE"/>
    <w:rsid w:val="00031651"/>
    <w:rsid w:val="00031B3A"/>
    <w:rsid w:val="000366D5"/>
    <w:rsid w:val="00040D6B"/>
    <w:rsid w:val="00041612"/>
    <w:rsid w:val="000440C4"/>
    <w:rsid w:val="00047817"/>
    <w:rsid w:val="00054C0D"/>
    <w:rsid w:val="00054C9B"/>
    <w:rsid w:val="00056ECB"/>
    <w:rsid w:val="0006346C"/>
    <w:rsid w:val="00064C4A"/>
    <w:rsid w:val="00072AE4"/>
    <w:rsid w:val="00074472"/>
    <w:rsid w:val="00074907"/>
    <w:rsid w:val="000807FD"/>
    <w:rsid w:val="00081634"/>
    <w:rsid w:val="000934CF"/>
    <w:rsid w:val="000944CD"/>
    <w:rsid w:val="000C0EA1"/>
    <w:rsid w:val="000C1D61"/>
    <w:rsid w:val="000D4CD1"/>
    <w:rsid w:val="000E2F79"/>
    <w:rsid w:val="000E36ED"/>
    <w:rsid w:val="000F2986"/>
    <w:rsid w:val="000F461D"/>
    <w:rsid w:val="000F4C5D"/>
    <w:rsid w:val="001066C1"/>
    <w:rsid w:val="00114A6A"/>
    <w:rsid w:val="00117497"/>
    <w:rsid w:val="00122FD9"/>
    <w:rsid w:val="001349B6"/>
    <w:rsid w:val="00145AD4"/>
    <w:rsid w:val="0014716E"/>
    <w:rsid w:val="00147438"/>
    <w:rsid w:val="00154A8C"/>
    <w:rsid w:val="0016617E"/>
    <w:rsid w:val="00170ADF"/>
    <w:rsid w:val="001720DA"/>
    <w:rsid w:val="00172F00"/>
    <w:rsid w:val="0017521A"/>
    <w:rsid w:val="0018447F"/>
    <w:rsid w:val="00185522"/>
    <w:rsid w:val="00190F4F"/>
    <w:rsid w:val="00191782"/>
    <w:rsid w:val="00193964"/>
    <w:rsid w:val="00196F06"/>
    <w:rsid w:val="001A7645"/>
    <w:rsid w:val="001B0AF2"/>
    <w:rsid w:val="001B13DF"/>
    <w:rsid w:val="001B25C6"/>
    <w:rsid w:val="001B48B4"/>
    <w:rsid w:val="001D06C4"/>
    <w:rsid w:val="001D1B69"/>
    <w:rsid w:val="001D20A3"/>
    <w:rsid w:val="001D47A3"/>
    <w:rsid w:val="001E4CD0"/>
    <w:rsid w:val="00211151"/>
    <w:rsid w:val="0022074E"/>
    <w:rsid w:val="002247CD"/>
    <w:rsid w:val="00227633"/>
    <w:rsid w:val="00227979"/>
    <w:rsid w:val="00261BC9"/>
    <w:rsid w:val="00264DA2"/>
    <w:rsid w:val="002744E0"/>
    <w:rsid w:val="0027625E"/>
    <w:rsid w:val="002778D7"/>
    <w:rsid w:val="002908CE"/>
    <w:rsid w:val="002943B9"/>
    <w:rsid w:val="002A128C"/>
    <w:rsid w:val="002B17E6"/>
    <w:rsid w:val="002B2D66"/>
    <w:rsid w:val="002B4085"/>
    <w:rsid w:val="002C1DA9"/>
    <w:rsid w:val="002C5CF4"/>
    <w:rsid w:val="002D57E8"/>
    <w:rsid w:val="002E2B8E"/>
    <w:rsid w:val="002E2CFD"/>
    <w:rsid w:val="002E4DC5"/>
    <w:rsid w:val="002F675D"/>
    <w:rsid w:val="002F77FA"/>
    <w:rsid w:val="00301CCE"/>
    <w:rsid w:val="00303E6F"/>
    <w:rsid w:val="00307A8B"/>
    <w:rsid w:val="00310A61"/>
    <w:rsid w:val="00317A3D"/>
    <w:rsid w:val="0032376E"/>
    <w:rsid w:val="00330B3F"/>
    <w:rsid w:val="00332550"/>
    <w:rsid w:val="00332A6F"/>
    <w:rsid w:val="00332EDA"/>
    <w:rsid w:val="00334D88"/>
    <w:rsid w:val="003366F0"/>
    <w:rsid w:val="00336763"/>
    <w:rsid w:val="00344601"/>
    <w:rsid w:val="00346512"/>
    <w:rsid w:val="003469D1"/>
    <w:rsid w:val="00352CDE"/>
    <w:rsid w:val="00355F31"/>
    <w:rsid w:val="00367857"/>
    <w:rsid w:val="00376F43"/>
    <w:rsid w:val="00377A8B"/>
    <w:rsid w:val="00382D11"/>
    <w:rsid w:val="0038517A"/>
    <w:rsid w:val="00391F1F"/>
    <w:rsid w:val="003A2E87"/>
    <w:rsid w:val="003A32E1"/>
    <w:rsid w:val="003A4F3F"/>
    <w:rsid w:val="003C1610"/>
    <w:rsid w:val="003C28DC"/>
    <w:rsid w:val="003C2ACE"/>
    <w:rsid w:val="003D2721"/>
    <w:rsid w:val="003D7103"/>
    <w:rsid w:val="003D7F6A"/>
    <w:rsid w:val="003E0B34"/>
    <w:rsid w:val="003F4408"/>
    <w:rsid w:val="003F7C47"/>
    <w:rsid w:val="00400E2F"/>
    <w:rsid w:val="0041688A"/>
    <w:rsid w:val="00430574"/>
    <w:rsid w:val="00431D81"/>
    <w:rsid w:val="00436A46"/>
    <w:rsid w:val="00437C2F"/>
    <w:rsid w:val="004402CE"/>
    <w:rsid w:val="00444BF8"/>
    <w:rsid w:val="00464F9A"/>
    <w:rsid w:val="00467C3D"/>
    <w:rsid w:val="0047332B"/>
    <w:rsid w:val="004829A4"/>
    <w:rsid w:val="0048672A"/>
    <w:rsid w:val="004A446A"/>
    <w:rsid w:val="004B0D4B"/>
    <w:rsid w:val="004B0F93"/>
    <w:rsid w:val="004B269D"/>
    <w:rsid w:val="004B3A0B"/>
    <w:rsid w:val="004B48D5"/>
    <w:rsid w:val="004C04EF"/>
    <w:rsid w:val="004C4B65"/>
    <w:rsid w:val="004D2354"/>
    <w:rsid w:val="004D4779"/>
    <w:rsid w:val="004D4DDE"/>
    <w:rsid w:val="004D6229"/>
    <w:rsid w:val="004E2002"/>
    <w:rsid w:val="004E7B89"/>
    <w:rsid w:val="004F010B"/>
    <w:rsid w:val="004F15D3"/>
    <w:rsid w:val="0050004A"/>
    <w:rsid w:val="00502602"/>
    <w:rsid w:val="005030F9"/>
    <w:rsid w:val="00507057"/>
    <w:rsid w:val="00507E17"/>
    <w:rsid w:val="00513B18"/>
    <w:rsid w:val="0051613F"/>
    <w:rsid w:val="00522FD2"/>
    <w:rsid w:val="00527551"/>
    <w:rsid w:val="00531A65"/>
    <w:rsid w:val="00533FED"/>
    <w:rsid w:val="005451F7"/>
    <w:rsid w:val="00546747"/>
    <w:rsid w:val="0055205A"/>
    <w:rsid w:val="00553A45"/>
    <w:rsid w:val="005631D2"/>
    <w:rsid w:val="0056472E"/>
    <w:rsid w:val="00564EA2"/>
    <w:rsid w:val="0057039D"/>
    <w:rsid w:val="005743D0"/>
    <w:rsid w:val="005749E5"/>
    <w:rsid w:val="0058158D"/>
    <w:rsid w:val="00584FDD"/>
    <w:rsid w:val="0059090E"/>
    <w:rsid w:val="00596FF4"/>
    <w:rsid w:val="005A3224"/>
    <w:rsid w:val="005A4334"/>
    <w:rsid w:val="005A4D64"/>
    <w:rsid w:val="005A756B"/>
    <w:rsid w:val="005B3F1D"/>
    <w:rsid w:val="005C2881"/>
    <w:rsid w:val="005D0487"/>
    <w:rsid w:val="005D3610"/>
    <w:rsid w:val="005D54DC"/>
    <w:rsid w:val="005E53AE"/>
    <w:rsid w:val="005E5E78"/>
    <w:rsid w:val="006075CC"/>
    <w:rsid w:val="00613275"/>
    <w:rsid w:val="00620314"/>
    <w:rsid w:val="00620669"/>
    <w:rsid w:val="00621C7B"/>
    <w:rsid w:val="006303C9"/>
    <w:rsid w:val="0063069B"/>
    <w:rsid w:val="00630F6A"/>
    <w:rsid w:val="0063758B"/>
    <w:rsid w:val="00642A6E"/>
    <w:rsid w:val="00644437"/>
    <w:rsid w:val="00646244"/>
    <w:rsid w:val="006720E6"/>
    <w:rsid w:val="006739E3"/>
    <w:rsid w:val="006941FB"/>
    <w:rsid w:val="006948B4"/>
    <w:rsid w:val="006A031E"/>
    <w:rsid w:val="006A0D97"/>
    <w:rsid w:val="006A3FD7"/>
    <w:rsid w:val="006A4D68"/>
    <w:rsid w:val="006B2271"/>
    <w:rsid w:val="006C2A37"/>
    <w:rsid w:val="006C3857"/>
    <w:rsid w:val="006C3C83"/>
    <w:rsid w:val="006D2CFC"/>
    <w:rsid w:val="006D7F32"/>
    <w:rsid w:val="006E0424"/>
    <w:rsid w:val="006E47F1"/>
    <w:rsid w:val="006F34EE"/>
    <w:rsid w:val="006F4A1A"/>
    <w:rsid w:val="006F4B0D"/>
    <w:rsid w:val="006F7A0F"/>
    <w:rsid w:val="00700021"/>
    <w:rsid w:val="00700049"/>
    <w:rsid w:val="00715974"/>
    <w:rsid w:val="00717FC5"/>
    <w:rsid w:val="00722BA0"/>
    <w:rsid w:val="00731E1E"/>
    <w:rsid w:val="00740C3F"/>
    <w:rsid w:val="00742733"/>
    <w:rsid w:val="007501F6"/>
    <w:rsid w:val="00752B09"/>
    <w:rsid w:val="007562B5"/>
    <w:rsid w:val="007630A9"/>
    <w:rsid w:val="007640A5"/>
    <w:rsid w:val="00772A43"/>
    <w:rsid w:val="00795C5C"/>
    <w:rsid w:val="007A3695"/>
    <w:rsid w:val="007A604A"/>
    <w:rsid w:val="007A6DCF"/>
    <w:rsid w:val="007B72C8"/>
    <w:rsid w:val="007B7C8D"/>
    <w:rsid w:val="007C444C"/>
    <w:rsid w:val="007C5176"/>
    <w:rsid w:val="007C6964"/>
    <w:rsid w:val="007D0DEC"/>
    <w:rsid w:val="007D42A0"/>
    <w:rsid w:val="007D6F24"/>
    <w:rsid w:val="007D7217"/>
    <w:rsid w:val="007E1118"/>
    <w:rsid w:val="007E73D9"/>
    <w:rsid w:val="007F2ED5"/>
    <w:rsid w:val="007F57D9"/>
    <w:rsid w:val="008057AF"/>
    <w:rsid w:val="0081139F"/>
    <w:rsid w:val="00813C69"/>
    <w:rsid w:val="00816F72"/>
    <w:rsid w:val="0082796B"/>
    <w:rsid w:val="00835356"/>
    <w:rsid w:val="00843C21"/>
    <w:rsid w:val="0084560E"/>
    <w:rsid w:val="00845747"/>
    <w:rsid w:val="00847969"/>
    <w:rsid w:val="00854579"/>
    <w:rsid w:val="00891BA2"/>
    <w:rsid w:val="00891C5B"/>
    <w:rsid w:val="00897A06"/>
    <w:rsid w:val="008A1260"/>
    <w:rsid w:val="008A20D3"/>
    <w:rsid w:val="008B7084"/>
    <w:rsid w:val="008C14B1"/>
    <w:rsid w:val="008C32DD"/>
    <w:rsid w:val="008E0004"/>
    <w:rsid w:val="008E2769"/>
    <w:rsid w:val="008F0DF0"/>
    <w:rsid w:val="008F2A63"/>
    <w:rsid w:val="008F3090"/>
    <w:rsid w:val="00903FF3"/>
    <w:rsid w:val="009078B2"/>
    <w:rsid w:val="009264CD"/>
    <w:rsid w:val="00934314"/>
    <w:rsid w:val="00935BB2"/>
    <w:rsid w:val="00935C4C"/>
    <w:rsid w:val="009435B3"/>
    <w:rsid w:val="00944E86"/>
    <w:rsid w:val="009479FC"/>
    <w:rsid w:val="009516FC"/>
    <w:rsid w:val="0096294C"/>
    <w:rsid w:val="00963631"/>
    <w:rsid w:val="00966646"/>
    <w:rsid w:val="009673E5"/>
    <w:rsid w:val="00967931"/>
    <w:rsid w:val="00974C77"/>
    <w:rsid w:val="00977445"/>
    <w:rsid w:val="0098468A"/>
    <w:rsid w:val="00993420"/>
    <w:rsid w:val="009952DC"/>
    <w:rsid w:val="009B39D3"/>
    <w:rsid w:val="009E0020"/>
    <w:rsid w:val="009E47FE"/>
    <w:rsid w:val="009F07B3"/>
    <w:rsid w:val="00A01196"/>
    <w:rsid w:val="00A01848"/>
    <w:rsid w:val="00A0361F"/>
    <w:rsid w:val="00A10367"/>
    <w:rsid w:val="00A10770"/>
    <w:rsid w:val="00A1361E"/>
    <w:rsid w:val="00A13637"/>
    <w:rsid w:val="00A149EA"/>
    <w:rsid w:val="00A23AEA"/>
    <w:rsid w:val="00A24710"/>
    <w:rsid w:val="00A258E9"/>
    <w:rsid w:val="00A348DB"/>
    <w:rsid w:val="00A37CD2"/>
    <w:rsid w:val="00A46629"/>
    <w:rsid w:val="00A526A3"/>
    <w:rsid w:val="00A53B63"/>
    <w:rsid w:val="00A61897"/>
    <w:rsid w:val="00A63147"/>
    <w:rsid w:val="00A67D7D"/>
    <w:rsid w:val="00A7464B"/>
    <w:rsid w:val="00A7518F"/>
    <w:rsid w:val="00A7538A"/>
    <w:rsid w:val="00A83226"/>
    <w:rsid w:val="00AA0B95"/>
    <w:rsid w:val="00AA0CCC"/>
    <w:rsid w:val="00AB1E43"/>
    <w:rsid w:val="00AB76CD"/>
    <w:rsid w:val="00AC238C"/>
    <w:rsid w:val="00AC6B1C"/>
    <w:rsid w:val="00AD595E"/>
    <w:rsid w:val="00AE4F64"/>
    <w:rsid w:val="00AE7D51"/>
    <w:rsid w:val="00AF3922"/>
    <w:rsid w:val="00B161D9"/>
    <w:rsid w:val="00B20194"/>
    <w:rsid w:val="00B20AB1"/>
    <w:rsid w:val="00B23D72"/>
    <w:rsid w:val="00B23F3A"/>
    <w:rsid w:val="00B343E0"/>
    <w:rsid w:val="00B36A83"/>
    <w:rsid w:val="00B3788E"/>
    <w:rsid w:val="00B37CB1"/>
    <w:rsid w:val="00B42A4B"/>
    <w:rsid w:val="00B42E55"/>
    <w:rsid w:val="00B6056D"/>
    <w:rsid w:val="00B71D74"/>
    <w:rsid w:val="00B74A84"/>
    <w:rsid w:val="00B76EB6"/>
    <w:rsid w:val="00B903EC"/>
    <w:rsid w:val="00B92A1E"/>
    <w:rsid w:val="00B94832"/>
    <w:rsid w:val="00BA056E"/>
    <w:rsid w:val="00BA542D"/>
    <w:rsid w:val="00BB3C97"/>
    <w:rsid w:val="00BB6EC7"/>
    <w:rsid w:val="00BC7578"/>
    <w:rsid w:val="00BD377B"/>
    <w:rsid w:val="00BD47D0"/>
    <w:rsid w:val="00BD69C8"/>
    <w:rsid w:val="00BD7804"/>
    <w:rsid w:val="00BE1340"/>
    <w:rsid w:val="00BE4DCB"/>
    <w:rsid w:val="00BF1579"/>
    <w:rsid w:val="00BF3C7E"/>
    <w:rsid w:val="00C05A65"/>
    <w:rsid w:val="00C07C59"/>
    <w:rsid w:val="00C1118C"/>
    <w:rsid w:val="00C33F11"/>
    <w:rsid w:val="00C34DB6"/>
    <w:rsid w:val="00C35F9E"/>
    <w:rsid w:val="00C37836"/>
    <w:rsid w:val="00C43226"/>
    <w:rsid w:val="00C5312D"/>
    <w:rsid w:val="00C65AA4"/>
    <w:rsid w:val="00C65E93"/>
    <w:rsid w:val="00C87699"/>
    <w:rsid w:val="00CA3192"/>
    <w:rsid w:val="00CA3473"/>
    <w:rsid w:val="00CA49EF"/>
    <w:rsid w:val="00CA66A5"/>
    <w:rsid w:val="00CB4750"/>
    <w:rsid w:val="00CB796A"/>
    <w:rsid w:val="00CC281E"/>
    <w:rsid w:val="00CD42B6"/>
    <w:rsid w:val="00CE0652"/>
    <w:rsid w:val="00CE0D0D"/>
    <w:rsid w:val="00CF0D23"/>
    <w:rsid w:val="00D01D58"/>
    <w:rsid w:val="00D061F5"/>
    <w:rsid w:val="00D06ECA"/>
    <w:rsid w:val="00D12013"/>
    <w:rsid w:val="00D133C8"/>
    <w:rsid w:val="00D1675F"/>
    <w:rsid w:val="00D23974"/>
    <w:rsid w:val="00D45E3D"/>
    <w:rsid w:val="00D46123"/>
    <w:rsid w:val="00D47E82"/>
    <w:rsid w:val="00D508E2"/>
    <w:rsid w:val="00D50A7E"/>
    <w:rsid w:val="00D56167"/>
    <w:rsid w:val="00D57F80"/>
    <w:rsid w:val="00D65F70"/>
    <w:rsid w:val="00D670BB"/>
    <w:rsid w:val="00D970F2"/>
    <w:rsid w:val="00DA4570"/>
    <w:rsid w:val="00DA47EA"/>
    <w:rsid w:val="00DA5C06"/>
    <w:rsid w:val="00DC0A73"/>
    <w:rsid w:val="00DC5B6A"/>
    <w:rsid w:val="00DC6396"/>
    <w:rsid w:val="00DD0C3D"/>
    <w:rsid w:val="00DD1644"/>
    <w:rsid w:val="00DE331D"/>
    <w:rsid w:val="00E0040F"/>
    <w:rsid w:val="00E00CDE"/>
    <w:rsid w:val="00E02DD7"/>
    <w:rsid w:val="00E20321"/>
    <w:rsid w:val="00E20EDE"/>
    <w:rsid w:val="00E227FE"/>
    <w:rsid w:val="00E24A1B"/>
    <w:rsid w:val="00E25DF5"/>
    <w:rsid w:val="00E2769F"/>
    <w:rsid w:val="00E4162C"/>
    <w:rsid w:val="00E427DF"/>
    <w:rsid w:val="00E463A8"/>
    <w:rsid w:val="00E531C2"/>
    <w:rsid w:val="00E53773"/>
    <w:rsid w:val="00E550A4"/>
    <w:rsid w:val="00E5605B"/>
    <w:rsid w:val="00E659FF"/>
    <w:rsid w:val="00E66556"/>
    <w:rsid w:val="00E665A7"/>
    <w:rsid w:val="00E66D1D"/>
    <w:rsid w:val="00E67240"/>
    <w:rsid w:val="00E81E38"/>
    <w:rsid w:val="00E82A82"/>
    <w:rsid w:val="00E92977"/>
    <w:rsid w:val="00EB0DA4"/>
    <w:rsid w:val="00EB64B0"/>
    <w:rsid w:val="00ED22A5"/>
    <w:rsid w:val="00ED3CF9"/>
    <w:rsid w:val="00ED5767"/>
    <w:rsid w:val="00ED7BD0"/>
    <w:rsid w:val="00EE0567"/>
    <w:rsid w:val="00EE2961"/>
    <w:rsid w:val="00EF186C"/>
    <w:rsid w:val="00EF538E"/>
    <w:rsid w:val="00F03B07"/>
    <w:rsid w:val="00F045AB"/>
    <w:rsid w:val="00F04965"/>
    <w:rsid w:val="00F07C34"/>
    <w:rsid w:val="00F245B9"/>
    <w:rsid w:val="00F247A3"/>
    <w:rsid w:val="00F2717A"/>
    <w:rsid w:val="00F2758E"/>
    <w:rsid w:val="00F31439"/>
    <w:rsid w:val="00F42228"/>
    <w:rsid w:val="00F4477F"/>
    <w:rsid w:val="00F46145"/>
    <w:rsid w:val="00F46901"/>
    <w:rsid w:val="00F523F0"/>
    <w:rsid w:val="00F5520A"/>
    <w:rsid w:val="00F60595"/>
    <w:rsid w:val="00F610D0"/>
    <w:rsid w:val="00F8494C"/>
    <w:rsid w:val="00F94825"/>
    <w:rsid w:val="00F95840"/>
    <w:rsid w:val="00F97053"/>
    <w:rsid w:val="00F97BEC"/>
    <w:rsid w:val="00FA55F5"/>
    <w:rsid w:val="00FB2D05"/>
    <w:rsid w:val="00FC3243"/>
    <w:rsid w:val="00FD5334"/>
    <w:rsid w:val="00FD55C1"/>
    <w:rsid w:val="00FE0D86"/>
    <w:rsid w:val="00FE2A07"/>
    <w:rsid w:val="00FE3D35"/>
    <w:rsid w:val="00FE66BC"/>
    <w:rsid w:val="00FE6ACC"/>
    <w:rsid w:val="00FF062E"/>
    <w:rsid w:val="00FF2B63"/>
    <w:rsid w:val="00FF6352"/>
    <w:rsid w:val="00FF64B8"/>
    <w:rsid w:val="00FF6C23"/>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B8E"/>
    <w:rPr>
      <w:rFonts w:ascii="Times New Roman" w:eastAsia="Times New Roman" w:hAnsi="Times New Roman"/>
      <w:sz w:val="24"/>
      <w:szCs w:val="24"/>
    </w:rPr>
  </w:style>
  <w:style w:type="paragraph" w:styleId="Ttulo1">
    <w:name w:val="heading 1"/>
    <w:basedOn w:val="Normal"/>
    <w:next w:val="Normal"/>
    <w:link w:val="Ttulo1Carcter"/>
    <w:qFormat/>
    <w:rsid w:val="002E2B8E"/>
    <w:pPr>
      <w:keepNext/>
      <w:spacing w:line="480" w:lineRule="auto"/>
      <w:jc w:val="both"/>
      <w:outlineLvl w:val="0"/>
    </w:pPr>
    <w:rPr>
      <w:b/>
      <w:b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rsid w:val="002E2B8E"/>
    <w:rPr>
      <w:rFonts w:ascii="Times New Roman" w:eastAsia="Times New Roman" w:hAnsi="Times New Roman" w:cs="Times New Roman"/>
      <w:b/>
      <w:bCs/>
      <w:sz w:val="24"/>
      <w:szCs w:val="24"/>
      <w:lang w:eastAsia="pt-PT"/>
    </w:rPr>
  </w:style>
  <w:style w:type="paragraph" w:styleId="Corpodetexto">
    <w:name w:val="Body Text"/>
    <w:basedOn w:val="Normal"/>
    <w:link w:val="CorpodetextoCarcter"/>
    <w:semiHidden/>
    <w:rsid w:val="002E2B8E"/>
    <w:pPr>
      <w:spacing w:line="480" w:lineRule="auto"/>
      <w:jc w:val="both"/>
    </w:pPr>
  </w:style>
  <w:style w:type="character" w:customStyle="1" w:styleId="CorpodetextoCarcter">
    <w:name w:val="Corpo de texto Carácter"/>
    <w:basedOn w:val="Tipodeletrapredefinidodopargrafo"/>
    <w:link w:val="Corpodetexto"/>
    <w:semiHidden/>
    <w:rsid w:val="002E2B8E"/>
    <w:rPr>
      <w:rFonts w:ascii="Times New Roman" w:eastAsia="Times New Roman" w:hAnsi="Times New Roman" w:cs="Times New Roman"/>
      <w:sz w:val="24"/>
      <w:szCs w:val="24"/>
      <w:lang w:eastAsia="pt-PT"/>
    </w:rPr>
  </w:style>
  <w:style w:type="paragraph" w:styleId="Avanodecorpodetexto">
    <w:name w:val="Body Text Indent"/>
    <w:basedOn w:val="Normal"/>
    <w:link w:val="AvanodecorpodetextoCarcter"/>
    <w:semiHidden/>
    <w:rsid w:val="002E2B8E"/>
    <w:pPr>
      <w:spacing w:line="480" w:lineRule="auto"/>
      <w:ind w:firstLine="708"/>
      <w:jc w:val="both"/>
    </w:pPr>
  </w:style>
  <w:style w:type="character" w:customStyle="1" w:styleId="AvanodecorpodetextoCarcter">
    <w:name w:val="Avanço de corpo de texto Carácter"/>
    <w:basedOn w:val="Tipodeletrapredefinidodopargrafo"/>
    <w:link w:val="Avanodecorpodetexto"/>
    <w:semiHidden/>
    <w:rsid w:val="002E2B8E"/>
    <w:rPr>
      <w:rFonts w:ascii="Times New Roman" w:eastAsia="Times New Roman" w:hAnsi="Times New Roman" w:cs="Times New Roman"/>
      <w:sz w:val="24"/>
      <w:szCs w:val="24"/>
      <w:lang w:eastAsia="pt-PT"/>
    </w:rPr>
  </w:style>
  <w:style w:type="paragraph" w:styleId="Textodenotaderodap">
    <w:name w:val="footnote text"/>
    <w:basedOn w:val="Normal"/>
    <w:link w:val="TextodenotaderodapCarcter"/>
    <w:semiHidden/>
    <w:rsid w:val="002E2B8E"/>
    <w:rPr>
      <w:sz w:val="20"/>
      <w:szCs w:val="20"/>
    </w:rPr>
  </w:style>
  <w:style w:type="character" w:customStyle="1" w:styleId="TextodenotaderodapCarcter">
    <w:name w:val="Texto de nota de rodapé Carácter"/>
    <w:basedOn w:val="Tipodeletrapredefinidodopargrafo"/>
    <w:link w:val="Textodenotaderodap"/>
    <w:semiHidden/>
    <w:rsid w:val="002E2B8E"/>
    <w:rPr>
      <w:rFonts w:ascii="Times New Roman" w:eastAsia="Times New Roman" w:hAnsi="Times New Roman" w:cs="Times New Roman"/>
      <w:sz w:val="20"/>
      <w:szCs w:val="20"/>
      <w:lang w:eastAsia="pt-PT"/>
    </w:rPr>
  </w:style>
  <w:style w:type="character" w:styleId="Refdenotaderodap">
    <w:name w:val="footnote reference"/>
    <w:basedOn w:val="Tipodeletrapredefinidodopargrafo"/>
    <w:semiHidden/>
    <w:rsid w:val="002E2B8E"/>
    <w:rPr>
      <w:vertAlign w:val="superscript"/>
    </w:rPr>
  </w:style>
  <w:style w:type="paragraph" w:styleId="Cabealho">
    <w:name w:val="header"/>
    <w:basedOn w:val="Normal"/>
    <w:link w:val="CabealhoCarcter"/>
    <w:uiPriority w:val="99"/>
    <w:rsid w:val="002E2B8E"/>
    <w:pPr>
      <w:tabs>
        <w:tab w:val="center" w:pos="4252"/>
        <w:tab w:val="right" w:pos="8504"/>
      </w:tabs>
    </w:pPr>
  </w:style>
  <w:style w:type="character" w:customStyle="1" w:styleId="CabealhoCarcter">
    <w:name w:val="Cabeçalho Carácter"/>
    <w:basedOn w:val="Tipodeletrapredefinidodopargrafo"/>
    <w:link w:val="Cabealho"/>
    <w:uiPriority w:val="99"/>
    <w:rsid w:val="002E2B8E"/>
    <w:rPr>
      <w:rFonts w:ascii="Times New Roman" w:eastAsia="Times New Roman" w:hAnsi="Times New Roman" w:cs="Times New Roman"/>
      <w:sz w:val="24"/>
      <w:szCs w:val="24"/>
      <w:lang w:eastAsia="pt-PT"/>
    </w:rPr>
  </w:style>
  <w:style w:type="paragraph" w:styleId="Rodap">
    <w:name w:val="footer"/>
    <w:basedOn w:val="Normal"/>
    <w:link w:val="RodapCarcter"/>
    <w:uiPriority w:val="99"/>
    <w:rsid w:val="002E2B8E"/>
    <w:pPr>
      <w:tabs>
        <w:tab w:val="center" w:pos="4252"/>
        <w:tab w:val="right" w:pos="8504"/>
      </w:tabs>
    </w:pPr>
  </w:style>
  <w:style w:type="character" w:customStyle="1" w:styleId="RodapCarcter">
    <w:name w:val="Rodapé Carácter"/>
    <w:basedOn w:val="Tipodeletrapredefinidodopargrafo"/>
    <w:link w:val="Rodap"/>
    <w:uiPriority w:val="99"/>
    <w:rsid w:val="002E2B8E"/>
    <w:rPr>
      <w:rFonts w:ascii="Times New Roman" w:eastAsia="Times New Roman" w:hAnsi="Times New Roman" w:cs="Times New Roman"/>
      <w:sz w:val="24"/>
      <w:szCs w:val="24"/>
      <w:lang w:eastAsia="pt-PT"/>
    </w:rPr>
  </w:style>
  <w:style w:type="character" w:styleId="Refdecomentrio">
    <w:name w:val="annotation reference"/>
    <w:basedOn w:val="Tipodeletrapredefinidodopargrafo"/>
    <w:uiPriority w:val="99"/>
    <w:semiHidden/>
    <w:rsid w:val="002E2B8E"/>
    <w:rPr>
      <w:sz w:val="16"/>
      <w:szCs w:val="16"/>
    </w:rPr>
  </w:style>
  <w:style w:type="paragraph" w:styleId="Textodecomentrio">
    <w:name w:val="annotation text"/>
    <w:basedOn w:val="Normal"/>
    <w:link w:val="TextodecomentrioCarcter"/>
    <w:rsid w:val="002E2B8E"/>
    <w:rPr>
      <w:sz w:val="20"/>
      <w:szCs w:val="20"/>
    </w:rPr>
  </w:style>
  <w:style w:type="character" w:customStyle="1" w:styleId="TextodecomentrioCarcter">
    <w:name w:val="Texto de comentário Carácter"/>
    <w:basedOn w:val="Tipodeletrapredefinidodopargrafo"/>
    <w:link w:val="Textodecomentrio"/>
    <w:rsid w:val="002E2B8E"/>
    <w:rPr>
      <w:rFonts w:ascii="Times New Roman" w:eastAsia="Times New Roman" w:hAnsi="Times New Roman" w:cs="Times New Roman"/>
      <w:sz w:val="20"/>
      <w:szCs w:val="20"/>
      <w:lang w:eastAsia="pt-PT"/>
    </w:rPr>
  </w:style>
  <w:style w:type="paragraph" w:styleId="Avanodecorpodetexto2">
    <w:name w:val="Body Text Indent 2"/>
    <w:basedOn w:val="Normal"/>
    <w:link w:val="Avanodecorpodetexto2Carcter"/>
    <w:semiHidden/>
    <w:rsid w:val="002E2B8E"/>
    <w:pPr>
      <w:spacing w:line="480" w:lineRule="auto"/>
      <w:ind w:firstLine="708"/>
      <w:jc w:val="both"/>
    </w:pPr>
    <w:rPr>
      <w:b/>
      <w:bCs/>
    </w:rPr>
  </w:style>
  <w:style w:type="character" w:customStyle="1" w:styleId="Avanodecorpodetexto2Carcter">
    <w:name w:val="Avanço de corpo de texto 2 Carácter"/>
    <w:basedOn w:val="Tipodeletrapredefinidodopargrafo"/>
    <w:link w:val="Avanodecorpodetexto2"/>
    <w:semiHidden/>
    <w:rsid w:val="002E2B8E"/>
    <w:rPr>
      <w:rFonts w:ascii="Times New Roman" w:eastAsia="Times New Roman" w:hAnsi="Times New Roman" w:cs="Times New Roman"/>
      <w:b/>
      <w:bCs/>
      <w:sz w:val="24"/>
      <w:szCs w:val="24"/>
      <w:lang w:eastAsia="pt-PT"/>
    </w:rPr>
  </w:style>
  <w:style w:type="paragraph" w:styleId="Corpodetexto2">
    <w:name w:val="Body Text 2"/>
    <w:basedOn w:val="Normal"/>
    <w:link w:val="Corpodetexto2Carcter"/>
    <w:semiHidden/>
    <w:rsid w:val="002E2B8E"/>
    <w:pPr>
      <w:spacing w:line="480" w:lineRule="auto"/>
      <w:jc w:val="both"/>
    </w:pPr>
    <w:rPr>
      <w:b/>
      <w:bCs/>
    </w:rPr>
  </w:style>
  <w:style w:type="character" w:customStyle="1" w:styleId="Corpodetexto2Carcter">
    <w:name w:val="Corpo de texto 2 Carácter"/>
    <w:basedOn w:val="Tipodeletrapredefinidodopargrafo"/>
    <w:link w:val="Corpodetexto2"/>
    <w:semiHidden/>
    <w:rsid w:val="002E2B8E"/>
    <w:rPr>
      <w:rFonts w:ascii="Times New Roman" w:eastAsia="Times New Roman" w:hAnsi="Times New Roman" w:cs="Times New Roman"/>
      <w:b/>
      <w:bCs/>
      <w:sz w:val="24"/>
      <w:szCs w:val="24"/>
      <w:lang w:eastAsia="pt-PT"/>
    </w:rPr>
  </w:style>
  <w:style w:type="paragraph" w:styleId="Textodebalo">
    <w:name w:val="Balloon Text"/>
    <w:basedOn w:val="Normal"/>
    <w:link w:val="TextodebaloCarcter"/>
    <w:uiPriority w:val="99"/>
    <w:semiHidden/>
    <w:rsid w:val="002E2B8E"/>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2E2B8E"/>
    <w:rPr>
      <w:rFonts w:ascii="Tahoma" w:eastAsia="Times New Roman" w:hAnsi="Tahoma" w:cs="Tahoma"/>
      <w:sz w:val="16"/>
      <w:szCs w:val="16"/>
      <w:lang w:eastAsia="pt-PT"/>
    </w:rPr>
  </w:style>
  <w:style w:type="character" w:styleId="Nmerodepgina">
    <w:name w:val="page number"/>
    <w:basedOn w:val="Tipodeletrapredefinidodopargrafo"/>
    <w:semiHidden/>
    <w:rsid w:val="002E2B8E"/>
  </w:style>
  <w:style w:type="paragraph" w:styleId="Corpodetexto3">
    <w:name w:val="Body Text 3"/>
    <w:basedOn w:val="Normal"/>
    <w:link w:val="Corpodetexto3Carcter"/>
    <w:semiHidden/>
    <w:rsid w:val="002E2B8E"/>
    <w:pPr>
      <w:spacing w:line="480" w:lineRule="auto"/>
      <w:jc w:val="both"/>
    </w:pPr>
    <w:rPr>
      <w:sz w:val="28"/>
    </w:rPr>
  </w:style>
  <w:style w:type="character" w:customStyle="1" w:styleId="Corpodetexto3Carcter">
    <w:name w:val="Corpo de texto 3 Carácter"/>
    <w:basedOn w:val="Tipodeletrapredefinidodopargrafo"/>
    <w:link w:val="Corpodetexto3"/>
    <w:semiHidden/>
    <w:rsid w:val="002E2B8E"/>
    <w:rPr>
      <w:rFonts w:ascii="Times New Roman" w:eastAsia="Times New Roman" w:hAnsi="Times New Roman" w:cs="Times New Roman"/>
      <w:sz w:val="28"/>
      <w:szCs w:val="24"/>
      <w:lang w:eastAsia="pt-PT"/>
    </w:rPr>
  </w:style>
  <w:style w:type="paragraph" w:styleId="PargrafodaLista">
    <w:name w:val="List Paragraph"/>
    <w:basedOn w:val="Normal"/>
    <w:uiPriority w:val="34"/>
    <w:qFormat/>
    <w:rsid w:val="003F7C47"/>
    <w:pPr>
      <w:ind w:left="720"/>
      <w:contextualSpacing/>
    </w:pPr>
  </w:style>
  <w:style w:type="character" w:styleId="Hiperligao">
    <w:name w:val="Hyperlink"/>
    <w:basedOn w:val="Tipodeletrapredefinidodopargrafo"/>
    <w:uiPriority w:val="99"/>
    <w:unhideWhenUsed/>
    <w:rsid w:val="008B7084"/>
    <w:rPr>
      <w:color w:val="0000FF"/>
      <w:u w:val="single"/>
    </w:rPr>
  </w:style>
  <w:style w:type="character" w:customStyle="1" w:styleId="hit">
    <w:name w:val="hit"/>
    <w:basedOn w:val="Tipodeletrapredefinidodopargrafo"/>
    <w:rsid w:val="008B7084"/>
    <w:rPr>
      <w:shd w:val="clear" w:color="auto" w:fill="FFFF99"/>
    </w:rPr>
  </w:style>
  <w:style w:type="character" w:customStyle="1" w:styleId="refpreview1">
    <w:name w:val="refpreview1"/>
    <w:basedOn w:val="Tipodeletrapredefinidodopargrafo"/>
    <w:rsid w:val="008B7084"/>
    <w:rPr>
      <w:vanish/>
      <w:webHidden w:val="0"/>
      <w:shd w:val="clear" w:color="auto" w:fill="EEEEEE"/>
      <w:specVanish w:val="0"/>
    </w:rPr>
  </w:style>
  <w:style w:type="character" w:styleId="Forte">
    <w:name w:val="Strong"/>
    <w:basedOn w:val="Tipodeletrapredefinidodopargrafo"/>
    <w:uiPriority w:val="22"/>
    <w:qFormat/>
    <w:rsid w:val="008B7084"/>
    <w:rPr>
      <w:b/>
      <w:bCs/>
    </w:rPr>
  </w:style>
  <w:style w:type="character" w:customStyle="1" w:styleId="refplaceholder">
    <w:name w:val="refplaceholder"/>
    <w:basedOn w:val="Tipodeletrapredefinidodopargrafo"/>
    <w:rsid w:val="008B7084"/>
  </w:style>
  <w:style w:type="paragraph" w:styleId="Assuntodecomentrio">
    <w:name w:val="annotation subject"/>
    <w:basedOn w:val="Textodecomentrio"/>
    <w:next w:val="Textodecomentrio"/>
    <w:link w:val="AssuntodecomentrioCarcter"/>
    <w:uiPriority w:val="99"/>
    <w:semiHidden/>
    <w:unhideWhenUsed/>
    <w:rsid w:val="00D65F70"/>
    <w:pPr>
      <w:spacing w:after="200"/>
    </w:pPr>
    <w:rPr>
      <w:rFonts w:ascii="Calibri" w:eastAsia="Calibri" w:hAnsi="Calibri"/>
      <w:b/>
      <w:bCs/>
      <w:lang w:val="en-US" w:eastAsia="en-US"/>
    </w:rPr>
  </w:style>
  <w:style w:type="character" w:customStyle="1" w:styleId="AssuntodecomentrioCarcter">
    <w:name w:val="Assunto de comentário Carácter"/>
    <w:basedOn w:val="TextodecomentrioCarcter"/>
    <w:link w:val="Assuntodecomentrio"/>
    <w:uiPriority w:val="99"/>
    <w:semiHidden/>
    <w:rsid w:val="00D65F70"/>
    <w:rPr>
      <w:b/>
      <w:bCs/>
      <w:lang w:val="en-US"/>
    </w:rPr>
  </w:style>
  <w:style w:type="paragraph" w:styleId="Reviso">
    <w:name w:val="Revision"/>
    <w:hidden/>
    <w:uiPriority w:val="99"/>
    <w:semiHidden/>
    <w:rsid w:val="00D65F70"/>
    <w:rPr>
      <w:sz w:val="22"/>
      <w:szCs w:val="22"/>
      <w:lang w:eastAsia="en-US"/>
    </w:rPr>
  </w:style>
  <w:style w:type="character" w:customStyle="1" w:styleId="longtext1">
    <w:name w:val="long_text1"/>
    <w:basedOn w:val="Tipodeletrapredefinidodopargrafo"/>
    <w:rsid w:val="002E2CFD"/>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00187910800095X" TargetMode="External"/><Relationship Id="rId13" Type="http://schemas.openxmlformats.org/officeDocument/2006/relationships/hyperlink" Target="http://www.sciencedirect.com/science/article/pii/0001879189900341?_fmt=full&amp;_origin=&amp;md5=7bcf780d0ad55e08c858017474822c86" TargetMode="External"/><Relationship Id="rId18" Type="http://schemas.openxmlformats.org/officeDocument/2006/relationships/hyperlink" Target="http://www.sciencedirect.com/science/article/pii/S0001879105000497#hit280" TargetMode="External"/><Relationship Id="rId26" Type="http://schemas.openxmlformats.org/officeDocument/2006/relationships/hyperlink" Target="http://www.sciencedirect.com/science?_ob=RedirectURL&amp;_method=outwardLink&amp;_partnerName=655&amp;_eid=1-s2.0-S0001879105000497&amp;_origin=article&amp;_zone=art_page&amp;_targetURL=http%3A%2F%2Fwww.scopus.com%2Finward%2Frecord.url%3Feid%3D2-s2.0-0036352705%26partnerID%3D10%26rel%3DR3.0.0%26md5%3D2660ff9968773901d683b482600cf9b6&amp;_acct=C000057388&amp;_version=1&amp;_userid=2459650&amp;md5=2bd6db6a65c3091b3af433b57d67aed3" TargetMode="External"/><Relationship Id="rId3" Type="http://schemas.openxmlformats.org/officeDocument/2006/relationships/styles" Target="styles.xml"/><Relationship Id="rId21" Type="http://schemas.openxmlformats.org/officeDocument/2006/relationships/hyperlink" Target="http://www.sciencedirect.com/science/article/pii/S0001879105000497#hit283"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sciencedirect.com/science/article/pii/S0001879105000497" TargetMode="External"/><Relationship Id="rId25" Type="http://schemas.openxmlformats.org/officeDocument/2006/relationships/hyperlink" Target="http://www.sciencedirect.com/science/article/pii/S0001879105000497#hit287" TargetMode="External"/><Relationship Id="rId2" Type="http://schemas.openxmlformats.org/officeDocument/2006/relationships/numbering" Target="numbering.xml"/><Relationship Id="rId16" Type="http://schemas.openxmlformats.org/officeDocument/2006/relationships/hyperlink" Target="http://www.sciencedirect.com/science?_ob=RedirectURL&amp;_method=outwardLink&amp;_partnerName=655&amp;_eid=1-s2.0-S000187910800095X&amp;_origin=article&amp;_zone=art_page&amp;_targetURL=http%3A%2F%2Fwww.scopus.com%2Finward%2Frecord.url%3Feid%3D2-s2.0-38249024603%26partnerID%3D10%26rel%3DR3.0.0%26md5%3De46ce030983cf07142a2210c7ff5affa&amp;_acct=C000057388&amp;_version=1&amp;_userid=2459650&amp;md5=546fe52c84df5a17f491bc62c69ac673" TargetMode="External"/><Relationship Id="rId20" Type="http://schemas.openxmlformats.org/officeDocument/2006/relationships/hyperlink" Target="http://www.sciencedirect.com/science/article/pii/S0001879105000497#hit28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science/article/pii/S000187910800095X#hit128" TargetMode="External"/><Relationship Id="rId24" Type="http://schemas.openxmlformats.org/officeDocument/2006/relationships/hyperlink" Target="http://www.sciencedirect.com/science/article/pii/S0001879105000497#hit286"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sciencedirect.com/science/article/pii/S0001879105000497#hit285"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www.sciencedirect.com/science/article/pii/S0001879105000497#hit28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direct.com/science/article/pii/S000187910800095X#hit126" TargetMode="External"/><Relationship Id="rId14" Type="http://schemas.openxmlformats.org/officeDocument/2006/relationships/hyperlink" Target="http://www.sciencedirect.com/science?_ob=MiamiImageURL&amp;_cid=272611&amp;_user=2459650&amp;_pii=0001879189900341&amp;_check=y&amp;_coverDate=1989-12-01&amp;view=c&amp;wchp=dGLzVlB-zSkWz&amp;md5=601343dc6df8f713bab69db6a85ff37e/1-s2.0-0001879189900341-main.pdf" TargetMode="External"/><Relationship Id="rId22" Type="http://schemas.openxmlformats.org/officeDocument/2006/relationships/hyperlink" Target="http://www.sciencedirect.com/science/article/pii/S0001879105000497#hit284" TargetMode="External"/><Relationship Id="rId27" Type="http://schemas.openxmlformats.org/officeDocument/2006/relationships/hyperlink" Target="http://dx.doi.org/10.1006/jvbe.1995.1024" TargetMode="Externa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CC2C2-9240-4F24-B3A3-FFC858A97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8519</Words>
  <Characters>46006</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54417</CharactersWithSpaces>
  <SharedDoc>false</SharedDoc>
  <HLinks>
    <vt:vector size="132" baseType="variant">
      <vt:variant>
        <vt:i4>5374020</vt:i4>
      </vt:variant>
      <vt:variant>
        <vt:i4>63</vt:i4>
      </vt:variant>
      <vt:variant>
        <vt:i4>0</vt:i4>
      </vt:variant>
      <vt:variant>
        <vt:i4>5</vt:i4>
      </vt:variant>
      <vt:variant>
        <vt:lpwstr>http://dx.doi.org/10.1006/jvbe.1995.1024</vt:lpwstr>
      </vt:variant>
      <vt:variant>
        <vt:lpwstr/>
      </vt:variant>
      <vt:variant>
        <vt:i4>2031695</vt:i4>
      </vt:variant>
      <vt:variant>
        <vt:i4>60</vt:i4>
      </vt:variant>
      <vt:variant>
        <vt:i4>0</vt:i4>
      </vt:variant>
      <vt:variant>
        <vt:i4>5</vt:i4>
      </vt:variant>
      <vt:variant>
        <vt:lpwstr>http://www.sciencedirect.com/science?_ob=RedirectURL&amp;_method=outwardLink&amp;_partnerName=655&amp;_eid=1-s2.0-S0001879105000497&amp;_origin=article&amp;_zone=art_page&amp;_targetURL=http%3A%2F%2Fwww.scopus.com%2Finward%2Frecord.url%3Feid%3D2-s2.0-0036352705%26partnerID%3D10%26rel%3DR3.0.0%26md5%3D2660ff9968773901d683b482600cf9b6&amp;_acct=C000057388&amp;_version=1&amp;_userid=2459650&amp;md5=2bd6db6a65c3091b3af433b57d67aed3</vt:lpwstr>
      </vt:variant>
      <vt:variant>
        <vt:lpwstr/>
      </vt:variant>
      <vt:variant>
        <vt:i4>4784214</vt:i4>
      </vt:variant>
      <vt:variant>
        <vt:i4>57</vt:i4>
      </vt:variant>
      <vt:variant>
        <vt:i4>0</vt:i4>
      </vt:variant>
      <vt:variant>
        <vt:i4>5</vt:i4>
      </vt:variant>
      <vt:variant>
        <vt:lpwstr>http://www.sciencedirect.com/science/article/pii/S0001879105000497</vt:lpwstr>
      </vt:variant>
      <vt:variant>
        <vt:lpwstr>hit287</vt:lpwstr>
      </vt:variant>
      <vt:variant>
        <vt:i4>4915286</vt:i4>
      </vt:variant>
      <vt:variant>
        <vt:i4>54</vt:i4>
      </vt:variant>
      <vt:variant>
        <vt:i4>0</vt:i4>
      </vt:variant>
      <vt:variant>
        <vt:i4>5</vt:i4>
      </vt:variant>
      <vt:variant>
        <vt:lpwstr>http://www.sciencedirect.com/science/article/pii/S0001879105000497</vt:lpwstr>
      </vt:variant>
      <vt:variant>
        <vt:lpwstr>hit285</vt:lpwstr>
      </vt:variant>
      <vt:variant>
        <vt:i4>4718678</vt:i4>
      </vt:variant>
      <vt:variant>
        <vt:i4>51</vt:i4>
      </vt:variant>
      <vt:variant>
        <vt:i4>0</vt:i4>
      </vt:variant>
      <vt:variant>
        <vt:i4>5</vt:i4>
      </vt:variant>
      <vt:variant>
        <vt:lpwstr>http://www.sciencedirect.com/science/article/pii/S0001879105000497</vt:lpwstr>
      </vt:variant>
      <vt:variant>
        <vt:lpwstr>hit286</vt:lpwstr>
      </vt:variant>
      <vt:variant>
        <vt:i4>4849750</vt:i4>
      </vt:variant>
      <vt:variant>
        <vt:i4>48</vt:i4>
      </vt:variant>
      <vt:variant>
        <vt:i4>0</vt:i4>
      </vt:variant>
      <vt:variant>
        <vt:i4>5</vt:i4>
      </vt:variant>
      <vt:variant>
        <vt:lpwstr>http://www.sciencedirect.com/science/article/pii/S0001879105000497</vt:lpwstr>
      </vt:variant>
      <vt:variant>
        <vt:lpwstr>hit284</vt:lpwstr>
      </vt:variant>
      <vt:variant>
        <vt:i4>4915286</vt:i4>
      </vt:variant>
      <vt:variant>
        <vt:i4>45</vt:i4>
      </vt:variant>
      <vt:variant>
        <vt:i4>0</vt:i4>
      </vt:variant>
      <vt:variant>
        <vt:i4>5</vt:i4>
      </vt:variant>
      <vt:variant>
        <vt:lpwstr>http://www.sciencedirect.com/science/article/pii/S0001879105000497</vt:lpwstr>
      </vt:variant>
      <vt:variant>
        <vt:lpwstr>hit285</vt:lpwstr>
      </vt:variant>
      <vt:variant>
        <vt:i4>5046358</vt:i4>
      </vt:variant>
      <vt:variant>
        <vt:i4>42</vt:i4>
      </vt:variant>
      <vt:variant>
        <vt:i4>0</vt:i4>
      </vt:variant>
      <vt:variant>
        <vt:i4>5</vt:i4>
      </vt:variant>
      <vt:variant>
        <vt:lpwstr>http://www.sciencedirect.com/science/article/pii/S0001879105000497</vt:lpwstr>
      </vt:variant>
      <vt:variant>
        <vt:lpwstr>hit283</vt:lpwstr>
      </vt:variant>
      <vt:variant>
        <vt:i4>4849750</vt:i4>
      </vt:variant>
      <vt:variant>
        <vt:i4>39</vt:i4>
      </vt:variant>
      <vt:variant>
        <vt:i4>0</vt:i4>
      </vt:variant>
      <vt:variant>
        <vt:i4>5</vt:i4>
      </vt:variant>
      <vt:variant>
        <vt:lpwstr>http://www.sciencedirect.com/science/article/pii/S0001879105000497</vt:lpwstr>
      </vt:variant>
      <vt:variant>
        <vt:lpwstr>hit284</vt:lpwstr>
      </vt:variant>
      <vt:variant>
        <vt:i4>4980822</vt:i4>
      </vt:variant>
      <vt:variant>
        <vt:i4>36</vt:i4>
      </vt:variant>
      <vt:variant>
        <vt:i4>0</vt:i4>
      </vt:variant>
      <vt:variant>
        <vt:i4>5</vt:i4>
      </vt:variant>
      <vt:variant>
        <vt:lpwstr>http://www.sciencedirect.com/science/article/pii/S0001879105000497</vt:lpwstr>
      </vt:variant>
      <vt:variant>
        <vt:lpwstr>hit282</vt:lpwstr>
      </vt:variant>
      <vt:variant>
        <vt:i4>5046358</vt:i4>
      </vt:variant>
      <vt:variant>
        <vt:i4>33</vt:i4>
      </vt:variant>
      <vt:variant>
        <vt:i4>0</vt:i4>
      </vt:variant>
      <vt:variant>
        <vt:i4>5</vt:i4>
      </vt:variant>
      <vt:variant>
        <vt:lpwstr>http://www.sciencedirect.com/science/article/pii/S0001879105000497</vt:lpwstr>
      </vt:variant>
      <vt:variant>
        <vt:lpwstr>hit283</vt:lpwstr>
      </vt:variant>
      <vt:variant>
        <vt:i4>5177430</vt:i4>
      </vt:variant>
      <vt:variant>
        <vt:i4>30</vt:i4>
      </vt:variant>
      <vt:variant>
        <vt:i4>0</vt:i4>
      </vt:variant>
      <vt:variant>
        <vt:i4>5</vt:i4>
      </vt:variant>
      <vt:variant>
        <vt:lpwstr>http://www.sciencedirect.com/science/article/pii/S0001879105000497</vt:lpwstr>
      </vt:variant>
      <vt:variant>
        <vt:lpwstr>hit281</vt:lpwstr>
      </vt:variant>
      <vt:variant>
        <vt:i4>4980822</vt:i4>
      </vt:variant>
      <vt:variant>
        <vt:i4>27</vt:i4>
      </vt:variant>
      <vt:variant>
        <vt:i4>0</vt:i4>
      </vt:variant>
      <vt:variant>
        <vt:i4>5</vt:i4>
      </vt:variant>
      <vt:variant>
        <vt:lpwstr>http://www.sciencedirect.com/science/article/pii/S0001879105000497</vt:lpwstr>
      </vt:variant>
      <vt:variant>
        <vt:lpwstr>hit282</vt:lpwstr>
      </vt:variant>
      <vt:variant>
        <vt:i4>5111894</vt:i4>
      </vt:variant>
      <vt:variant>
        <vt:i4>24</vt:i4>
      </vt:variant>
      <vt:variant>
        <vt:i4>0</vt:i4>
      </vt:variant>
      <vt:variant>
        <vt:i4>5</vt:i4>
      </vt:variant>
      <vt:variant>
        <vt:lpwstr>http://www.sciencedirect.com/science/article/pii/S0001879105000497</vt:lpwstr>
      </vt:variant>
      <vt:variant>
        <vt:lpwstr>hit280</vt:lpwstr>
      </vt:variant>
      <vt:variant>
        <vt:i4>1179723</vt:i4>
      </vt:variant>
      <vt:variant>
        <vt:i4>21</vt:i4>
      </vt:variant>
      <vt:variant>
        <vt:i4>0</vt:i4>
      </vt:variant>
      <vt:variant>
        <vt:i4>5</vt:i4>
      </vt:variant>
      <vt:variant>
        <vt:lpwstr>http://www.sciencedirect.com/science/article/pii/S0001879105000497</vt:lpwstr>
      </vt:variant>
      <vt:variant>
        <vt:lpwstr>bbib27</vt:lpwstr>
      </vt:variant>
      <vt:variant>
        <vt:i4>2031624</vt:i4>
      </vt:variant>
      <vt:variant>
        <vt:i4>18</vt:i4>
      </vt:variant>
      <vt:variant>
        <vt:i4>0</vt:i4>
      </vt:variant>
      <vt:variant>
        <vt:i4>5</vt:i4>
      </vt:variant>
      <vt:variant>
        <vt:lpwstr>http://www.sciencedirect.com/science?_ob=RedirectURL&amp;_method=outwardLink&amp;_partnerName=655&amp;_eid=1-s2.0-S000187910800095X&amp;_origin=article&amp;_zone=art_page&amp;_targetURL=http%3A%2F%2Fwww.scopus.com%2Finward%2Frecord.url%3Feid%3D2-s2.0-38249024603%26partnerID%3D10%26rel%3DR3.0.0%26md5%3De46ce030983cf07142a2210c7ff5affa&amp;_acct=C000057388&amp;_version=1&amp;_userid=2459650&amp;md5=546fe52c84df5a17f491bc62c69ac673</vt:lpwstr>
      </vt:variant>
      <vt:variant>
        <vt:lpwstr/>
      </vt:variant>
      <vt:variant>
        <vt:i4>2359342</vt:i4>
      </vt:variant>
      <vt:variant>
        <vt:i4>14</vt:i4>
      </vt:variant>
      <vt:variant>
        <vt:i4>0</vt:i4>
      </vt:variant>
      <vt:variant>
        <vt:i4>5</vt:i4>
      </vt:variant>
      <vt:variant>
        <vt:lpwstr>http://www.sciencedirect.com/science?_ob=MiamiImageURL&amp;_cid=272611&amp;_user=2459650&amp;_pii=0001879189900341&amp;_check=y&amp;_coverDate=1989-12-01&amp;view=c&amp;wchp=dGLzVlB-zSkWz&amp;md5=601343dc6df8f713bab69db6a85ff37e/1-s2.0-0001879189900341-main.pdf</vt:lpwstr>
      </vt:variant>
      <vt:variant>
        <vt:lpwstr/>
      </vt:variant>
      <vt:variant>
        <vt:i4>2359342</vt:i4>
      </vt:variant>
      <vt:variant>
        <vt:i4>12</vt:i4>
      </vt:variant>
      <vt:variant>
        <vt:i4>0</vt:i4>
      </vt:variant>
      <vt:variant>
        <vt:i4>5</vt:i4>
      </vt:variant>
      <vt:variant>
        <vt:lpwstr>http://www.sciencedirect.com/science?_ob=MiamiImageURL&amp;_cid=272611&amp;_user=2459650&amp;_pii=0001879189900341&amp;_check=y&amp;_coverDate=1989-12-01&amp;view=c&amp;wchp=dGLzVlB-zSkWz&amp;md5=601343dc6df8f713bab69db6a85ff37e/1-s2.0-0001879189900341-main.pdf</vt:lpwstr>
      </vt:variant>
      <vt:variant>
        <vt:lpwstr/>
      </vt:variant>
      <vt:variant>
        <vt:i4>917514</vt:i4>
      </vt:variant>
      <vt:variant>
        <vt:i4>9</vt:i4>
      </vt:variant>
      <vt:variant>
        <vt:i4>0</vt:i4>
      </vt:variant>
      <vt:variant>
        <vt:i4>5</vt:i4>
      </vt:variant>
      <vt:variant>
        <vt:lpwstr>http://www.sciencedirect.com/science/article/pii/0001879189900341?_fmt=full&amp;_origin=&amp;md5=7bcf780d0ad55e08c858017474822c86</vt:lpwstr>
      </vt:variant>
      <vt:variant>
        <vt:lpwstr/>
      </vt:variant>
      <vt:variant>
        <vt:i4>655440</vt:i4>
      </vt:variant>
      <vt:variant>
        <vt:i4>6</vt:i4>
      </vt:variant>
      <vt:variant>
        <vt:i4>0</vt:i4>
      </vt:variant>
      <vt:variant>
        <vt:i4>5</vt:i4>
      </vt:variant>
      <vt:variant>
        <vt:lpwstr>http://www.sciencedirect.com/science/article/pii/S000187910800095X</vt:lpwstr>
      </vt:variant>
      <vt:variant>
        <vt:lpwstr>hit128</vt:lpwstr>
      </vt:variant>
      <vt:variant>
        <vt:i4>262224</vt:i4>
      </vt:variant>
      <vt:variant>
        <vt:i4>3</vt:i4>
      </vt:variant>
      <vt:variant>
        <vt:i4>0</vt:i4>
      </vt:variant>
      <vt:variant>
        <vt:i4>5</vt:i4>
      </vt:variant>
      <vt:variant>
        <vt:lpwstr>http://www.sciencedirect.com/science/article/pii/S000187910800095X</vt:lpwstr>
      </vt:variant>
      <vt:variant>
        <vt:lpwstr>hit126</vt:lpwstr>
      </vt:variant>
      <vt:variant>
        <vt:i4>6946933</vt:i4>
      </vt:variant>
      <vt:variant>
        <vt:i4>0</vt:i4>
      </vt:variant>
      <vt:variant>
        <vt:i4>0</vt:i4>
      </vt:variant>
      <vt:variant>
        <vt:i4>5</vt:i4>
      </vt:variant>
      <vt:variant>
        <vt:lpwstr>http://www.sciencedirect.com/science/article/pii/S000187910800095X</vt:lpwstr>
      </vt:variant>
      <vt:variant>
        <vt:lpwstr>bbib6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 Gamboa</dc:creator>
  <cp:keywords/>
  <cp:lastModifiedBy>mppaixao</cp:lastModifiedBy>
  <cp:revision>2</cp:revision>
  <cp:lastPrinted>2012-05-17T14:21:00Z</cp:lastPrinted>
  <dcterms:created xsi:type="dcterms:W3CDTF">2013-03-04T14:21:00Z</dcterms:created>
  <dcterms:modified xsi:type="dcterms:W3CDTF">2013-03-04T14:21:00Z</dcterms:modified>
</cp:coreProperties>
</file>